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bookmarkStart w:id="0" w:name="_Toc24040"/>
      <w:bookmarkStart w:id="1" w:name="_Toc413076029"/>
      <w:bookmarkStart w:id="2" w:name="_Toc5586"/>
      <w:bookmarkStart w:id="3" w:name="_Toc364787118"/>
      <w:bookmarkStart w:id="4" w:name="_Toc271613036"/>
      <w:bookmarkStart w:id="5" w:name="_Toc335038252"/>
    </w:p>
    <w:p/>
    <w:p>
      <w:pPr>
        <w:jc w:val="center"/>
        <w:rPr>
          <w:rFonts w:ascii="黑体" w:hAnsi="黑体" w:eastAsia="黑体" w:cs="黑体"/>
          <w:b/>
          <w:bCs/>
          <w:sz w:val="32"/>
          <w:szCs w:val="32"/>
        </w:rPr>
      </w:pPr>
    </w:p>
    <w:p>
      <w:pPr>
        <w:pStyle w:val="2"/>
      </w:pPr>
    </w:p>
    <w:p>
      <w:pPr>
        <w:jc w:val="center"/>
        <w:rPr>
          <w:rFonts w:ascii="黑体" w:hAnsi="黑体" w:eastAsia="黑体" w:cs="黑体"/>
          <w:b/>
          <w:bCs/>
          <w:sz w:val="32"/>
          <w:szCs w:val="32"/>
        </w:rPr>
      </w:pPr>
    </w:p>
    <w:p>
      <w:pPr>
        <w:jc w:val="center"/>
        <w:rPr>
          <w:rFonts w:ascii="黑体" w:hAnsi="黑体" w:eastAsia="黑体" w:cs="黑体"/>
          <w:b/>
          <w:bCs/>
          <w:sz w:val="32"/>
          <w:szCs w:val="32"/>
        </w:rPr>
      </w:pPr>
      <w:r>
        <w:rPr>
          <w:rFonts w:hint="eastAsia" w:ascii="黑体" w:hAnsi="黑体" w:eastAsia="黑体" w:cs="黑体"/>
          <w:b/>
          <w:bCs/>
          <w:sz w:val="32"/>
          <w:szCs w:val="32"/>
        </w:rPr>
        <w:t>壶关县住房和城乡建设管理局</w:t>
      </w:r>
    </w:p>
    <w:p>
      <w:pPr>
        <w:jc w:val="center"/>
        <w:rPr>
          <w:rFonts w:ascii="黑体" w:hAnsi="黑体" w:eastAsia="黑体" w:cs="黑体"/>
          <w:b/>
          <w:bCs/>
          <w:sz w:val="32"/>
          <w:szCs w:val="32"/>
        </w:rPr>
      </w:pPr>
      <w:r>
        <w:rPr>
          <w:rFonts w:hint="eastAsia" w:ascii="黑体" w:hAnsi="黑体" w:eastAsia="黑体" w:cs="黑体"/>
          <w:b/>
          <w:bCs/>
          <w:sz w:val="32"/>
          <w:szCs w:val="32"/>
        </w:rPr>
        <w:t>县城生活垃圾处理二期工程项目</w:t>
      </w:r>
    </w:p>
    <w:p>
      <w:pPr>
        <w:jc w:val="center"/>
        <w:rPr>
          <w:rFonts w:ascii="黑体" w:hAnsi="黑体" w:eastAsia="黑体" w:cs="黑体"/>
          <w:b/>
          <w:bCs/>
          <w:sz w:val="32"/>
          <w:szCs w:val="32"/>
        </w:rPr>
      </w:pPr>
      <w:r>
        <w:rPr>
          <w:rFonts w:hint="eastAsia" w:ascii="黑体" w:hAnsi="黑体" w:eastAsia="黑体" w:cs="黑体"/>
          <w:b/>
          <w:bCs/>
          <w:sz w:val="32"/>
          <w:szCs w:val="32"/>
        </w:rPr>
        <w:t>环境影响报告书</w:t>
      </w:r>
    </w:p>
    <w:p>
      <w:pPr>
        <w:jc w:val="center"/>
        <w:rPr>
          <w:b/>
          <w:bCs/>
          <w:sz w:val="32"/>
          <w:szCs w:val="32"/>
        </w:rPr>
      </w:pPr>
      <w:r>
        <w:rPr>
          <w:rFonts w:hint="eastAsia" w:ascii="黑体" w:hAnsi="黑体" w:eastAsia="黑体" w:cs="黑体"/>
          <w:b/>
          <w:bCs/>
          <w:sz w:val="32"/>
          <w:szCs w:val="32"/>
        </w:rPr>
        <w:t>（</w:t>
      </w:r>
      <w:r>
        <w:rPr>
          <w:rFonts w:hint="eastAsia" w:ascii="黑体" w:hAnsi="黑体" w:eastAsia="黑体" w:cs="黑体"/>
          <w:b/>
          <w:bCs/>
          <w:sz w:val="32"/>
          <w:szCs w:val="32"/>
          <w:lang w:val="en-US" w:eastAsia="zh-CN"/>
        </w:rPr>
        <w:t>征求意见稿</w:t>
      </w:r>
      <w:r>
        <w:rPr>
          <w:rFonts w:hint="eastAsia" w:ascii="黑体" w:hAnsi="黑体" w:eastAsia="黑体" w:cs="黑体"/>
          <w:b/>
          <w:bCs/>
          <w:sz w:val="32"/>
          <w:szCs w:val="32"/>
        </w:rPr>
        <w:t>）</w:t>
      </w:r>
    </w:p>
    <w:p>
      <w:pPr>
        <w:pStyle w:val="2"/>
      </w:pPr>
    </w:p>
    <w:p>
      <w:pPr>
        <w:spacing w:line="500" w:lineRule="exact"/>
        <w:jc w:val="center"/>
        <w:rPr>
          <w:rFonts w:asciiTheme="minorEastAsia" w:hAnsiTheme="minorEastAsia" w:eastAsiaTheme="minorEastAsia" w:cstheme="minorEastAsia"/>
          <w:b/>
          <w:bCs/>
          <w:sz w:val="30"/>
          <w:szCs w:val="30"/>
        </w:rPr>
      </w:pPr>
    </w:p>
    <w:p>
      <w:pPr>
        <w:pStyle w:val="2"/>
        <w:rPr>
          <w:rFonts w:asciiTheme="minorEastAsia" w:hAnsiTheme="minorEastAsia" w:eastAsiaTheme="minorEastAsia" w:cstheme="minorEastAsia"/>
          <w:b/>
          <w:bCs/>
          <w:sz w:val="30"/>
          <w:szCs w:val="30"/>
        </w:rPr>
      </w:pPr>
      <w:bookmarkStart w:id="223" w:name="_GoBack"/>
      <w:bookmarkEnd w:id="223"/>
    </w:p>
    <w:p>
      <w:pPr>
        <w:pStyle w:val="3"/>
        <w:rPr>
          <w:rFonts w:asciiTheme="minorEastAsia" w:hAnsiTheme="minorEastAsia" w:eastAsiaTheme="minorEastAsia" w:cstheme="minorEastAsia"/>
          <w:b/>
          <w:sz w:val="30"/>
          <w:szCs w:val="30"/>
        </w:rPr>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rPr>
          <w:rFonts w:asciiTheme="minorEastAsia" w:hAnsiTheme="minorEastAsia" w:eastAsiaTheme="minorEastAsia" w:cstheme="minorEastAsia"/>
          <w:b/>
          <w:bCs/>
          <w:sz w:val="30"/>
          <w:szCs w:val="30"/>
        </w:rPr>
      </w:pPr>
    </w:p>
    <w:p>
      <w:pPr>
        <w:jc w:val="center"/>
        <w:rPr>
          <w:rFonts w:ascii="黑体" w:hAnsi="黑体" w:eastAsia="黑体" w:cs="黑体"/>
          <w:b/>
          <w:bCs/>
          <w:sz w:val="30"/>
          <w:szCs w:val="30"/>
        </w:rPr>
      </w:pPr>
      <w:r>
        <w:rPr>
          <w:rFonts w:hint="eastAsia" w:ascii="黑体" w:hAnsi="黑体" w:eastAsia="黑体" w:cs="黑体"/>
          <w:b/>
          <w:bCs/>
          <w:sz w:val="30"/>
          <w:szCs w:val="30"/>
        </w:rPr>
        <w:t>建设单位：壶关县住房和城乡建设管理局</w:t>
      </w:r>
    </w:p>
    <w:p>
      <w:pPr>
        <w:jc w:val="center"/>
        <w:rPr>
          <w:rFonts w:ascii="黑体" w:hAnsi="黑体" w:eastAsia="黑体" w:cs="黑体"/>
          <w:b/>
          <w:bCs/>
          <w:sz w:val="30"/>
          <w:szCs w:val="30"/>
        </w:rPr>
      </w:pPr>
      <w:r>
        <w:rPr>
          <w:rFonts w:hint="eastAsia" w:ascii="黑体" w:hAnsi="黑体" w:eastAsia="黑体" w:cs="黑体"/>
          <w:b/>
          <w:bCs/>
          <w:sz w:val="30"/>
          <w:szCs w:val="30"/>
        </w:rPr>
        <w:t>编制单位：晋城市绿和环保技术咨询有限公司</w:t>
      </w:r>
    </w:p>
    <w:p>
      <w:pPr>
        <w:jc w:val="center"/>
        <w:rPr>
          <w:rFonts w:ascii="黑体" w:hAnsi="黑体" w:eastAsia="黑体" w:cs="黑体"/>
          <w:b/>
          <w:bCs/>
          <w:sz w:val="30"/>
          <w:szCs w:val="30"/>
        </w:rPr>
      </w:pPr>
      <w:r>
        <w:rPr>
          <w:rFonts w:hint="eastAsia" w:ascii="黑体" w:hAnsi="黑体" w:eastAsia="黑体" w:cs="黑体"/>
          <w:b/>
          <w:bCs/>
          <w:sz w:val="30"/>
          <w:szCs w:val="30"/>
        </w:rPr>
        <w:t>二零二三年</w:t>
      </w:r>
      <w:r>
        <w:rPr>
          <w:rFonts w:hint="eastAsia" w:ascii="黑体" w:hAnsi="黑体" w:eastAsia="黑体" w:cs="黑体"/>
          <w:b/>
          <w:bCs/>
          <w:sz w:val="30"/>
          <w:szCs w:val="30"/>
          <w:lang w:val="en-US" w:eastAsia="zh-CN"/>
        </w:rPr>
        <w:t>七</w:t>
      </w:r>
      <w:r>
        <w:rPr>
          <w:rFonts w:hint="eastAsia" w:ascii="黑体" w:hAnsi="黑体" w:eastAsia="黑体" w:cs="黑体"/>
          <w:b/>
          <w:bCs/>
          <w:sz w:val="30"/>
          <w:szCs w:val="30"/>
        </w:rPr>
        <w:t>月</w:t>
      </w:r>
    </w:p>
    <w:p>
      <w:pPr>
        <w:pStyle w:val="2"/>
      </w:pPr>
    </w:p>
    <w:p>
      <w:pPr>
        <w:pStyle w:val="3"/>
      </w:pPr>
    </w:p>
    <w:p/>
    <w:p>
      <w:pPr>
        <w:pStyle w:val="2"/>
      </w:pPr>
    </w:p>
    <w:p>
      <w:pPr>
        <w:pStyle w:val="3"/>
      </w:pPr>
    </w:p>
    <w:p/>
    <w:p>
      <w:pPr>
        <w:pStyle w:val="2"/>
        <w:sectPr>
          <w:headerReference r:id="rId3" w:type="default"/>
          <w:footerReference r:id="rId4" w:type="default"/>
          <w:pgSz w:w="11906" w:h="16838"/>
          <w:pgMar w:top="1440" w:right="1800" w:bottom="1440" w:left="1800" w:header="851" w:footer="992" w:gutter="0"/>
          <w:pgNumType w:fmt="upperRoman"/>
          <w:cols w:space="425" w:num="1"/>
          <w:docGrid w:type="lines" w:linePitch="312" w:charSpace="0"/>
        </w:sectPr>
      </w:pPr>
    </w:p>
    <w:p>
      <w:pPr>
        <w:pStyle w:val="2"/>
      </w:pPr>
      <w:r>
        <w:rPr>
          <w:rFonts w:hint="eastAsia"/>
        </w:rPr>
        <w:drawing>
          <wp:inline distT="0" distB="0" distL="114300" distR="114300">
            <wp:extent cx="2543810" cy="1908175"/>
            <wp:effectExtent l="0" t="0" r="8890" b="15875"/>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30" cstate="print"/>
                    <a:stretch>
                      <a:fillRect/>
                    </a:stretch>
                  </pic:blipFill>
                  <pic:spPr>
                    <a:xfrm>
                      <a:off x="0" y="0"/>
                      <a:ext cx="2543810" cy="1908175"/>
                    </a:xfrm>
                    <a:prstGeom prst="rect">
                      <a:avLst/>
                    </a:prstGeom>
                  </pic:spPr>
                </pic:pic>
              </a:graphicData>
            </a:graphic>
          </wp:inline>
        </w:drawing>
      </w:r>
      <w:r>
        <w:drawing>
          <wp:inline distT="0" distB="0" distL="114300" distR="114300">
            <wp:extent cx="2544445" cy="1908175"/>
            <wp:effectExtent l="0" t="0" r="8255" b="15875"/>
            <wp:docPr id="36"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31" cstate="print"/>
                    <a:stretch>
                      <a:fillRect/>
                    </a:stretch>
                  </pic:blipFill>
                  <pic:spPr>
                    <a:xfrm>
                      <a:off x="0" y="0"/>
                      <a:ext cx="2544445" cy="1908175"/>
                    </a:xfrm>
                    <a:prstGeom prst="rect">
                      <a:avLst/>
                    </a:prstGeom>
                  </pic:spPr>
                </pic:pic>
              </a:graphicData>
            </a:graphic>
          </wp:inline>
        </w:drawing>
      </w:r>
    </w:p>
    <w:p>
      <w:pPr>
        <w:pStyle w:val="3"/>
        <w:spacing w:line="360" w:lineRule="exact"/>
        <w:ind w:firstLine="241" w:firstLineChars="100"/>
        <w:jc w:val="both"/>
        <w:rPr>
          <w:b/>
          <w:bCs w:val="0"/>
          <w:color w:val="auto"/>
          <w:sz w:val="24"/>
          <w:szCs w:val="24"/>
        </w:rPr>
      </w:pPr>
      <w:r>
        <w:rPr>
          <w:rFonts w:hint="eastAsia"/>
          <w:b/>
          <w:bCs w:val="0"/>
          <w:color w:val="auto"/>
          <w:sz w:val="24"/>
          <w:szCs w:val="24"/>
        </w:rPr>
        <w:t>宋堡埋场整改封闭的渗滤液收集池宋堡填埋场整改增设的渗滤液处理车间</w:t>
      </w:r>
    </w:p>
    <w:p>
      <w:r>
        <w:rPr>
          <w:rFonts w:hint="eastAsia"/>
        </w:rPr>
        <w:drawing>
          <wp:inline distT="0" distB="0" distL="114300" distR="114300">
            <wp:extent cx="2567940" cy="1930400"/>
            <wp:effectExtent l="0" t="0" r="3810" b="12700"/>
            <wp:docPr id="41" name="图片 4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3"/>
                    <pic:cNvPicPr>
                      <a:picLocks noChangeAspect="1"/>
                    </pic:cNvPicPr>
                  </pic:nvPicPr>
                  <pic:blipFill>
                    <a:blip r:embed="rId32" cstate="print"/>
                    <a:stretch>
                      <a:fillRect/>
                    </a:stretch>
                  </pic:blipFill>
                  <pic:spPr>
                    <a:xfrm>
                      <a:off x="0" y="0"/>
                      <a:ext cx="2567940" cy="1930400"/>
                    </a:xfrm>
                    <a:prstGeom prst="rect">
                      <a:avLst/>
                    </a:prstGeom>
                  </pic:spPr>
                </pic:pic>
              </a:graphicData>
            </a:graphic>
          </wp:inline>
        </w:drawing>
      </w:r>
      <w:r>
        <w:drawing>
          <wp:inline distT="0" distB="0" distL="114300" distR="114300">
            <wp:extent cx="2554605" cy="1938655"/>
            <wp:effectExtent l="0" t="0" r="17145" b="4445"/>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pic:cNvPicPr>
                  </pic:nvPicPr>
                  <pic:blipFill>
                    <a:blip r:embed="rId33" cstate="print"/>
                    <a:stretch>
                      <a:fillRect/>
                    </a:stretch>
                  </pic:blipFill>
                  <pic:spPr>
                    <a:xfrm>
                      <a:off x="0" y="0"/>
                      <a:ext cx="2554605" cy="1938655"/>
                    </a:xfrm>
                    <a:prstGeom prst="rect">
                      <a:avLst/>
                    </a:prstGeom>
                  </pic:spPr>
                </pic:pic>
              </a:graphicData>
            </a:graphic>
          </wp:inline>
        </w:drawing>
      </w:r>
    </w:p>
    <w:p>
      <w:pPr>
        <w:pStyle w:val="2"/>
        <w:spacing w:line="360" w:lineRule="exact"/>
        <w:ind w:firstLine="964" w:firstLineChars="400"/>
        <w:rPr>
          <w:b/>
          <w:bCs/>
        </w:rPr>
      </w:pPr>
      <w:r>
        <w:rPr>
          <w:rFonts w:hint="eastAsia"/>
          <w:b/>
          <w:bCs/>
        </w:rPr>
        <w:t>本项目进场道路                       本项目场地</w:t>
      </w:r>
    </w:p>
    <w:p>
      <w:pPr>
        <w:pStyle w:val="3"/>
        <w:jc w:val="both"/>
      </w:pPr>
      <w:r>
        <w:drawing>
          <wp:inline distT="0" distB="0" distL="114300" distR="114300">
            <wp:extent cx="2607945" cy="1908175"/>
            <wp:effectExtent l="0" t="0" r="1905" b="15875"/>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
                    <pic:cNvPicPr>
                      <a:picLocks noChangeAspect="1"/>
                    </pic:cNvPicPr>
                  </pic:nvPicPr>
                  <pic:blipFill>
                    <a:blip r:embed="rId34" cstate="print"/>
                    <a:stretch>
                      <a:fillRect/>
                    </a:stretch>
                  </pic:blipFill>
                  <pic:spPr>
                    <a:xfrm>
                      <a:off x="0" y="0"/>
                      <a:ext cx="2607945" cy="1908175"/>
                    </a:xfrm>
                    <a:prstGeom prst="rect">
                      <a:avLst/>
                    </a:prstGeom>
                  </pic:spPr>
                </pic:pic>
              </a:graphicData>
            </a:graphic>
          </wp:inline>
        </w:drawing>
      </w:r>
      <w:r>
        <w:drawing>
          <wp:inline distT="0" distB="0" distL="114300" distR="114300">
            <wp:extent cx="2543810" cy="1908175"/>
            <wp:effectExtent l="0" t="0" r="8890" b="15875"/>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
                    <pic:cNvPicPr>
                      <a:picLocks noChangeAspect="1"/>
                    </pic:cNvPicPr>
                  </pic:nvPicPr>
                  <pic:blipFill>
                    <a:blip r:embed="rId35" cstate="print"/>
                    <a:stretch>
                      <a:fillRect/>
                    </a:stretch>
                  </pic:blipFill>
                  <pic:spPr>
                    <a:xfrm>
                      <a:off x="0" y="0"/>
                      <a:ext cx="2543810" cy="1908175"/>
                    </a:xfrm>
                    <a:prstGeom prst="rect">
                      <a:avLst/>
                    </a:prstGeom>
                  </pic:spPr>
                </pic:pic>
              </a:graphicData>
            </a:graphic>
          </wp:inline>
        </w:drawing>
      </w:r>
    </w:p>
    <w:p>
      <w:pPr>
        <w:spacing w:line="360" w:lineRule="exact"/>
        <w:ind w:firstLine="723" w:firstLineChars="300"/>
        <w:rPr>
          <w:b/>
          <w:bCs/>
          <w:sz w:val="24"/>
        </w:rPr>
      </w:pPr>
      <w:r>
        <w:rPr>
          <w:rFonts w:hint="eastAsia"/>
          <w:b/>
          <w:bCs/>
          <w:sz w:val="24"/>
        </w:rPr>
        <w:t>本项目库区（填埋前）                 本项目库区（近况）</w:t>
      </w:r>
    </w:p>
    <w:p>
      <w:pPr>
        <w:pStyle w:val="2"/>
      </w:pPr>
      <w:r>
        <w:drawing>
          <wp:inline distT="0" distB="0" distL="114300" distR="114300">
            <wp:extent cx="2543810" cy="1908175"/>
            <wp:effectExtent l="0" t="0" r="8890" b="15875"/>
            <wp:docPr id="46" name="图片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
                    <pic:cNvPicPr>
                      <a:picLocks noChangeAspect="1"/>
                    </pic:cNvPicPr>
                  </pic:nvPicPr>
                  <pic:blipFill>
                    <a:blip r:embed="rId36" cstate="print"/>
                    <a:stretch>
                      <a:fillRect/>
                    </a:stretch>
                  </pic:blipFill>
                  <pic:spPr>
                    <a:xfrm>
                      <a:off x="0" y="0"/>
                      <a:ext cx="2543810" cy="1908175"/>
                    </a:xfrm>
                    <a:prstGeom prst="rect">
                      <a:avLst/>
                    </a:prstGeom>
                  </pic:spPr>
                </pic:pic>
              </a:graphicData>
            </a:graphic>
          </wp:inline>
        </w:drawing>
      </w:r>
      <w:r>
        <w:drawing>
          <wp:inline distT="0" distB="0" distL="114300" distR="114300">
            <wp:extent cx="2543810" cy="1908175"/>
            <wp:effectExtent l="0" t="0" r="8890" b="15875"/>
            <wp:docPr id="47" name="图片 4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
                    <pic:cNvPicPr>
                      <a:picLocks noChangeAspect="1"/>
                    </pic:cNvPicPr>
                  </pic:nvPicPr>
                  <pic:blipFill>
                    <a:blip r:embed="rId37" cstate="print"/>
                    <a:stretch>
                      <a:fillRect/>
                    </a:stretch>
                  </pic:blipFill>
                  <pic:spPr>
                    <a:xfrm>
                      <a:off x="0" y="0"/>
                      <a:ext cx="2543810" cy="1908175"/>
                    </a:xfrm>
                    <a:prstGeom prst="rect">
                      <a:avLst/>
                    </a:prstGeom>
                  </pic:spPr>
                </pic:pic>
              </a:graphicData>
            </a:graphic>
          </wp:inline>
        </w:drawing>
      </w:r>
    </w:p>
    <w:p>
      <w:pPr>
        <w:pStyle w:val="3"/>
        <w:spacing w:line="360" w:lineRule="exact"/>
        <w:ind w:firstLine="723" w:firstLineChars="300"/>
        <w:jc w:val="both"/>
        <w:rPr>
          <w:b/>
          <w:bCs w:val="0"/>
          <w:sz w:val="24"/>
          <w:szCs w:val="24"/>
        </w:rPr>
      </w:pPr>
      <w:r>
        <w:rPr>
          <w:rFonts w:hint="eastAsia"/>
          <w:b/>
          <w:bCs w:val="0"/>
          <w:sz w:val="24"/>
          <w:szCs w:val="24"/>
        </w:rPr>
        <w:t>本项目渗滤液处理车间             本项目埋地渗滤液收集池</w:t>
      </w:r>
    </w:p>
    <w:p>
      <w:r>
        <w:rPr>
          <w:rFonts w:hint="eastAsia"/>
        </w:rPr>
        <w:drawing>
          <wp:inline distT="0" distB="0" distL="114300" distR="114300">
            <wp:extent cx="2508250" cy="1938655"/>
            <wp:effectExtent l="0" t="0" r="6350" b="4445"/>
            <wp:docPr id="48" name="图片 4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
                    <pic:cNvPicPr>
                      <a:picLocks noChangeAspect="1"/>
                    </pic:cNvPicPr>
                  </pic:nvPicPr>
                  <pic:blipFill>
                    <a:blip r:embed="rId38" cstate="print"/>
                    <a:stretch>
                      <a:fillRect/>
                    </a:stretch>
                  </pic:blipFill>
                  <pic:spPr>
                    <a:xfrm>
                      <a:off x="0" y="0"/>
                      <a:ext cx="2508250" cy="1938655"/>
                    </a:xfrm>
                    <a:prstGeom prst="rect">
                      <a:avLst/>
                    </a:prstGeom>
                  </pic:spPr>
                </pic:pic>
              </a:graphicData>
            </a:graphic>
          </wp:inline>
        </w:drawing>
      </w:r>
      <w:r>
        <w:drawing>
          <wp:inline distT="0" distB="0" distL="114300" distR="114300">
            <wp:extent cx="2508250" cy="1945640"/>
            <wp:effectExtent l="0" t="0" r="6350" b="16510"/>
            <wp:docPr id="49" name="图片 4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0"/>
                    <pic:cNvPicPr>
                      <a:picLocks noChangeAspect="1"/>
                    </pic:cNvPicPr>
                  </pic:nvPicPr>
                  <pic:blipFill>
                    <a:blip r:embed="rId39" cstate="print"/>
                    <a:stretch>
                      <a:fillRect/>
                    </a:stretch>
                  </pic:blipFill>
                  <pic:spPr>
                    <a:xfrm>
                      <a:off x="0" y="0"/>
                      <a:ext cx="2508250" cy="1945640"/>
                    </a:xfrm>
                    <a:prstGeom prst="rect">
                      <a:avLst/>
                    </a:prstGeom>
                  </pic:spPr>
                </pic:pic>
              </a:graphicData>
            </a:graphic>
          </wp:inline>
        </w:drawing>
      </w:r>
    </w:p>
    <w:p>
      <w:pPr>
        <w:pStyle w:val="2"/>
        <w:spacing w:line="360" w:lineRule="exact"/>
        <w:ind w:firstLine="964" w:firstLineChars="400"/>
        <w:rPr>
          <w:b/>
          <w:bCs/>
        </w:rPr>
      </w:pPr>
      <w:r>
        <w:rPr>
          <w:rFonts w:hint="eastAsia"/>
          <w:b/>
          <w:bCs/>
        </w:rPr>
        <w:t>项目填埋气抽气机房          项目场地西南角的施工遗留弃土堆</w:t>
      </w:r>
    </w:p>
    <w:p>
      <w:pPr>
        <w:pStyle w:val="3"/>
        <w:jc w:val="both"/>
      </w:pPr>
      <w:r>
        <w:drawing>
          <wp:inline distT="0" distB="0" distL="114300" distR="114300">
            <wp:extent cx="2523490" cy="1908175"/>
            <wp:effectExtent l="0" t="0" r="10160" b="15875"/>
            <wp:docPr id="50" name="图片 5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1"/>
                    <pic:cNvPicPr>
                      <a:picLocks noChangeAspect="1"/>
                    </pic:cNvPicPr>
                  </pic:nvPicPr>
                  <pic:blipFill>
                    <a:blip r:embed="rId40" cstate="print"/>
                    <a:stretch>
                      <a:fillRect/>
                    </a:stretch>
                  </pic:blipFill>
                  <pic:spPr>
                    <a:xfrm>
                      <a:off x="0" y="0"/>
                      <a:ext cx="2523490" cy="1908175"/>
                    </a:xfrm>
                    <a:prstGeom prst="rect">
                      <a:avLst/>
                    </a:prstGeom>
                  </pic:spPr>
                </pic:pic>
              </a:graphicData>
            </a:graphic>
          </wp:inline>
        </w:drawing>
      </w:r>
      <w:r>
        <w:drawing>
          <wp:inline distT="0" distB="0" distL="114300" distR="114300">
            <wp:extent cx="2463165" cy="1908175"/>
            <wp:effectExtent l="0" t="0" r="13335" b="15875"/>
            <wp:docPr id="51" name="图片 5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2"/>
                    <pic:cNvPicPr>
                      <a:picLocks noChangeAspect="1"/>
                    </pic:cNvPicPr>
                  </pic:nvPicPr>
                  <pic:blipFill>
                    <a:blip r:embed="rId41" cstate="print"/>
                    <a:stretch>
                      <a:fillRect/>
                    </a:stretch>
                  </pic:blipFill>
                  <pic:spPr>
                    <a:xfrm>
                      <a:off x="0" y="0"/>
                      <a:ext cx="2463165" cy="1908175"/>
                    </a:xfrm>
                    <a:prstGeom prst="rect">
                      <a:avLst/>
                    </a:prstGeom>
                  </pic:spPr>
                </pic:pic>
              </a:graphicData>
            </a:graphic>
          </wp:inline>
        </w:drawing>
      </w:r>
    </w:p>
    <w:p>
      <w:pPr>
        <w:spacing w:line="360" w:lineRule="exact"/>
        <w:ind w:firstLine="482" w:firstLineChars="200"/>
        <w:rPr>
          <w:b/>
          <w:bCs/>
          <w:sz w:val="24"/>
        </w:rPr>
      </w:pPr>
      <w:r>
        <w:rPr>
          <w:rFonts w:hint="eastAsia"/>
          <w:b/>
          <w:bCs/>
          <w:sz w:val="24"/>
        </w:rPr>
        <w:t>项目场外西南的农田及荒地      项目场外东南的农田、荒地及高速公路</w:t>
      </w:r>
    </w:p>
    <w:p>
      <w:pPr>
        <w:pStyle w:val="2"/>
      </w:pPr>
    </w:p>
    <w:p>
      <w:pPr>
        <w:pStyle w:val="3"/>
      </w:pPr>
    </w:p>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Pr>
        <w:pStyle w:val="3"/>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pPr>
        <w:pStyle w:val="21"/>
        <w:pBdr>
          <w:top w:val="none" w:color="auto" w:sz="0" w:space="1"/>
          <w:left w:val="none" w:color="auto" w:sz="0" w:space="4"/>
          <w:bottom w:val="none" w:color="auto" w:sz="0" w:space="1"/>
          <w:right w:val="none" w:color="auto" w:sz="0" w:space="4"/>
        </w:pBdr>
        <w:tabs>
          <w:tab w:val="right" w:leader="dot" w:pos="8306"/>
        </w:tabs>
        <w:jc w:val="center"/>
        <w:rPr>
          <w:rFonts w:ascii="Times New Roman" w:hAnsi="Times New Roman"/>
          <w:bCs/>
          <w:sz w:val="44"/>
          <w:szCs w:val="44"/>
        </w:rPr>
      </w:pPr>
      <w:r>
        <w:rPr>
          <w:rFonts w:ascii="Times New Roman" w:hAnsi="Times New Roman"/>
          <w:bCs/>
          <w:sz w:val="44"/>
          <w:szCs w:val="44"/>
        </w:rPr>
        <w:t>目 录</w:t>
      </w:r>
    </w:p>
    <w:p/>
    <w:p>
      <w:pPr>
        <w:pStyle w:val="21"/>
        <w:tabs>
          <w:tab w:val="right" w:leader="dot" w:pos="8306"/>
        </w:tabs>
      </w:pPr>
      <w:r>
        <w:rPr>
          <w:rFonts w:ascii="Times New Roman" w:hAnsi="Times New Roman"/>
          <w:bCs/>
        </w:rPr>
        <w:fldChar w:fldCharType="begin"/>
      </w:r>
      <w:r>
        <w:rPr>
          <w:rFonts w:ascii="Times New Roman" w:hAnsi="Times New Roman"/>
          <w:bCs/>
        </w:rPr>
        <w:instrText xml:space="preserve">TOC \o "1-2" \h \u </w:instrText>
      </w:r>
      <w:r>
        <w:rPr>
          <w:rFonts w:ascii="Times New Roman" w:hAnsi="Times New Roman"/>
          <w:bCs/>
        </w:rPr>
        <w:fldChar w:fldCharType="separate"/>
      </w:r>
      <w:r>
        <w:fldChar w:fldCharType="begin"/>
      </w:r>
      <w:r>
        <w:instrText xml:space="preserve"> HYPERLINK \l "_Toc912562096" </w:instrText>
      </w:r>
      <w:r>
        <w:fldChar w:fldCharType="separate"/>
      </w:r>
      <w:r>
        <w:rPr>
          <w:rFonts w:ascii="Times New Roman" w:hAnsi="Times New Roman"/>
          <w:bCs/>
        </w:rPr>
        <w:t>1  概述</w:t>
      </w:r>
      <w:r>
        <w:tab/>
      </w:r>
      <w:r>
        <w:fldChar w:fldCharType="begin"/>
      </w:r>
      <w:r>
        <w:instrText xml:space="preserve"> PAGEREF _Toc912562096 \h </w:instrText>
      </w:r>
      <w:r>
        <w:fldChar w:fldCharType="separate"/>
      </w:r>
      <w:r>
        <w:t>1</w:t>
      </w:r>
      <w:r>
        <w:fldChar w:fldCharType="end"/>
      </w:r>
      <w:r>
        <w:fldChar w:fldCharType="end"/>
      </w:r>
    </w:p>
    <w:p>
      <w:pPr>
        <w:pStyle w:val="23"/>
        <w:tabs>
          <w:tab w:val="right" w:leader="dot" w:pos="8306"/>
          <w:tab w:val="clear" w:pos="8296"/>
        </w:tabs>
      </w:pPr>
      <w:r>
        <w:fldChar w:fldCharType="begin"/>
      </w:r>
      <w:r>
        <w:instrText xml:space="preserve"> HYPERLINK \l "_Toc46808916" </w:instrText>
      </w:r>
      <w:r>
        <w:fldChar w:fldCharType="separate"/>
      </w:r>
      <w:r>
        <w:rPr>
          <w:rFonts w:ascii="Times New Roman" w:eastAsia="宋体"/>
          <w:szCs w:val="30"/>
        </w:rPr>
        <w:t xml:space="preserve">1.1 </w:t>
      </w:r>
      <w:r>
        <w:rPr>
          <w:rFonts w:hint="eastAsia" w:eastAsia="宋体"/>
          <w:szCs w:val="30"/>
        </w:rPr>
        <w:t>建设项目特点</w:t>
      </w:r>
      <w:r>
        <w:tab/>
      </w:r>
      <w:r>
        <w:fldChar w:fldCharType="begin"/>
      </w:r>
      <w:r>
        <w:instrText xml:space="preserve"> PAGEREF _Toc46808916 \h </w:instrText>
      </w:r>
      <w:r>
        <w:fldChar w:fldCharType="separate"/>
      </w:r>
      <w:r>
        <w:t>1</w:t>
      </w:r>
      <w:r>
        <w:fldChar w:fldCharType="end"/>
      </w:r>
      <w:r>
        <w:fldChar w:fldCharType="end"/>
      </w:r>
    </w:p>
    <w:p>
      <w:pPr>
        <w:pStyle w:val="23"/>
        <w:tabs>
          <w:tab w:val="right" w:leader="dot" w:pos="8306"/>
          <w:tab w:val="clear" w:pos="8296"/>
        </w:tabs>
      </w:pPr>
      <w:r>
        <w:fldChar w:fldCharType="begin"/>
      </w:r>
      <w:r>
        <w:instrText xml:space="preserve"> HYPERLINK \l "_Toc68422378" </w:instrText>
      </w:r>
      <w:r>
        <w:fldChar w:fldCharType="separate"/>
      </w:r>
      <w:r>
        <w:rPr>
          <w:rFonts w:ascii="Times New Roman" w:eastAsia="宋体"/>
          <w:szCs w:val="30"/>
        </w:rPr>
        <w:t>1.2 环境影响评价的工作过程</w:t>
      </w:r>
      <w:r>
        <w:tab/>
      </w:r>
      <w:r>
        <w:fldChar w:fldCharType="begin"/>
      </w:r>
      <w:r>
        <w:instrText xml:space="preserve"> PAGEREF _Toc68422378 \h </w:instrText>
      </w:r>
      <w:r>
        <w:fldChar w:fldCharType="separate"/>
      </w:r>
      <w:r>
        <w:t>3</w:t>
      </w:r>
      <w:r>
        <w:fldChar w:fldCharType="end"/>
      </w:r>
      <w:r>
        <w:fldChar w:fldCharType="end"/>
      </w:r>
    </w:p>
    <w:p>
      <w:pPr>
        <w:pStyle w:val="23"/>
        <w:tabs>
          <w:tab w:val="right" w:leader="dot" w:pos="8306"/>
          <w:tab w:val="clear" w:pos="8296"/>
        </w:tabs>
      </w:pPr>
      <w:r>
        <w:fldChar w:fldCharType="begin"/>
      </w:r>
      <w:r>
        <w:instrText xml:space="preserve"> HYPERLINK \l "_Toc1238767820" </w:instrText>
      </w:r>
      <w:r>
        <w:fldChar w:fldCharType="separate"/>
      </w:r>
      <w:r>
        <w:rPr>
          <w:rFonts w:ascii="Times New Roman" w:eastAsia="宋体"/>
          <w:szCs w:val="30"/>
        </w:rPr>
        <w:t>1.3 分析判定相关情况</w:t>
      </w:r>
      <w:r>
        <w:tab/>
      </w:r>
      <w:r>
        <w:fldChar w:fldCharType="begin"/>
      </w:r>
      <w:r>
        <w:instrText xml:space="preserve"> PAGEREF _Toc1238767820 \h </w:instrText>
      </w:r>
      <w:r>
        <w:fldChar w:fldCharType="separate"/>
      </w:r>
      <w:r>
        <w:t>3</w:t>
      </w:r>
      <w:r>
        <w:fldChar w:fldCharType="end"/>
      </w:r>
      <w:r>
        <w:fldChar w:fldCharType="end"/>
      </w:r>
    </w:p>
    <w:p>
      <w:pPr>
        <w:pStyle w:val="23"/>
        <w:tabs>
          <w:tab w:val="right" w:leader="dot" w:pos="8306"/>
          <w:tab w:val="clear" w:pos="8296"/>
        </w:tabs>
      </w:pPr>
      <w:r>
        <w:fldChar w:fldCharType="begin"/>
      </w:r>
      <w:r>
        <w:instrText xml:space="preserve"> HYPERLINK \l "_Toc203145114" </w:instrText>
      </w:r>
      <w:r>
        <w:fldChar w:fldCharType="separate"/>
      </w:r>
      <w:r>
        <w:rPr>
          <w:rFonts w:ascii="Times New Roman" w:eastAsia="宋体"/>
          <w:szCs w:val="30"/>
        </w:rPr>
        <w:t>1.</w:t>
      </w:r>
      <w:r>
        <w:rPr>
          <w:rFonts w:hint="eastAsia" w:ascii="Times New Roman" w:eastAsia="宋体"/>
          <w:szCs w:val="30"/>
        </w:rPr>
        <w:t>4关注的主要环境问题及环境影响</w:t>
      </w:r>
      <w:r>
        <w:tab/>
      </w:r>
      <w:r>
        <w:fldChar w:fldCharType="begin"/>
      </w:r>
      <w:r>
        <w:instrText xml:space="preserve"> PAGEREF _Toc203145114 \h </w:instrText>
      </w:r>
      <w:r>
        <w:fldChar w:fldCharType="separate"/>
      </w:r>
      <w:r>
        <w:t>14</w:t>
      </w:r>
      <w:r>
        <w:fldChar w:fldCharType="end"/>
      </w:r>
      <w:r>
        <w:fldChar w:fldCharType="end"/>
      </w:r>
    </w:p>
    <w:p>
      <w:pPr>
        <w:pStyle w:val="23"/>
        <w:tabs>
          <w:tab w:val="right" w:leader="dot" w:pos="8306"/>
          <w:tab w:val="clear" w:pos="8296"/>
        </w:tabs>
      </w:pPr>
      <w:r>
        <w:fldChar w:fldCharType="begin"/>
      </w:r>
      <w:r>
        <w:instrText xml:space="preserve"> HYPERLINK \l "_Toc775676141" </w:instrText>
      </w:r>
      <w:r>
        <w:fldChar w:fldCharType="separate"/>
      </w:r>
      <w:r>
        <w:rPr>
          <w:rFonts w:ascii="Times New Roman" w:eastAsia="宋体"/>
          <w:szCs w:val="30"/>
        </w:rPr>
        <w:t>1.</w:t>
      </w:r>
      <w:r>
        <w:rPr>
          <w:rFonts w:hint="eastAsia" w:eastAsia="宋体"/>
          <w:szCs w:val="30"/>
        </w:rPr>
        <w:t>5</w:t>
      </w:r>
      <w:r>
        <w:rPr>
          <w:rFonts w:hint="eastAsia" w:ascii="Times New Roman" w:eastAsia="宋体"/>
          <w:szCs w:val="30"/>
        </w:rPr>
        <w:t>环境影响评价的主要结论</w:t>
      </w:r>
      <w:r>
        <w:tab/>
      </w:r>
      <w:r>
        <w:fldChar w:fldCharType="begin"/>
      </w:r>
      <w:r>
        <w:instrText xml:space="preserve"> PAGEREF _Toc775676141 \h </w:instrText>
      </w:r>
      <w:r>
        <w:fldChar w:fldCharType="separate"/>
      </w:r>
      <w:r>
        <w:t>14</w:t>
      </w:r>
      <w:r>
        <w:fldChar w:fldCharType="end"/>
      </w:r>
      <w:r>
        <w:fldChar w:fldCharType="end"/>
      </w:r>
    </w:p>
    <w:p>
      <w:pPr>
        <w:pStyle w:val="21"/>
        <w:tabs>
          <w:tab w:val="right" w:leader="dot" w:pos="8306"/>
        </w:tabs>
      </w:pPr>
      <w:r>
        <w:fldChar w:fldCharType="begin"/>
      </w:r>
      <w:r>
        <w:instrText xml:space="preserve"> HYPERLINK \l "_Toc529006875" </w:instrText>
      </w:r>
      <w:r>
        <w:fldChar w:fldCharType="separate"/>
      </w:r>
      <w:r>
        <w:rPr>
          <w:rFonts w:ascii="Times New Roman" w:hAnsi="Times New Roman"/>
          <w:bCs/>
        </w:rPr>
        <w:t>2  总 则</w:t>
      </w:r>
      <w:r>
        <w:tab/>
      </w:r>
      <w:r>
        <w:fldChar w:fldCharType="begin"/>
      </w:r>
      <w:r>
        <w:instrText xml:space="preserve"> PAGEREF _Toc529006875 \h </w:instrText>
      </w:r>
      <w:r>
        <w:fldChar w:fldCharType="separate"/>
      </w:r>
      <w:r>
        <w:t>15</w:t>
      </w:r>
      <w:r>
        <w:fldChar w:fldCharType="end"/>
      </w:r>
      <w:r>
        <w:fldChar w:fldCharType="end"/>
      </w:r>
    </w:p>
    <w:p>
      <w:pPr>
        <w:pStyle w:val="23"/>
        <w:tabs>
          <w:tab w:val="right" w:leader="dot" w:pos="8306"/>
          <w:tab w:val="clear" w:pos="8296"/>
        </w:tabs>
      </w:pPr>
      <w:r>
        <w:fldChar w:fldCharType="begin"/>
      </w:r>
      <w:r>
        <w:instrText xml:space="preserve"> HYPERLINK \l "_Toc958274956" </w:instrText>
      </w:r>
      <w:r>
        <w:fldChar w:fldCharType="separate"/>
      </w:r>
      <w:r>
        <w:rPr>
          <w:rFonts w:ascii="Times New Roman" w:eastAsia="宋体"/>
          <w:szCs w:val="30"/>
        </w:rPr>
        <w:t>2.1 编制依据</w:t>
      </w:r>
      <w:r>
        <w:tab/>
      </w:r>
      <w:r>
        <w:fldChar w:fldCharType="begin"/>
      </w:r>
      <w:r>
        <w:instrText xml:space="preserve"> PAGEREF _Toc958274956 \h </w:instrText>
      </w:r>
      <w:r>
        <w:fldChar w:fldCharType="separate"/>
      </w:r>
      <w:r>
        <w:t>15</w:t>
      </w:r>
      <w:r>
        <w:fldChar w:fldCharType="end"/>
      </w:r>
      <w:r>
        <w:fldChar w:fldCharType="end"/>
      </w:r>
    </w:p>
    <w:p>
      <w:pPr>
        <w:pStyle w:val="23"/>
        <w:tabs>
          <w:tab w:val="right" w:leader="dot" w:pos="8306"/>
          <w:tab w:val="clear" w:pos="8296"/>
        </w:tabs>
      </w:pPr>
      <w:r>
        <w:fldChar w:fldCharType="begin"/>
      </w:r>
      <w:r>
        <w:instrText xml:space="preserve"> HYPERLINK \l "_Toc1365227076" </w:instrText>
      </w:r>
      <w:r>
        <w:fldChar w:fldCharType="separate"/>
      </w:r>
      <w:r>
        <w:rPr>
          <w:rFonts w:ascii="Times New Roman" w:eastAsia="宋体"/>
          <w:szCs w:val="30"/>
        </w:rPr>
        <w:t>2.2 环境影响识别与评价因子筛选</w:t>
      </w:r>
      <w:r>
        <w:tab/>
      </w:r>
      <w:r>
        <w:fldChar w:fldCharType="begin"/>
      </w:r>
      <w:r>
        <w:instrText xml:space="preserve"> PAGEREF _Toc1365227076 \h </w:instrText>
      </w:r>
      <w:r>
        <w:fldChar w:fldCharType="separate"/>
      </w:r>
      <w:r>
        <w:t>18</w:t>
      </w:r>
      <w:r>
        <w:fldChar w:fldCharType="end"/>
      </w:r>
      <w:r>
        <w:fldChar w:fldCharType="end"/>
      </w:r>
    </w:p>
    <w:p>
      <w:pPr>
        <w:pStyle w:val="23"/>
        <w:tabs>
          <w:tab w:val="right" w:leader="dot" w:pos="8306"/>
          <w:tab w:val="clear" w:pos="8296"/>
        </w:tabs>
      </w:pPr>
      <w:r>
        <w:fldChar w:fldCharType="begin"/>
      </w:r>
      <w:r>
        <w:instrText xml:space="preserve"> HYPERLINK \l "_Toc1210508428" </w:instrText>
      </w:r>
      <w:r>
        <w:fldChar w:fldCharType="separate"/>
      </w:r>
      <w:r>
        <w:rPr>
          <w:rFonts w:ascii="Times New Roman" w:eastAsia="宋体"/>
          <w:szCs w:val="30"/>
        </w:rPr>
        <w:t>2.3 评价标准</w:t>
      </w:r>
      <w:r>
        <w:tab/>
      </w:r>
      <w:r>
        <w:fldChar w:fldCharType="begin"/>
      </w:r>
      <w:r>
        <w:instrText xml:space="preserve"> PAGEREF _Toc1210508428 \h </w:instrText>
      </w:r>
      <w:r>
        <w:fldChar w:fldCharType="separate"/>
      </w:r>
      <w:r>
        <w:t>20</w:t>
      </w:r>
      <w:r>
        <w:fldChar w:fldCharType="end"/>
      </w:r>
      <w:r>
        <w:fldChar w:fldCharType="end"/>
      </w:r>
    </w:p>
    <w:p>
      <w:pPr>
        <w:pStyle w:val="23"/>
        <w:tabs>
          <w:tab w:val="right" w:leader="dot" w:pos="8306"/>
          <w:tab w:val="clear" w:pos="8296"/>
        </w:tabs>
      </w:pPr>
      <w:r>
        <w:fldChar w:fldCharType="begin"/>
      </w:r>
      <w:r>
        <w:instrText xml:space="preserve"> HYPERLINK \l "_Toc1710958660" </w:instrText>
      </w:r>
      <w:r>
        <w:fldChar w:fldCharType="separate"/>
      </w:r>
      <w:r>
        <w:rPr>
          <w:rFonts w:ascii="Times New Roman" w:eastAsia="宋体"/>
          <w:szCs w:val="30"/>
        </w:rPr>
        <w:t>2.4 评价等级</w:t>
      </w:r>
      <w:r>
        <w:rPr>
          <w:rFonts w:hint="eastAsia" w:eastAsia="宋体"/>
          <w:szCs w:val="30"/>
        </w:rPr>
        <w:t>划分</w:t>
      </w:r>
      <w:r>
        <w:tab/>
      </w:r>
      <w:r>
        <w:fldChar w:fldCharType="begin"/>
      </w:r>
      <w:r>
        <w:instrText xml:space="preserve"> PAGEREF _Toc1710958660 \h </w:instrText>
      </w:r>
      <w:r>
        <w:fldChar w:fldCharType="separate"/>
      </w:r>
      <w:r>
        <w:t>25</w:t>
      </w:r>
      <w:r>
        <w:fldChar w:fldCharType="end"/>
      </w:r>
      <w:r>
        <w:fldChar w:fldCharType="end"/>
      </w:r>
    </w:p>
    <w:p>
      <w:pPr>
        <w:pStyle w:val="23"/>
        <w:tabs>
          <w:tab w:val="right" w:leader="dot" w:pos="8306"/>
          <w:tab w:val="clear" w:pos="8296"/>
        </w:tabs>
      </w:pPr>
      <w:r>
        <w:fldChar w:fldCharType="begin"/>
      </w:r>
      <w:r>
        <w:instrText xml:space="preserve"> HYPERLINK \l "_Toc409719102" </w:instrText>
      </w:r>
      <w:r>
        <w:fldChar w:fldCharType="separate"/>
      </w:r>
      <w:r>
        <w:rPr>
          <w:rFonts w:ascii="Times New Roman" w:eastAsia="宋体"/>
          <w:szCs w:val="30"/>
        </w:rPr>
        <w:t>2.5 评价范围</w:t>
      </w:r>
      <w:r>
        <w:tab/>
      </w:r>
      <w:r>
        <w:fldChar w:fldCharType="begin"/>
      </w:r>
      <w:r>
        <w:instrText xml:space="preserve"> PAGEREF _Toc409719102 \h </w:instrText>
      </w:r>
      <w:r>
        <w:fldChar w:fldCharType="separate"/>
      </w:r>
      <w:r>
        <w:t>27</w:t>
      </w:r>
      <w:r>
        <w:fldChar w:fldCharType="end"/>
      </w:r>
      <w:r>
        <w:fldChar w:fldCharType="end"/>
      </w:r>
    </w:p>
    <w:p>
      <w:pPr>
        <w:pStyle w:val="23"/>
        <w:tabs>
          <w:tab w:val="right" w:leader="dot" w:pos="8306"/>
          <w:tab w:val="clear" w:pos="8296"/>
        </w:tabs>
      </w:pPr>
      <w:r>
        <w:fldChar w:fldCharType="begin"/>
      </w:r>
      <w:r>
        <w:instrText xml:space="preserve"> HYPERLINK \l "_Toc1599121624" </w:instrText>
      </w:r>
      <w:r>
        <w:fldChar w:fldCharType="separate"/>
      </w:r>
      <w:r>
        <w:rPr>
          <w:rFonts w:ascii="Times New Roman" w:eastAsia="宋体"/>
          <w:szCs w:val="30"/>
        </w:rPr>
        <w:t>2.6 环境功能区划</w:t>
      </w:r>
      <w:r>
        <w:tab/>
      </w:r>
      <w:r>
        <w:fldChar w:fldCharType="begin"/>
      </w:r>
      <w:r>
        <w:instrText xml:space="preserve"> PAGEREF _Toc1599121624 \h </w:instrText>
      </w:r>
      <w:r>
        <w:fldChar w:fldCharType="separate"/>
      </w:r>
      <w:r>
        <w:t>27</w:t>
      </w:r>
      <w:r>
        <w:fldChar w:fldCharType="end"/>
      </w:r>
      <w:r>
        <w:fldChar w:fldCharType="end"/>
      </w:r>
    </w:p>
    <w:p>
      <w:pPr>
        <w:pStyle w:val="23"/>
        <w:tabs>
          <w:tab w:val="right" w:leader="dot" w:pos="8306"/>
          <w:tab w:val="clear" w:pos="8296"/>
        </w:tabs>
      </w:pPr>
      <w:r>
        <w:fldChar w:fldCharType="begin"/>
      </w:r>
      <w:r>
        <w:instrText xml:space="preserve"> HYPERLINK \l "_Toc1891356072" </w:instrText>
      </w:r>
      <w:r>
        <w:fldChar w:fldCharType="separate"/>
      </w:r>
      <w:r>
        <w:rPr>
          <w:rFonts w:ascii="Times New Roman" w:eastAsia="宋体"/>
        </w:rPr>
        <w:t>2.7 主要环境保护目标</w:t>
      </w:r>
      <w:r>
        <w:tab/>
      </w:r>
      <w:r>
        <w:fldChar w:fldCharType="begin"/>
      </w:r>
      <w:r>
        <w:instrText xml:space="preserve"> PAGEREF _Toc1891356072 \h </w:instrText>
      </w:r>
      <w:r>
        <w:fldChar w:fldCharType="separate"/>
      </w:r>
      <w:r>
        <w:t>28</w:t>
      </w:r>
      <w:r>
        <w:fldChar w:fldCharType="end"/>
      </w:r>
      <w:r>
        <w:fldChar w:fldCharType="end"/>
      </w:r>
    </w:p>
    <w:p>
      <w:pPr>
        <w:pStyle w:val="21"/>
        <w:tabs>
          <w:tab w:val="right" w:leader="dot" w:pos="8306"/>
        </w:tabs>
      </w:pPr>
      <w:r>
        <w:fldChar w:fldCharType="begin"/>
      </w:r>
      <w:r>
        <w:instrText xml:space="preserve"> HYPERLINK \l "_Toc1121766441" </w:instrText>
      </w:r>
      <w:r>
        <w:fldChar w:fldCharType="separate"/>
      </w:r>
      <w:r>
        <w:t>3</w:t>
      </w:r>
      <w:r>
        <w:rPr>
          <w:lang w:val="zh-CN"/>
        </w:rPr>
        <w:t xml:space="preserve">  项目概况与工程分析</w:t>
      </w:r>
      <w:r>
        <w:tab/>
      </w:r>
      <w:r>
        <w:fldChar w:fldCharType="begin"/>
      </w:r>
      <w:r>
        <w:instrText xml:space="preserve"> PAGEREF _Toc1121766441 \h </w:instrText>
      </w:r>
      <w:r>
        <w:fldChar w:fldCharType="separate"/>
      </w:r>
      <w:r>
        <w:t>30</w:t>
      </w:r>
      <w:r>
        <w:fldChar w:fldCharType="end"/>
      </w:r>
      <w:r>
        <w:fldChar w:fldCharType="end"/>
      </w:r>
    </w:p>
    <w:p>
      <w:pPr>
        <w:pStyle w:val="23"/>
        <w:tabs>
          <w:tab w:val="right" w:leader="dot" w:pos="8306"/>
          <w:tab w:val="clear" w:pos="8296"/>
        </w:tabs>
      </w:pPr>
      <w:r>
        <w:fldChar w:fldCharType="begin"/>
      </w:r>
      <w:r>
        <w:instrText xml:space="preserve"> HYPERLINK \l "_Toc715599763" </w:instrText>
      </w:r>
      <w:r>
        <w:fldChar w:fldCharType="separate"/>
      </w:r>
      <w:r>
        <w:rPr>
          <w:rFonts w:ascii="Times New Roman" w:eastAsia="宋体"/>
          <w:szCs w:val="30"/>
        </w:rPr>
        <w:t>3</w:t>
      </w:r>
      <w:r>
        <w:rPr>
          <w:rFonts w:ascii="Times New Roman" w:eastAsia="宋体"/>
          <w:szCs w:val="30"/>
          <w:lang w:val="zh-CN"/>
        </w:rPr>
        <w:t>.</w:t>
      </w:r>
      <w:r>
        <w:rPr>
          <w:rFonts w:hint="eastAsia" w:eastAsia="宋体"/>
          <w:szCs w:val="30"/>
        </w:rPr>
        <w:t>1</w:t>
      </w:r>
      <w:r>
        <w:rPr>
          <w:rFonts w:hint="eastAsia" w:ascii="Times New Roman" w:eastAsia="宋体"/>
          <w:szCs w:val="30"/>
          <w:lang w:val="zh-CN"/>
        </w:rPr>
        <w:t>壶关县</w:t>
      </w:r>
      <w:r>
        <w:rPr>
          <w:rFonts w:hint="eastAsia" w:eastAsia="宋体"/>
          <w:szCs w:val="30"/>
          <w:lang w:val="zh-CN"/>
        </w:rPr>
        <w:t>第一</w:t>
      </w:r>
      <w:r>
        <w:rPr>
          <w:rFonts w:hint="eastAsia" w:ascii="Times New Roman" w:eastAsia="宋体"/>
          <w:szCs w:val="30"/>
          <w:lang w:val="zh-CN"/>
        </w:rPr>
        <w:t>垃圾填埋场</w:t>
      </w:r>
      <w:r>
        <w:rPr>
          <w:rFonts w:hint="eastAsia" w:eastAsia="宋体"/>
          <w:szCs w:val="30"/>
          <w:lang w:val="zh-CN"/>
        </w:rPr>
        <w:t>基本情况</w:t>
      </w:r>
      <w:r>
        <w:tab/>
      </w:r>
      <w:r>
        <w:fldChar w:fldCharType="begin"/>
      </w:r>
      <w:r>
        <w:instrText xml:space="preserve"> PAGEREF _Toc715599763 \h </w:instrText>
      </w:r>
      <w:r>
        <w:fldChar w:fldCharType="separate"/>
      </w:r>
      <w:r>
        <w:t>30</w:t>
      </w:r>
      <w:r>
        <w:fldChar w:fldCharType="end"/>
      </w:r>
      <w:r>
        <w:fldChar w:fldCharType="end"/>
      </w:r>
    </w:p>
    <w:p>
      <w:pPr>
        <w:pStyle w:val="23"/>
        <w:tabs>
          <w:tab w:val="right" w:leader="dot" w:pos="8306"/>
          <w:tab w:val="clear" w:pos="8296"/>
        </w:tabs>
      </w:pPr>
      <w:r>
        <w:fldChar w:fldCharType="begin"/>
      </w:r>
      <w:r>
        <w:instrText xml:space="preserve"> HYPERLINK \l "_Toc1393207445" </w:instrText>
      </w:r>
      <w:r>
        <w:fldChar w:fldCharType="separate"/>
      </w:r>
      <w:r>
        <w:rPr>
          <w:rFonts w:ascii="Times New Roman" w:eastAsia="宋体"/>
          <w:szCs w:val="30"/>
        </w:rPr>
        <w:t>3</w:t>
      </w:r>
      <w:r>
        <w:rPr>
          <w:rFonts w:ascii="Times New Roman" w:eastAsia="宋体"/>
          <w:szCs w:val="30"/>
          <w:lang w:val="zh-CN"/>
        </w:rPr>
        <w:t>.</w:t>
      </w:r>
      <w:r>
        <w:rPr>
          <w:rFonts w:hint="eastAsia" w:eastAsia="宋体"/>
          <w:szCs w:val="30"/>
        </w:rPr>
        <w:t>2</w:t>
      </w:r>
      <w:r>
        <w:rPr>
          <w:rFonts w:hint="eastAsia" w:eastAsia="宋体"/>
          <w:szCs w:val="30"/>
          <w:lang w:val="zh-CN"/>
        </w:rPr>
        <w:t>本</w:t>
      </w:r>
      <w:r>
        <w:rPr>
          <w:rFonts w:hint="eastAsia" w:ascii="Times New Roman" w:eastAsia="宋体"/>
          <w:szCs w:val="30"/>
          <w:lang w:val="zh-CN"/>
        </w:rPr>
        <w:t>项目</w:t>
      </w:r>
      <w:r>
        <w:rPr>
          <w:rFonts w:ascii="Times New Roman" w:eastAsia="宋体"/>
          <w:szCs w:val="30"/>
          <w:lang w:val="zh-CN"/>
        </w:rPr>
        <w:t>概况</w:t>
      </w:r>
      <w:r>
        <w:tab/>
      </w:r>
      <w:r>
        <w:fldChar w:fldCharType="begin"/>
      </w:r>
      <w:r>
        <w:instrText xml:space="preserve"> PAGEREF _Toc1393207445 \h </w:instrText>
      </w:r>
      <w:r>
        <w:fldChar w:fldCharType="separate"/>
      </w:r>
      <w:r>
        <w:t>33</w:t>
      </w:r>
      <w:r>
        <w:fldChar w:fldCharType="end"/>
      </w:r>
      <w:r>
        <w:fldChar w:fldCharType="end"/>
      </w:r>
    </w:p>
    <w:p>
      <w:pPr>
        <w:pStyle w:val="23"/>
        <w:tabs>
          <w:tab w:val="right" w:leader="dot" w:pos="8306"/>
          <w:tab w:val="clear" w:pos="8296"/>
        </w:tabs>
      </w:pPr>
      <w:r>
        <w:fldChar w:fldCharType="begin"/>
      </w:r>
      <w:r>
        <w:instrText xml:space="preserve"> HYPERLINK \l "_Toc2136282297" </w:instrText>
      </w:r>
      <w:r>
        <w:fldChar w:fldCharType="separate"/>
      </w:r>
      <w:r>
        <w:rPr>
          <w:rFonts w:ascii="Times New Roman" w:eastAsia="宋体"/>
          <w:szCs w:val="30"/>
        </w:rPr>
        <w:t>3</w:t>
      </w:r>
      <w:r>
        <w:rPr>
          <w:rFonts w:ascii="Times New Roman" w:eastAsia="宋体"/>
          <w:szCs w:val="30"/>
          <w:lang w:val="zh-CN"/>
        </w:rPr>
        <w:t>.</w:t>
      </w:r>
      <w:r>
        <w:rPr>
          <w:rFonts w:hint="eastAsia" w:eastAsia="宋体"/>
          <w:szCs w:val="30"/>
        </w:rPr>
        <w:t>3</w:t>
      </w:r>
      <w:r>
        <w:rPr>
          <w:rFonts w:hint="eastAsia" w:eastAsia="宋体"/>
          <w:szCs w:val="30"/>
          <w:lang w:val="zh-CN"/>
        </w:rPr>
        <w:t>垃圾填埋工艺流程</w:t>
      </w:r>
      <w:r>
        <w:tab/>
      </w:r>
      <w:r>
        <w:fldChar w:fldCharType="begin"/>
      </w:r>
      <w:r>
        <w:instrText xml:space="preserve"> PAGEREF _Toc2136282297 \h </w:instrText>
      </w:r>
      <w:r>
        <w:fldChar w:fldCharType="separate"/>
      </w:r>
      <w:r>
        <w:t>48</w:t>
      </w:r>
      <w:r>
        <w:fldChar w:fldCharType="end"/>
      </w:r>
      <w:r>
        <w:fldChar w:fldCharType="end"/>
      </w:r>
    </w:p>
    <w:p>
      <w:pPr>
        <w:pStyle w:val="23"/>
        <w:tabs>
          <w:tab w:val="right" w:leader="dot" w:pos="8306"/>
          <w:tab w:val="clear" w:pos="8296"/>
        </w:tabs>
      </w:pPr>
      <w:r>
        <w:fldChar w:fldCharType="begin"/>
      </w:r>
      <w:r>
        <w:instrText xml:space="preserve"> HYPERLINK \l "_Toc1885663388" </w:instrText>
      </w:r>
      <w:r>
        <w:fldChar w:fldCharType="separate"/>
      </w:r>
      <w:r>
        <w:rPr>
          <w:rFonts w:ascii="Times New Roman" w:eastAsia="宋体"/>
          <w:szCs w:val="30"/>
        </w:rPr>
        <w:t>3</w:t>
      </w:r>
      <w:r>
        <w:rPr>
          <w:rFonts w:ascii="Times New Roman" w:eastAsia="宋体"/>
          <w:szCs w:val="30"/>
          <w:lang w:val="zh-CN"/>
        </w:rPr>
        <w:t>.</w:t>
      </w:r>
      <w:r>
        <w:rPr>
          <w:rFonts w:hint="eastAsia" w:eastAsia="宋体"/>
          <w:szCs w:val="30"/>
        </w:rPr>
        <w:t>4</w:t>
      </w:r>
      <w:r>
        <w:rPr>
          <w:rFonts w:ascii="Times New Roman" w:eastAsia="宋体"/>
          <w:szCs w:val="30"/>
          <w:lang w:val="zh-CN"/>
        </w:rPr>
        <w:t xml:space="preserve"> 工程污染源排放情况及防治措施</w:t>
      </w:r>
      <w:r>
        <w:tab/>
      </w:r>
      <w:r>
        <w:fldChar w:fldCharType="begin"/>
      </w:r>
      <w:r>
        <w:instrText xml:space="preserve"> PAGEREF _Toc1885663388 \h </w:instrText>
      </w:r>
      <w:r>
        <w:fldChar w:fldCharType="separate"/>
      </w:r>
      <w:r>
        <w:t>50</w:t>
      </w:r>
      <w:r>
        <w:fldChar w:fldCharType="end"/>
      </w:r>
      <w:r>
        <w:fldChar w:fldCharType="end"/>
      </w:r>
    </w:p>
    <w:p>
      <w:pPr>
        <w:pStyle w:val="21"/>
        <w:tabs>
          <w:tab w:val="right" w:leader="dot" w:pos="8306"/>
        </w:tabs>
      </w:pPr>
      <w:r>
        <w:fldChar w:fldCharType="begin"/>
      </w:r>
      <w:r>
        <w:instrText xml:space="preserve"> HYPERLINK \l "_Toc1621179403" </w:instrText>
      </w:r>
      <w:r>
        <w:fldChar w:fldCharType="separate"/>
      </w:r>
      <w:r>
        <w:rPr>
          <w:rFonts w:ascii="Times New Roman" w:hAnsi="Times New Roman"/>
          <w:bCs/>
        </w:rPr>
        <w:t>4  环境现状调查与评价</w:t>
      </w:r>
      <w:r>
        <w:tab/>
      </w:r>
      <w:r>
        <w:fldChar w:fldCharType="begin"/>
      </w:r>
      <w:r>
        <w:instrText xml:space="preserve"> PAGEREF _Toc1621179403 \h </w:instrText>
      </w:r>
      <w:r>
        <w:fldChar w:fldCharType="separate"/>
      </w:r>
      <w:r>
        <w:t>65</w:t>
      </w:r>
      <w:r>
        <w:fldChar w:fldCharType="end"/>
      </w:r>
      <w:r>
        <w:fldChar w:fldCharType="end"/>
      </w:r>
    </w:p>
    <w:p>
      <w:pPr>
        <w:pStyle w:val="21"/>
        <w:tabs>
          <w:tab w:val="right" w:leader="dot" w:pos="8306"/>
        </w:tabs>
      </w:pPr>
      <w:r>
        <w:fldChar w:fldCharType="begin"/>
      </w:r>
      <w:r>
        <w:instrText xml:space="preserve"> HYPERLINK \l "_Toc1926981" </w:instrText>
      </w:r>
      <w:r>
        <w:fldChar w:fldCharType="separate"/>
      </w:r>
      <w:r>
        <w:rPr>
          <w:rFonts w:ascii="Times New Roman" w:hAnsi="Times New Roman"/>
          <w:bCs/>
        </w:rPr>
        <w:t>5  环境影响预测与评价</w:t>
      </w:r>
      <w:r>
        <w:tab/>
      </w:r>
      <w:r>
        <w:fldChar w:fldCharType="begin"/>
      </w:r>
      <w:r>
        <w:instrText xml:space="preserve"> PAGEREF _Toc1926981 \h </w:instrText>
      </w:r>
      <w:r>
        <w:fldChar w:fldCharType="separate"/>
      </w:r>
      <w:r>
        <w:t>66</w:t>
      </w:r>
      <w:r>
        <w:fldChar w:fldCharType="end"/>
      </w:r>
      <w:r>
        <w:fldChar w:fldCharType="end"/>
      </w:r>
    </w:p>
    <w:p>
      <w:pPr>
        <w:pStyle w:val="23"/>
        <w:tabs>
          <w:tab w:val="right" w:leader="dot" w:pos="8306"/>
          <w:tab w:val="clear" w:pos="8296"/>
        </w:tabs>
      </w:pPr>
      <w:r>
        <w:fldChar w:fldCharType="begin"/>
      </w:r>
      <w:r>
        <w:instrText xml:space="preserve"> HYPERLINK \l "_Toc1343974189" </w:instrText>
      </w:r>
      <w:r>
        <w:fldChar w:fldCharType="separate"/>
      </w:r>
      <w:r>
        <w:rPr>
          <w:rFonts w:ascii="Times New Roman" w:eastAsia="宋体"/>
          <w:szCs w:val="30"/>
        </w:rPr>
        <w:t xml:space="preserve">5.1 </w:t>
      </w:r>
      <w:r>
        <w:rPr>
          <w:rFonts w:hint="eastAsia" w:eastAsia="宋体"/>
          <w:szCs w:val="30"/>
        </w:rPr>
        <w:t>环境空气</w:t>
      </w:r>
      <w:r>
        <w:rPr>
          <w:rFonts w:ascii="Times New Roman" w:eastAsia="宋体"/>
          <w:szCs w:val="30"/>
        </w:rPr>
        <w:t>影响评价</w:t>
      </w:r>
      <w:r>
        <w:tab/>
      </w:r>
      <w:r>
        <w:fldChar w:fldCharType="begin"/>
      </w:r>
      <w:r>
        <w:instrText xml:space="preserve"> PAGEREF _Toc1343974189 \h </w:instrText>
      </w:r>
      <w:r>
        <w:fldChar w:fldCharType="separate"/>
      </w:r>
      <w:r>
        <w:t>66</w:t>
      </w:r>
      <w:r>
        <w:fldChar w:fldCharType="end"/>
      </w:r>
      <w:r>
        <w:fldChar w:fldCharType="end"/>
      </w:r>
    </w:p>
    <w:p>
      <w:pPr>
        <w:pStyle w:val="23"/>
        <w:tabs>
          <w:tab w:val="right" w:leader="dot" w:pos="8306"/>
          <w:tab w:val="clear" w:pos="8296"/>
        </w:tabs>
      </w:pPr>
      <w:r>
        <w:fldChar w:fldCharType="begin"/>
      </w:r>
      <w:r>
        <w:instrText xml:space="preserve"> HYPERLINK \l "_Toc1688575393" </w:instrText>
      </w:r>
      <w:r>
        <w:fldChar w:fldCharType="separate"/>
      </w:r>
      <w:r>
        <w:rPr>
          <w:rFonts w:ascii="Times New Roman" w:eastAsia="宋体"/>
          <w:szCs w:val="30"/>
        </w:rPr>
        <w:t>5.</w:t>
      </w:r>
      <w:r>
        <w:rPr>
          <w:rFonts w:hint="eastAsia" w:eastAsia="宋体"/>
          <w:szCs w:val="30"/>
        </w:rPr>
        <w:t>2地表水环境</w:t>
      </w:r>
      <w:r>
        <w:rPr>
          <w:rFonts w:ascii="Times New Roman" w:eastAsia="宋体"/>
          <w:szCs w:val="30"/>
        </w:rPr>
        <w:t>影响评价</w:t>
      </w:r>
      <w:r>
        <w:tab/>
      </w:r>
      <w:r>
        <w:fldChar w:fldCharType="begin"/>
      </w:r>
      <w:r>
        <w:instrText xml:space="preserve"> PAGEREF _Toc1688575393 \h </w:instrText>
      </w:r>
      <w:r>
        <w:fldChar w:fldCharType="separate"/>
      </w:r>
      <w:r>
        <w:t>72</w:t>
      </w:r>
      <w:r>
        <w:fldChar w:fldCharType="end"/>
      </w:r>
      <w:r>
        <w:fldChar w:fldCharType="end"/>
      </w:r>
    </w:p>
    <w:p>
      <w:pPr>
        <w:pStyle w:val="23"/>
        <w:tabs>
          <w:tab w:val="right" w:leader="dot" w:pos="8306"/>
          <w:tab w:val="clear" w:pos="8296"/>
        </w:tabs>
      </w:pPr>
      <w:r>
        <w:fldChar w:fldCharType="begin"/>
      </w:r>
      <w:r>
        <w:instrText xml:space="preserve"> HYPERLINK \l "_Toc76764059" </w:instrText>
      </w:r>
      <w:r>
        <w:fldChar w:fldCharType="separate"/>
      </w:r>
      <w:r>
        <w:rPr>
          <w:rFonts w:ascii="Times New Roman" w:eastAsia="宋体"/>
          <w:szCs w:val="30"/>
        </w:rPr>
        <w:t>5.</w:t>
      </w:r>
      <w:r>
        <w:rPr>
          <w:rFonts w:hint="eastAsia" w:eastAsia="宋体"/>
          <w:szCs w:val="30"/>
        </w:rPr>
        <w:t>3地下水环境</w:t>
      </w:r>
      <w:r>
        <w:rPr>
          <w:rFonts w:ascii="Times New Roman" w:eastAsia="宋体"/>
          <w:szCs w:val="30"/>
        </w:rPr>
        <w:t>影响</w:t>
      </w:r>
      <w:r>
        <w:rPr>
          <w:rFonts w:hint="eastAsia" w:eastAsia="宋体"/>
          <w:szCs w:val="30"/>
        </w:rPr>
        <w:t>预测与</w:t>
      </w:r>
      <w:r>
        <w:rPr>
          <w:rFonts w:ascii="Times New Roman" w:eastAsia="宋体"/>
          <w:szCs w:val="30"/>
        </w:rPr>
        <w:t>评价</w:t>
      </w:r>
      <w:r>
        <w:tab/>
      </w:r>
      <w:r>
        <w:fldChar w:fldCharType="begin"/>
      </w:r>
      <w:r>
        <w:instrText xml:space="preserve"> PAGEREF _Toc76764059 \h </w:instrText>
      </w:r>
      <w:r>
        <w:fldChar w:fldCharType="separate"/>
      </w:r>
      <w:r>
        <w:t>72</w:t>
      </w:r>
      <w:r>
        <w:fldChar w:fldCharType="end"/>
      </w:r>
      <w:r>
        <w:fldChar w:fldCharType="end"/>
      </w:r>
    </w:p>
    <w:p>
      <w:pPr>
        <w:pStyle w:val="23"/>
        <w:tabs>
          <w:tab w:val="right" w:leader="dot" w:pos="8306"/>
          <w:tab w:val="clear" w:pos="8296"/>
        </w:tabs>
      </w:pPr>
      <w:r>
        <w:fldChar w:fldCharType="begin"/>
      </w:r>
      <w:r>
        <w:instrText xml:space="preserve"> HYPERLINK \l "_Toc1614402898" </w:instrText>
      </w:r>
      <w:r>
        <w:fldChar w:fldCharType="separate"/>
      </w:r>
      <w:r>
        <w:rPr>
          <w:rFonts w:ascii="Times New Roman" w:eastAsia="宋体"/>
          <w:szCs w:val="30"/>
        </w:rPr>
        <w:t>5.</w:t>
      </w:r>
      <w:r>
        <w:rPr>
          <w:rFonts w:hint="eastAsia" w:eastAsia="宋体"/>
          <w:szCs w:val="30"/>
        </w:rPr>
        <w:t>4声环境影响评价</w:t>
      </w:r>
      <w:r>
        <w:tab/>
      </w:r>
      <w:r>
        <w:fldChar w:fldCharType="begin"/>
      </w:r>
      <w:r>
        <w:instrText xml:space="preserve"> PAGEREF _Toc1614402898 \h </w:instrText>
      </w:r>
      <w:r>
        <w:fldChar w:fldCharType="separate"/>
      </w:r>
      <w:r>
        <w:t>99</w:t>
      </w:r>
      <w:r>
        <w:fldChar w:fldCharType="end"/>
      </w:r>
      <w:r>
        <w:fldChar w:fldCharType="end"/>
      </w:r>
    </w:p>
    <w:p>
      <w:pPr>
        <w:pStyle w:val="23"/>
        <w:tabs>
          <w:tab w:val="right" w:leader="dot" w:pos="8306"/>
          <w:tab w:val="clear" w:pos="8296"/>
        </w:tabs>
      </w:pPr>
      <w:r>
        <w:fldChar w:fldCharType="begin"/>
      </w:r>
      <w:r>
        <w:instrText xml:space="preserve"> HYPERLINK \l "_Toc501313128" </w:instrText>
      </w:r>
      <w:r>
        <w:fldChar w:fldCharType="separate"/>
      </w:r>
      <w:r>
        <w:rPr>
          <w:rFonts w:ascii="Times New Roman" w:eastAsia="宋体"/>
          <w:szCs w:val="30"/>
        </w:rPr>
        <w:t>5.</w:t>
      </w:r>
      <w:r>
        <w:rPr>
          <w:rFonts w:hint="eastAsia" w:eastAsia="宋体"/>
          <w:szCs w:val="30"/>
        </w:rPr>
        <w:t>5固体废物环境影响评价</w:t>
      </w:r>
      <w:r>
        <w:tab/>
      </w:r>
      <w:r>
        <w:fldChar w:fldCharType="begin"/>
      </w:r>
      <w:r>
        <w:instrText xml:space="preserve"> PAGEREF _Toc501313128 \h </w:instrText>
      </w:r>
      <w:r>
        <w:fldChar w:fldCharType="separate"/>
      </w:r>
      <w:r>
        <w:t>101</w:t>
      </w:r>
      <w:r>
        <w:fldChar w:fldCharType="end"/>
      </w:r>
      <w:r>
        <w:fldChar w:fldCharType="end"/>
      </w:r>
    </w:p>
    <w:p>
      <w:pPr>
        <w:pStyle w:val="23"/>
        <w:tabs>
          <w:tab w:val="right" w:leader="dot" w:pos="8306"/>
          <w:tab w:val="clear" w:pos="8296"/>
        </w:tabs>
      </w:pPr>
      <w:r>
        <w:fldChar w:fldCharType="begin"/>
      </w:r>
      <w:r>
        <w:instrText xml:space="preserve"> HYPERLINK \l "_Toc817121426" </w:instrText>
      </w:r>
      <w:r>
        <w:fldChar w:fldCharType="separate"/>
      </w:r>
      <w:r>
        <w:rPr>
          <w:rFonts w:ascii="Times New Roman" w:eastAsia="宋体"/>
          <w:szCs w:val="30"/>
        </w:rPr>
        <w:t>5.</w:t>
      </w:r>
      <w:r>
        <w:rPr>
          <w:rFonts w:hint="eastAsia" w:eastAsia="宋体"/>
          <w:szCs w:val="30"/>
        </w:rPr>
        <w:t>6生态环境影响评价</w:t>
      </w:r>
      <w:r>
        <w:tab/>
      </w:r>
      <w:r>
        <w:fldChar w:fldCharType="begin"/>
      </w:r>
      <w:r>
        <w:instrText xml:space="preserve"> PAGEREF _Toc817121426 \h </w:instrText>
      </w:r>
      <w:r>
        <w:fldChar w:fldCharType="separate"/>
      </w:r>
      <w:r>
        <w:t>101</w:t>
      </w:r>
      <w:r>
        <w:fldChar w:fldCharType="end"/>
      </w:r>
      <w:r>
        <w:fldChar w:fldCharType="end"/>
      </w:r>
    </w:p>
    <w:p>
      <w:pPr>
        <w:pStyle w:val="23"/>
        <w:tabs>
          <w:tab w:val="right" w:leader="dot" w:pos="8306"/>
          <w:tab w:val="clear" w:pos="8296"/>
        </w:tabs>
      </w:pPr>
      <w:r>
        <w:fldChar w:fldCharType="begin"/>
      </w:r>
      <w:r>
        <w:instrText xml:space="preserve"> HYPERLINK \l "_Toc2102006670" </w:instrText>
      </w:r>
      <w:r>
        <w:fldChar w:fldCharType="separate"/>
      </w:r>
      <w:r>
        <w:rPr>
          <w:rFonts w:ascii="Times New Roman" w:eastAsia="宋体"/>
          <w:szCs w:val="30"/>
        </w:rPr>
        <w:t>5.</w:t>
      </w:r>
      <w:r>
        <w:rPr>
          <w:rFonts w:hint="eastAsia" w:eastAsia="宋体"/>
          <w:szCs w:val="30"/>
        </w:rPr>
        <w:t>7土壤环境影响预测与评价</w:t>
      </w:r>
      <w:r>
        <w:tab/>
      </w:r>
      <w:r>
        <w:fldChar w:fldCharType="begin"/>
      </w:r>
      <w:r>
        <w:instrText xml:space="preserve"> PAGEREF _Toc2102006670 \h </w:instrText>
      </w:r>
      <w:r>
        <w:fldChar w:fldCharType="separate"/>
      </w:r>
      <w:r>
        <w:t>103</w:t>
      </w:r>
      <w:r>
        <w:fldChar w:fldCharType="end"/>
      </w:r>
      <w:r>
        <w:fldChar w:fldCharType="end"/>
      </w:r>
    </w:p>
    <w:p>
      <w:pPr>
        <w:pStyle w:val="23"/>
        <w:tabs>
          <w:tab w:val="right" w:leader="dot" w:pos="8306"/>
          <w:tab w:val="clear" w:pos="8296"/>
        </w:tabs>
      </w:pPr>
      <w:r>
        <w:fldChar w:fldCharType="begin"/>
      </w:r>
      <w:r>
        <w:instrText xml:space="preserve"> HYPERLINK \l "_Toc1413875225" </w:instrText>
      </w:r>
      <w:r>
        <w:fldChar w:fldCharType="separate"/>
      </w:r>
      <w:r>
        <w:rPr>
          <w:rFonts w:ascii="Times New Roman" w:eastAsia="宋体"/>
          <w:szCs w:val="30"/>
        </w:rPr>
        <w:t>5.</w:t>
      </w:r>
      <w:r>
        <w:rPr>
          <w:rFonts w:hint="eastAsia" w:eastAsia="宋体"/>
          <w:szCs w:val="30"/>
        </w:rPr>
        <w:t>8</w:t>
      </w:r>
      <w:r>
        <w:rPr>
          <w:rFonts w:hint="eastAsia" w:ascii="Times New Roman" w:eastAsia="宋体"/>
          <w:szCs w:val="30"/>
        </w:rPr>
        <w:t>环境风险影响评</w:t>
      </w:r>
      <w:r>
        <w:rPr>
          <w:rFonts w:ascii="Times New Roman" w:eastAsia="宋体"/>
          <w:szCs w:val="30"/>
        </w:rPr>
        <w:t>价</w:t>
      </w:r>
      <w:r>
        <w:tab/>
      </w:r>
      <w:r>
        <w:fldChar w:fldCharType="begin"/>
      </w:r>
      <w:r>
        <w:instrText xml:space="preserve"> PAGEREF _Toc1413875225 \h </w:instrText>
      </w:r>
      <w:r>
        <w:fldChar w:fldCharType="separate"/>
      </w:r>
      <w:r>
        <w:t>110</w:t>
      </w:r>
      <w:r>
        <w:fldChar w:fldCharType="end"/>
      </w:r>
      <w:r>
        <w:fldChar w:fldCharType="end"/>
      </w:r>
    </w:p>
    <w:p>
      <w:pPr>
        <w:pStyle w:val="21"/>
        <w:tabs>
          <w:tab w:val="right" w:leader="dot" w:pos="8306"/>
        </w:tabs>
      </w:pPr>
      <w:r>
        <w:fldChar w:fldCharType="begin"/>
      </w:r>
      <w:r>
        <w:instrText xml:space="preserve"> HYPERLINK \l "_Toc863930343" </w:instrText>
      </w:r>
      <w:r>
        <w:fldChar w:fldCharType="separate"/>
      </w:r>
      <w:r>
        <w:rPr>
          <w:rFonts w:ascii="Times New Roman" w:hAnsi="Times New Roman"/>
          <w:bCs/>
        </w:rPr>
        <w:t>6</w:t>
      </w:r>
      <w:r>
        <w:rPr>
          <w:rFonts w:ascii="Times New Roman" w:hAnsi="Times New Roman"/>
          <w:bCs/>
          <w:lang w:val="zh-CN"/>
        </w:rPr>
        <w:t xml:space="preserve">  环境保护措施及可行性论证</w:t>
      </w:r>
      <w:r>
        <w:tab/>
      </w:r>
      <w:r>
        <w:fldChar w:fldCharType="begin"/>
      </w:r>
      <w:r>
        <w:instrText xml:space="preserve"> PAGEREF _Toc863930343 \h </w:instrText>
      </w:r>
      <w:r>
        <w:fldChar w:fldCharType="separate"/>
      </w:r>
      <w:r>
        <w:t>118</w:t>
      </w:r>
      <w:r>
        <w:fldChar w:fldCharType="end"/>
      </w:r>
      <w:r>
        <w:fldChar w:fldCharType="end"/>
      </w:r>
    </w:p>
    <w:p>
      <w:pPr>
        <w:pStyle w:val="23"/>
        <w:tabs>
          <w:tab w:val="right" w:leader="dot" w:pos="8306"/>
          <w:tab w:val="clear" w:pos="8296"/>
        </w:tabs>
      </w:pPr>
      <w:r>
        <w:fldChar w:fldCharType="begin"/>
      </w:r>
      <w:r>
        <w:instrText xml:space="preserve"> HYPERLINK \l "_Toc22945400" </w:instrText>
      </w:r>
      <w:r>
        <w:fldChar w:fldCharType="separate"/>
      </w:r>
      <w:r>
        <w:rPr>
          <w:rFonts w:ascii="Times New Roman" w:eastAsia="宋体"/>
          <w:szCs w:val="30"/>
        </w:rPr>
        <w:t>6.1 施工期污染防治措施</w:t>
      </w:r>
      <w:r>
        <w:tab/>
      </w:r>
      <w:r>
        <w:fldChar w:fldCharType="begin"/>
      </w:r>
      <w:r>
        <w:instrText xml:space="preserve"> PAGEREF _Toc22945400 \h </w:instrText>
      </w:r>
      <w:r>
        <w:fldChar w:fldCharType="separate"/>
      </w:r>
      <w:r>
        <w:t>118</w:t>
      </w:r>
      <w:r>
        <w:fldChar w:fldCharType="end"/>
      </w:r>
      <w:r>
        <w:fldChar w:fldCharType="end"/>
      </w:r>
    </w:p>
    <w:p>
      <w:pPr>
        <w:pStyle w:val="23"/>
        <w:tabs>
          <w:tab w:val="right" w:leader="dot" w:pos="8306"/>
          <w:tab w:val="clear" w:pos="8296"/>
        </w:tabs>
      </w:pPr>
      <w:r>
        <w:fldChar w:fldCharType="begin"/>
      </w:r>
      <w:r>
        <w:instrText xml:space="preserve"> HYPERLINK \l "_Toc505159397" </w:instrText>
      </w:r>
      <w:r>
        <w:fldChar w:fldCharType="separate"/>
      </w:r>
      <w:r>
        <w:rPr>
          <w:rFonts w:ascii="Times New Roman" w:eastAsia="宋体"/>
          <w:szCs w:val="30"/>
        </w:rPr>
        <w:t>6.2 运营期污染防治措施</w:t>
      </w:r>
      <w:r>
        <w:tab/>
      </w:r>
      <w:r>
        <w:fldChar w:fldCharType="begin"/>
      </w:r>
      <w:r>
        <w:instrText xml:space="preserve"> PAGEREF _Toc505159397 \h </w:instrText>
      </w:r>
      <w:r>
        <w:fldChar w:fldCharType="separate"/>
      </w:r>
      <w:r>
        <w:t>118</w:t>
      </w:r>
      <w:r>
        <w:fldChar w:fldCharType="end"/>
      </w:r>
      <w:r>
        <w:fldChar w:fldCharType="end"/>
      </w:r>
    </w:p>
    <w:p>
      <w:pPr>
        <w:pStyle w:val="23"/>
        <w:tabs>
          <w:tab w:val="right" w:leader="dot" w:pos="8306"/>
          <w:tab w:val="clear" w:pos="8296"/>
        </w:tabs>
      </w:pPr>
      <w:r>
        <w:fldChar w:fldCharType="begin"/>
      </w:r>
      <w:r>
        <w:instrText xml:space="preserve"> HYPERLINK \l "_Toc1067075457" </w:instrText>
      </w:r>
      <w:r>
        <w:fldChar w:fldCharType="separate"/>
      </w:r>
      <w:r>
        <w:rPr>
          <w:rFonts w:ascii="Times New Roman" w:eastAsia="宋体"/>
          <w:szCs w:val="30"/>
        </w:rPr>
        <w:t>6.</w:t>
      </w:r>
      <w:r>
        <w:rPr>
          <w:rFonts w:hint="eastAsia" w:ascii="Times New Roman" w:eastAsia="宋体"/>
          <w:szCs w:val="30"/>
        </w:rPr>
        <w:t>3封场后环境影响</w:t>
      </w:r>
      <w:r>
        <w:rPr>
          <w:rFonts w:ascii="Times New Roman" w:eastAsia="宋体"/>
          <w:szCs w:val="30"/>
        </w:rPr>
        <w:t>防治措施</w:t>
      </w:r>
      <w:r>
        <w:tab/>
      </w:r>
      <w:r>
        <w:fldChar w:fldCharType="begin"/>
      </w:r>
      <w:r>
        <w:instrText xml:space="preserve"> PAGEREF _Toc1067075457 \h </w:instrText>
      </w:r>
      <w:r>
        <w:fldChar w:fldCharType="separate"/>
      </w:r>
      <w:r>
        <w:t>131</w:t>
      </w:r>
      <w:r>
        <w:fldChar w:fldCharType="end"/>
      </w:r>
      <w:r>
        <w:fldChar w:fldCharType="end"/>
      </w:r>
    </w:p>
    <w:p>
      <w:pPr>
        <w:pStyle w:val="23"/>
        <w:tabs>
          <w:tab w:val="right" w:leader="dot" w:pos="8306"/>
          <w:tab w:val="clear" w:pos="8296"/>
        </w:tabs>
      </w:pPr>
      <w:r>
        <w:fldChar w:fldCharType="begin"/>
      </w:r>
      <w:r>
        <w:instrText xml:space="preserve"> HYPERLINK \l "_Toc798621541" </w:instrText>
      </w:r>
      <w:r>
        <w:fldChar w:fldCharType="separate"/>
      </w:r>
      <w:r>
        <w:rPr>
          <w:rFonts w:ascii="Times New Roman" w:eastAsia="宋体"/>
          <w:szCs w:val="30"/>
        </w:rPr>
        <w:t>6.</w:t>
      </w:r>
      <w:r>
        <w:rPr>
          <w:rFonts w:hint="eastAsia" w:eastAsia="宋体"/>
          <w:szCs w:val="30"/>
        </w:rPr>
        <w:t>4</w:t>
      </w:r>
      <w:r>
        <w:rPr>
          <w:rFonts w:hint="eastAsia" w:ascii="Times New Roman" w:eastAsia="宋体"/>
          <w:szCs w:val="30"/>
        </w:rPr>
        <w:t>主要</w:t>
      </w:r>
      <w:r>
        <w:rPr>
          <w:rFonts w:ascii="Times New Roman" w:eastAsia="宋体"/>
          <w:szCs w:val="30"/>
        </w:rPr>
        <w:t>环保措施汇总</w:t>
      </w:r>
      <w:r>
        <w:rPr>
          <w:rFonts w:hint="eastAsia" w:eastAsia="宋体"/>
          <w:szCs w:val="30"/>
        </w:rPr>
        <w:t>及</w:t>
      </w:r>
      <w:r>
        <w:rPr>
          <w:rFonts w:ascii="Times New Roman" w:eastAsia="宋体"/>
          <w:szCs w:val="30"/>
        </w:rPr>
        <w:t>投资概算</w:t>
      </w:r>
      <w:r>
        <w:tab/>
      </w:r>
      <w:r>
        <w:fldChar w:fldCharType="begin"/>
      </w:r>
      <w:r>
        <w:instrText xml:space="preserve"> PAGEREF _Toc798621541 \h </w:instrText>
      </w:r>
      <w:r>
        <w:fldChar w:fldCharType="separate"/>
      </w:r>
      <w:r>
        <w:t>131</w:t>
      </w:r>
      <w:r>
        <w:fldChar w:fldCharType="end"/>
      </w:r>
      <w:r>
        <w:fldChar w:fldCharType="end"/>
      </w:r>
    </w:p>
    <w:p>
      <w:pPr>
        <w:pStyle w:val="21"/>
        <w:tabs>
          <w:tab w:val="right" w:leader="dot" w:pos="8306"/>
        </w:tabs>
      </w:pPr>
      <w:r>
        <w:fldChar w:fldCharType="begin"/>
      </w:r>
      <w:r>
        <w:instrText xml:space="preserve"> HYPERLINK \l "_Toc1034166272" </w:instrText>
      </w:r>
      <w:r>
        <w:fldChar w:fldCharType="separate"/>
      </w:r>
      <w:r>
        <w:rPr>
          <w:rFonts w:ascii="Times New Roman" w:hAnsi="Times New Roman"/>
          <w:bCs/>
        </w:rPr>
        <w:t>7  环境影响经济损益分析</w:t>
      </w:r>
      <w:r>
        <w:tab/>
      </w:r>
      <w:r>
        <w:fldChar w:fldCharType="begin"/>
      </w:r>
      <w:r>
        <w:instrText xml:space="preserve"> PAGEREF _Toc1034166272 \h </w:instrText>
      </w:r>
      <w:r>
        <w:fldChar w:fldCharType="separate"/>
      </w:r>
      <w:r>
        <w:t>134</w:t>
      </w:r>
      <w:r>
        <w:fldChar w:fldCharType="end"/>
      </w:r>
      <w:r>
        <w:fldChar w:fldCharType="end"/>
      </w:r>
    </w:p>
    <w:p>
      <w:pPr>
        <w:pStyle w:val="23"/>
        <w:tabs>
          <w:tab w:val="right" w:leader="dot" w:pos="8306"/>
          <w:tab w:val="clear" w:pos="8296"/>
        </w:tabs>
      </w:pPr>
      <w:r>
        <w:fldChar w:fldCharType="begin"/>
      </w:r>
      <w:r>
        <w:instrText xml:space="preserve"> HYPERLINK \l "_Toc2025350413" </w:instrText>
      </w:r>
      <w:r>
        <w:fldChar w:fldCharType="separate"/>
      </w:r>
      <w:r>
        <w:rPr>
          <w:rFonts w:ascii="Times New Roman" w:eastAsia="宋体"/>
          <w:szCs w:val="30"/>
        </w:rPr>
        <w:t>7.1</w:t>
      </w:r>
      <w:r>
        <w:rPr>
          <w:rFonts w:hint="eastAsia" w:eastAsia="宋体"/>
          <w:szCs w:val="30"/>
        </w:rPr>
        <w:t>环境</w:t>
      </w:r>
      <w:r>
        <w:rPr>
          <w:rFonts w:ascii="Times New Roman" w:eastAsia="宋体"/>
          <w:szCs w:val="30"/>
        </w:rPr>
        <w:t>效益分析</w:t>
      </w:r>
      <w:r>
        <w:tab/>
      </w:r>
      <w:r>
        <w:fldChar w:fldCharType="begin"/>
      </w:r>
      <w:r>
        <w:instrText xml:space="preserve"> PAGEREF _Toc2025350413 \h </w:instrText>
      </w:r>
      <w:r>
        <w:fldChar w:fldCharType="separate"/>
      </w:r>
      <w:r>
        <w:t>134</w:t>
      </w:r>
      <w:r>
        <w:fldChar w:fldCharType="end"/>
      </w:r>
      <w:r>
        <w:fldChar w:fldCharType="end"/>
      </w:r>
    </w:p>
    <w:p>
      <w:pPr>
        <w:pStyle w:val="23"/>
        <w:tabs>
          <w:tab w:val="right" w:leader="dot" w:pos="8306"/>
          <w:tab w:val="clear" w:pos="8296"/>
        </w:tabs>
      </w:pPr>
      <w:r>
        <w:fldChar w:fldCharType="begin"/>
      </w:r>
      <w:r>
        <w:instrText xml:space="preserve"> HYPERLINK \l "_Toc16364969" </w:instrText>
      </w:r>
      <w:r>
        <w:fldChar w:fldCharType="separate"/>
      </w:r>
      <w:r>
        <w:rPr>
          <w:rFonts w:ascii="Times New Roman" w:eastAsia="宋体"/>
          <w:szCs w:val="30"/>
        </w:rPr>
        <w:t>7.2经济效益分析</w:t>
      </w:r>
      <w:r>
        <w:tab/>
      </w:r>
      <w:r>
        <w:fldChar w:fldCharType="begin"/>
      </w:r>
      <w:r>
        <w:instrText xml:space="preserve"> PAGEREF _Toc16364969 \h </w:instrText>
      </w:r>
      <w:r>
        <w:fldChar w:fldCharType="separate"/>
      </w:r>
      <w:r>
        <w:t>134</w:t>
      </w:r>
      <w:r>
        <w:fldChar w:fldCharType="end"/>
      </w:r>
      <w:r>
        <w:fldChar w:fldCharType="end"/>
      </w:r>
    </w:p>
    <w:p>
      <w:pPr>
        <w:pStyle w:val="23"/>
        <w:tabs>
          <w:tab w:val="right" w:leader="dot" w:pos="8306"/>
          <w:tab w:val="clear" w:pos="8296"/>
        </w:tabs>
      </w:pPr>
      <w:r>
        <w:fldChar w:fldCharType="begin"/>
      </w:r>
      <w:r>
        <w:instrText xml:space="preserve"> HYPERLINK \l "_Toc97191053" </w:instrText>
      </w:r>
      <w:r>
        <w:fldChar w:fldCharType="separate"/>
      </w:r>
      <w:r>
        <w:rPr>
          <w:rFonts w:ascii="Times New Roman" w:eastAsia="宋体"/>
          <w:szCs w:val="30"/>
        </w:rPr>
        <w:t>7.3</w:t>
      </w:r>
      <w:r>
        <w:rPr>
          <w:rFonts w:hint="eastAsia" w:eastAsia="宋体"/>
          <w:szCs w:val="30"/>
        </w:rPr>
        <w:t>社会</w:t>
      </w:r>
      <w:r>
        <w:rPr>
          <w:rFonts w:ascii="Times New Roman" w:eastAsia="宋体"/>
          <w:szCs w:val="30"/>
        </w:rPr>
        <w:t>效益分析</w:t>
      </w:r>
      <w:r>
        <w:tab/>
      </w:r>
      <w:r>
        <w:fldChar w:fldCharType="begin"/>
      </w:r>
      <w:r>
        <w:instrText xml:space="preserve"> PAGEREF _Toc97191053 \h </w:instrText>
      </w:r>
      <w:r>
        <w:fldChar w:fldCharType="separate"/>
      </w:r>
      <w:r>
        <w:t>134</w:t>
      </w:r>
      <w:r>
        <w:fldChar w:fldCharType="end"/>
      </w:r>
      <w:r>
        <w:fldChar w:fldCharType="end"/>
      </w:r>
    </w:p>
    <w:p>
      <w:pPr>
        <w:pStyle w:val="21"/>
        <w:tabs>
          <w:tab w:val="right" w:leader="dot" w:pos="8306"/>
        </w:tabs>
      </w:pPr>
      <w:r>
        <w:fldChar w:fldCharType="begin"/>
      </w:r>
      <w:r>
        <w:instrText xml:space="preserve"> HYPERLINK \l "_Toc1588825425" </w:instrText>
      </w:r>
      <w:r>
        <w:fldChar w:fldCharType="separate"/>
      </w:r>
      <w:r>
        <w:rPr>
          <w:rFonts w:ascii="Times New Roman" w:hAnsi="Times New Roman"/>
          <w:bCs/>
        </w:rPr>
        <w:t>8  环境管理与监测计划</w:t>
      </w:r>
      <w:r>
        <w:tab/>
      </w:r>
      <w:r>
        <w:fldChar w:fldCharType="begin"/>
      </w:r>
      <w:r>
        <w:instrText xml:space="preserve"> PAGEREF _Toc1588825425 \h </w:instrText>
      </w:r>
      <w:r>
        <w:fldChar w:fldCharType="separate"/>
      </w:r>
      <w:r>
        <w:t>136</w:t>
      </w:r>
      <w:r>
        <w:fldChar w:fldCharType="end"/>
      </w:r>
      <w:r>
        <w:fldChar w:fldCharType="end"/>
      </w:r>
    </w:p>
    <w:p>
      <w:pPr>
        <w:pStyle w:val="23"/>
        <w:tabs>
          <w:tab w:val="right" w:leader="dot" w:pos="8306"/>
          <w:tab w:val="clear" w:pos="8296"/>
        </w:tabs>
      </w:pPr>
      <w:r>
        <w:fldChar w:fldCharType="begin"/>
      </w:r>
      <w:r>
        <w:instrText xml:space="preserve"> HYPERLINK \l "_Toc426084071" </w:instrText>
      </w:r>
      <w:r>
        <w:fldChar w:fldCharType="separate"/>
      </w:r>
      <w:r>
        <w:rPr>
          <w:rFonts w:ascii="Times New Roman" w:eastAsia="宋体"/>
          <w:szCs w:val="30"/>
        </w:rPr>
        <w:t>8.1环境管理</w:t>
      </w:r>
      <w:r>
        <w:tab/>
      </w:r>
      <w:r>
        <w:fldChar w:fldCharType="begin"/>
      </w:r>
      <w:r>
        <w:instrText xml:space="preserve"> PAGEREF _Toc426084071 \h </w:instrText>
      </w:r>
      <w:r>
        <w:fldChar w:fldCharType="separate"/>
      </w:r>
      <w:r>
        <w:t>136</w:t>
      </w:r>
      <w:r>
        <w:fldChar w:fldCharType="end"/>
      </w:r>
      <w:r>
        <w:fldChar w:fldCharType="end"/>
      </w:r>
    </w:p>
    <w:p>
      <w:pPr>
        <w:pStyle w:val="23"/>
        <w:tabs>
          <w:tab w:val="right" w:leader="dot" w:pos="8306"/>
          <w:tab w:val="clear" w:pos="8296"/>
        </w:tabs>
      </w:pPr>
      <w:r>
        <w:fldChar w:fldCharType="begin"/>
      </w:r>
      <w:r>
        <w:instrText xml:space="preserve"> HYPERLINK \l "_Toc1696312677" </w:instrText>
      </w:r>
      <w:r>
        <w:fldChar w:fldCharType="separate"/>
      </w:r>
      <w:r>
        <w:rPr>
          <w:rFonts w:ascii="Times New Roman" w:eastAsia="宋体"/>
          <w:szCs w:val="30"/>
        </w:rPr>
        <w:t>8.2 环境监测</w:t>
      </w:r>
      <w:r>
        <w:tab/>
      </w:r>
      <w:r>
        <w:fldChar w:fldCharType="begin"/>
      </w:r>
      <w:r>
        <w:instrText xml:space="preserve"> PAGEREF _Toc1696312677 \h </w:instrText>
      </w:r>
      <w:r>
        <w:fldChar w:fldCharType="separate"/>
      </w:r>
      <w:r>
        <w:t>141</w:t>
      </w:r>
      <w:r>
        <w:fldChar w:fldCharType="end"/>
      </w:r>
      <w:r>
        <w:fldChar w:fldCharType="end"/>
      </w:r>
    </w:p>
    <w:p>
      <w:pPr>
        <w:pStyle w:val="23"/>
        <w:tabs>
          <w:tab w:val="right" w:leader="dot" w:pos="8306"/>
          <w:tab w:val="clear" w:pos="8296"/>
        </w:tabs>
      </w:pPr>
      <w:r>
        <w:fldChar w:fldCharType="begin"/>
      </w:r>
      <w:r>
        <w:instrText xml:space="preserve"> HYPERLINK \l "_Toc1332697850" </w:instrText>
      </w:r>
      <w:r>
        <w:fldChar w:fldCharType="separate"/>
      </w:r>
      <w:r>
        <w:rPr>
          <w:rFonts w:ascii="Times New Roman" w:eastAsia="宋体"/>
          <w:szCs w:val="30"/>
        </w:rPr>
        <w:t>8.</w:t>
      </w:r>
      <w:r>
        <w:rPr>
          <w:rFonts w:hint="eastAsia" w:eastAsia="宋体"/>
          <w:szCs w:val="30"/>
        </w:rPr>
        <w:t>3</w:t>
      </w:r>
      <w:r>
        <w:rPr>
          <w:rFonts w:ascii="Times New Roman" w:eastAsia="宋体"/>
          <w:szCs w:val="30"/>
        </w:rPr>
        <w:t xml:space="preserve"> 环境</w:t>
      </w:r>
      <w:r>
        <w:rPr>
          <w:rFonts w:hint="eastAsia" w:eastAsia="宋体"/>
          <w:szCs w:val="30"/>
        </w:rPr>
        <w:t>保护竣工验收建议</w:t>
      </w:r>
      <w:r>
        <w:tab/>
      </w:r>
      <w:r>
        <w:fldChar w:fldCharType="begin"/>
      </w:r>
      <w:r>
        <w:instrText xml:space="preserve"> PAGEREF _Toc1332697850 \h </w:instrText>
      </w:r>
      <w:r>
        <w:fldChar w:fldCharType="separate"/>
      </w:r>
      <w:r>
        <w:t>144</w:t>
      </w:r>
      <w:r>
        <w:fldChar w:fldCharType="end"/>
      </w:r>
      <w:r>
        <w:fldChar w:fldCharType="end"/>
      </w:r>
    </w:p>
    <w:p>
      <w:pPr>
        <w:pStyle w:val="21"/>
        <w:tabs>
          <w:tab w:val="right" w:leader="dot" w:pos="8306"/>
        </w:tabs>
      </w:pPr>
      <w:r>
        <w:fldChar w:fldCharType="begin"/>
      </w:r>
      <w:r>
        <w:instrText xml:space="preserve"> HYPERLINK \l "_Toc1547850512" </w:instrText>
      </w:r>
      <w:r>
        <w:fldChar w:fldCharType="separate"/>
      </w:r>
      <w:r>
        <w:rPr>
          <w:rFonts w:hint="eastAsia"/>
          <w:bCs/>
        </w:rPr>
        <w:t>9</w:t>
      </w:r>
      <w:r>
        <w:rPr>
          <w:rFonts w:ascii="Times New Roman" w:hAnsi="Times New Roman"/>
          <w:bCs/>
        </w:rPr>
        <w:t xml:space="preserve">  结 论</w:t>
      </w:r>
      <w:r>
        <w:tab/>
      </w:r>
      <w:r>
        <w:fldChar w:fldCharType="begin"/>
      </w:r>
      <w:r>
        <w:instrText xml:space="preserve"> PAGEREF _Toc1547850512 \h </w:instrText>
      </w:r>
      <w:r>
        <w:fldChar w:fldCharType="separate"/>
      </w:r>
      <w:r>
        <w:t>145</w:t>
      </w:r>
      <w:r>
        <w:fldChar w:fldCharType="end"/>
      </w:r>
      <w:r>
        <w:fldChar w:fldCharType="end"/>
      </w:r>
    </w:p>
    <w:p>
      <w:pPr>
        <w:pStyle w:val="23"/>
        <w:tabs>
          <w:tab w:val="right" w:leader="dot" w:pos="8306"/>
          <w:tab w:val="clear" w:pos="8296"/>
        </w:tabs>
      </w:pPr>
      <w:r>
        <w:fldChar w:fldCharType="begin"/>
      </w:r>
      <w:r>
        <w:instrText xml:space="preserve"> HYPERLINK \l "_Toc264428793" </w:instrText>
      </w:r>
      <w:r>
        <w:fldChar w:fldCharType="separate"/>
      </w:r>
      <w:r>
        <w:rPr>
          <w:rFonts w:hint="eastAsia" w:eastAsia="宋体"/>
          <w:szCs w:val="30"/>
        </w:rPr>
        <w:t>9</w:t>
      </w:r>
      <w:r>
        <w:rPr>
          <w:rFonts w:ascii="Times New Roman" w:eastAsia="宋体"/>
          <w:szCs w:val="30"/>
        </w:rPr>
        <w:t>.1项目概况</w:t>
      </w:r>
      <w:r>
        <w:tab/>
      </w:r>
      <w:r>
        <w:fldChar w:fldCharType="begin"/>
      </w:r>
      <w:r>
        <w:instrText xml:space="preserve"> PAGEREF _Toc264428793 \h </w:instrText>
      </w:r>
      <w:r>
        <w:fldChar w:fldCharType="separate"/>
      </w:r>
      <w:r>
        <w:t>145</w:t>
      </w:r>
      <w:r>
        <w:fldChar w:fldCharType="end"/>
      </w:r>
      <w:r>
        <w:fldChar w:fldCharType="end"/>
      </w:r>
    </w:p>
    <w:p>
      <w:pPr>
        <w:pStyle w:val="23"/>
        <w:tabs>
          <w:tab w:val="right" w:leader="dot" w:pos="8306"/>
          <w:tab w:val="clear" w:pos="8296"/>
        </w:tabs>
      </w:pPr>
      <w:r>
        <w:fldChar w:fldCharType="begin"/>
      </w:r>
      <w:r>
        <w:instrText xml:space="preserve"> HYPERLINK \l "_Toc578421647" </w:instrText>
      </w:r>
      <w:r>
        <w:fldChar w:fldCharType="separate"/>
      </w:r>
      <w:r>
        <w:rPr>
          <w:rFonts w:hint="eastAsia" w:eastAsia="宋体"/>
          <w:szCs w:val="30"/>
        </w:rPr>
        <w:t>9</w:t>
      </w:r>
      <w:r>
        <w:rPr>
          <w:rFonts w:ascii="Times New Roman" w:eastAsia="宋体"/>
          <w:szCs w:val="30"/>
        </w:rPr>
        <w:t>.</w:t>
      </w:r>
      <w:r>
        <w:rPr>
          <w:rFonts w:hint="eastAsia" w:eastAsia="宋体"/>
          <w:szCs w:val="30"/>
        </w:rPr>
        <w:t>2</w:t>
      </w:r>
      <w:r>
        <w:rPr>
          <w:rFonts w:ascii="Times New Roman" w:eastAsia="宋体"/>
          <w:szCs w:val="30"/>
        </w:rPr>
        <w:t>产业政策、规划符合型及选址合理性</w:t>
      </w:r>
      <w:r>
        <w:tab/>
      </w:r>
      <w:r>
        <w:fldChar w:fldCharType="begin"/>
      </w:r>
      <w:r>
        <w:instrText xml:space="preserve"> PAGEREF _Toc578421647 \h </w:instrText>
      </w:r>
      <w:r>
        <w:fldChar w:fldCharType="separate"/>
      </w:r>
      <w:r>
        <w:t>145</w:t>
      </w:r>
      <w:r>
        <w:fldChar w:fldCharType="end"/>
      </w:r>
      <w:r>
        <w:fldChar w:fldCharType="end"/>
      </w:r>
    </w:p>
    <w:p>
      <w:pPr>
        <w:pStyle w:val="23"/>
        <w:tabs>
          <w:tab w:val="right" w:leader="dot" w:pos="8306"/>
          <w:tab w:val="clear" w:pos="8296"/>
        </w:tabs>
      </w:pPr>
      <w:r>
        <w:fldChar w:fldCharType="begin"/>
      </w:r>
      <w:r>
        <w:instrText xml:space="preserve"> HYPERLINK \l "_Toc1536649161" </w:instrText>
      </w:r>
      <w:r>
        <w:fldChar w:fldCharType="separate"/>
      </w:r>
      <w:r>
        <w:rPr>
          <w:rFonts w:hint="eastAsia" w:eastAsia="宋体"/>
          <w:szCs w:val="30"/>
        </w:rPr>
        <w:t>9</w:t>
      </w:r>
      <w:r>
        <w:rPr>
          <w:rFonts w:ascii="Times New Roman" w:eastAsia="宋体"/>
          <w:szCs w:val="30"/>
        </w:rPr>
        <w:t>.</w:t>
      </w:r>
      <w:r>
        <w:rPr>
          <w:rFonts w:hint="eastAsia" w:eastAsia="宋体"/>
          <w:szCs w:val="30"/>
        </w:rPr>
        <w:t>3</w:t>
      </w:r>
      <w:r>
        <w:rPr>
          <w:rFonts w:ascii="Times New Roman" w:eastAsia="宋体"/>
          <w:szCs w:val="30"/>
        </w:rPr>
        <w:t>环境质量现状</w:t>
      </w:r>
      <w:r>
        <w:tab/>
      </w:r>
      <w:r>
        <w:fldChar w:fldCharType="begin"/>
      </w:r>
      <w:r>
        <w:instrText xml:space="preserve"> PAGEREF _Toc1536649161 \h </w:instrText>
      </w:r>
      <w:r>
        <w:fldChar w:fldCharType="separate"/>
      </w:r>
      <w:r>
        <w:t>145</w:t>
      </w:r>
      <w:r>
        <w:fldChar w:fldCharType="end"/>
      </w:r>
      <w:r>
        <w:fldChar w:fldCharType="end"/>
      </w:r>
    </w:p>
    <w:p>
      <w:pPr>
        <w:pStyle w:val="23"/>
        <w:tabs>
          <w:tab w:val="right" w:leader="dot" w:pos="8306"/>
          <w:tab w:val="clear" w:pos="8296"/>
        </w:tabs>
      </w:pPr>
      <w:r>
        <w:fldChar w:fldCharType="begin"/>
      </w:r>
      <w:r>
        <w:instrText xml:space="preserve"> HYPERLINK \l "_Toc2608533" </w:instrText>
      </w:r>
      <w:r>
        <w:fldChar w:fldCharType="separate"/>
      </w:r>
      <w:r>
        <w:rPr>
          <w:rFonts w:hint="eastAsia" w:eastAsia="宋体"/>
          <w:szCs w:val="30"/>
        </w:rPr>
        <w:t>9</w:t>
      </w:r>
      <w:r>
        <w:rPr>
          <w:rFonts w:ascii="Times New Roman" w:eastAsia="宋体"/>
          <w:szCs w:val="30"/>
        </w:rPr>
        <w:t>.</w:t>
      </w:r>
      <w:r>
        <w:rPr>
          <w:rFonts w:hint="eastAsia" w:eastAsia="宋体"/>
          <w:szCs w:val="30"/>
        </w:rPr>
        <w:t>4</w:t>
      </w:r>
      <w:r>
        <w:rPr>
          <w:rFonts w:ascii="Times New Roman" w:eastAsia="宋体"/>
          <w:szCs w:val="30"/>
        </w:rPr>
        <w:t>环境影响</w:t>
      </w:r>
      <w:r>
        <w:rPr>
          <w:rFonts w:hint="eastAsia" w:eastAsia="宋体"/>
          <w:szCs w:val="30"/>
        </w:rPr>
        <w:t>及预测评价结果</w:t>
      </w:r>
      <w:r>
        <w:tab/>
      </w:r>
      <w:r>
        <w:fldChar w:fldCharType="begin"/>
      </w:r>
      <w:r>
        <w:instrText xml:space="preserve"> PAGEREF _Toc2608533 \h </w:instrText>
      </w:r>
      <w:r>
        <w:fldChar w:fldCharType="separate"/>
      </w:r>
      <w:r>
        <w:t>147</w:t>
      </w:r>
      <w:r>
        <w:fldChar w:fldCharType="end"/>
      </w:r>
      <w:r>
        <w:fldChar w:fldCharType="end"/>
      </w:r>
    </w:p>
    <w:p>
      <w:pPr>
        <w:pStyle w:val="23"/>
        <w:tabs>
          <w:tab w:val="right" w:leader="dot" w:pos="8306"/>
          <w:tab w:val="clear" w:pos="8296"/>
        </w:tabs>
      </w:pPr>
      <w:r>
        <w:fldChar w:fldCharType="begin"/>
      </w:r>
      <w:r>
        <w:instrText xml:space="preserve"> HYPERLINK \l "_Toc52117402" </w:instrText>
      </w:r>
      <w:r>
        <w:fldChar w:fldCharType="separate"/>
      </w:r>
      <w:r>
        <w:rPr>
          <w:rFonts w:hint="eastAsia" w:eastAsia="宋体"/>
          <w:szCs w:val="30"/>
        </w:rPr>
        <w:t>9</w:t>
      </w:r>
      <w:r>
        <w:rPr>
          <w:rFonts w:ascii="Times New Roman" w:eastAsia="宋体"/>
          <w:szCs w:val="30"/>
        </w:rPr>
        <w:t>.</w:t>
      </w:r>
      <w:r>
        <w:rPr>
          <w:rFonts w:hint="eastAsia" w:eastAsia="宋体"/>
          <w:szCs w:val="30"/>
        </w:rPr>
        <w:t>5</w:t>
      </w:r>
      <w:r>
        <w:rPr>
          <w:rFonts w:hint="eastAsia" w:ascii="Times New Roman" w:eastAsia="宋体"/>
          <w:szCs w:val="30"/>
        </w:rPr>
        <w:t>主要</w:t>
      </w:r>
      <w:r>
        <w:rPr>
          <w:rFonts w:hint="eastAsia" w:eastAsia="宋体"/>
          <w:szCs w:val="30"/>
        </w:rPr>
        <w:t>环境保护</w:t>
      </w:r>
      <w:r>
        <w:rPr>
          <w:rFonts w:hint="eastAsia" w:ascii="Times New Roman" w:eastAsia="宋体"/>
          <w:szCs w:val="30"/>
        </w:rPr>
        <w:t>措施</w:t>
      </w:r>
      <w:r>
        <w:tab/>
      </w:r>
      <w:r>
        <w:fldChar w:fldCharType="begin"/>
      </w:r>
      <w:r>
        <w:instrText xml:space="preserve"> PAGEREF _Toc52117402 \h </w:instrText>
      </w:r>
      <w:r>
        <w:fldChar w:fldCharType="separate"/>
      </w:r>
      <w:r>
        <w:t>149</w:t>
      </w:r>
      <w:r>
        <w:fldChar w:fldCharType="end"/>
      </w:r>
      <w:r>
        <w:fldChar w:fldCharType="end"/>
      </w:r>
    </w:p>
    <w:p>
      <w:pPr>
        <w:pStyle w:val="23"/>
        <w:tabs>
          <w:tab w:val="right" w:leader="dot" w:pos="8306"/>
          <w:tab w:val="clear" w:pos="8296"/>
        </w:tabs>
      </w:pPr>
      <w:r>
        <w:fldChar w:fldCharType="begin"/>
      </w:r>
      <w:r>
        <w:instrText xml:space="preserve"> HYPERLINK \l "_Toc1850633138" </w:instrText>
      </w:r>
      <w:r>
        <w:fldChar w:fldCharType="separate"/>
      </w:r>
      <w:r>
        <w:rPr>
          <w:rFonts w:hint="eastAsia" w:eastAsia="宋体"/>
          <w:szCs w:val="30"/>
        </w:rPr>
        <w:t>9</w:t>
      </w:r>
      <w:r>
        <w:rPr>
          <w:rFonts w:ascii="Times New Roman" w:eastAsia="宋体"/>
          <w:szCs w:val="30"/>
        </w:rPr>
        <w:t>.</w:t>
      </w:r>
      <w:r>
        <w:rPr>
          <w:rFonts w:hint="eastAsia" w:eastAsia="宋体"/>
          <w:szCs w:val="30"/>
        </w:rPr>
        <w:t>6总量控制</w:t>
      </w:r>
      <w:r>
        <w:tab/>
      </w:r>
      <w:r>
        <w:fldChar w:fldCharType="begin"/>
      </w:r>
      <w:r>
        <w:instrText xml:space="preserve"> PAGEREF _Toc1850633138 \h </w:instrText>
      </w:r>
      <w:r>
        <w:fldChar w:fldCharType="separate"/>
      </w:r>
      <w:r>
        <w:t>156</w:t>
      </w:r>
      <w:r>
        <w:fldChar w:fldCharType="end"/>
      </w:r>
      <w:r>
        <w:fldChar w:fldCharType="end"/>
      </w:r>
    </w:p>
    <w:p>
      <w:pPr>
        <w:pStyle w:val="23"/>
        <w:tabs>
          <w:tab w:val="right" w:leader="dot" w:pos="8306"/>
          <w:tab w:val="clear" w:pos="8296"/>
        </w:tabs>
      </w:pPr>
      <w:r>
        <w:fldChar w:fldCharType="begin"/>
      </w:r>
      <w:r>
        <w:instrText xml:space="preserve"> HYPERLINK \l "_Toc1816403839" </w:instrText>
      </w:r>
      <w:r>
        <w:fldChar w:fldCharType="separate"/>
      </w:r>
      <w:r>
        <w:rPr>
          <w:rFonts w:hint="eastAsia" w:eastAsia="宋体"/>
          <w:szCs w:val="30"/>
        </w:rPr>
        <w:t>9</w:t>
      </w:r>
      <w:r>
        <w:rPr>
          <w:rFonts w:ascii="Times New Roman" w:eastAsia="宋体"/>
          <w:szCs w:val="30"/>
        </w:rPr>
        <w:t>.</w:t>
      </w:r>
      <w:r>
        <w:rPr>
          <w:rFonts w:hint="eastAsia" w:eastAsia="宋体"/>
          <w:szCs w:val="30"/>
        </w:rPr>
        <w:t>7公众意见采纳情况</w:t>
      </w:r>
      <w:r>
        <w:tab/>
      </w:r>
      <w:r>
        <w:fldChar w:fldCharType="begin"/>
      </w:r>
      <w:r>
        <w:instrText xml:space="preserve"> PAGEREF _Toc1816403839 \h </w:instrText>
      </w:r>
      <w:r>
        <w:fldChar w:fldCharType="separate"/>
      </w:r>
      <w:r>
        <w:t>156</w:t>
      </w:r>
      <w:r>
        <w:fldChar w:fldCharType="end"/>
      </w:r>
      <w:r>
        <w:fldChar w:fldCharType="end"/>
      </w:r>
    </w:p>
    <w:p>
      <w:pPr>
        <w:pStyle w:val="23"/>
        <w:tabs>
          <w:tab w:val="right" w:leader="dot" w:pos="8306"/>
          <w:tab w:val="clear" w:pos="8296"/>
        </w:tabs>
      </w:pPr>
      <w:r>
        <w:fldChar w:fldCharType="begin"/>
      </w:r>
      <w:r>
        <w:instrText xml:space="preserve"> HYPERLINK \l "_Toc1545959662" </w:instrText>
      </w:r>
      <w:r>
        <w:fldChar w:fldCharType="separate"/>
      </w:r>
      <w:r>
        <w:rPr>
          <w:rFonts w:hint="eastAsia" w:eastAsia="宋体"/>
          <w:szCs w:val="30"/>
        </w:rPr>
        <w:t>9</w:t>
      </w:r>
      <w:r>
        <w:rPr>
          <w:rFonts w:ascii="Times New Roman" w:eastAsia="宋体"/>
          <w:szCs w:val="30"/>
        </w:rPr>
        <w:t>.</w:t>
      </w:r>
      <w:r>
        <w:rPr>
          <w:rFonts w:hint="eastAsia" w:eastAsia="宋体"/>
          <w:szCs w:val="30"/>
        </w:rPr>
        <w:t>8</w:t>
      </w:r>
      <w:r>
        <w:rPr>
          <w:rFonts w:ascii="Times New Roman" w:eastAsia="宋体"/>
          <w:szCs w:val="30"/>
        </w:rPr>
        <w:t xml:space="preserve"> 经济损益分析</w:t>
      </w:r>
      <w:r>
        <w:tab/>
      </w:r>
      <w:r>
        <w:fldChar w:fldCharType="begin"/>
      </w:r>
      <w:r>
        <w:instrText xml:space="preserve"> PAGEREF _Toc1545959662 \h </w:instrText>
      </w:r>
      <w:r>
        <w:fldChar w:fldCharType="separate"/>
      </w:r>
      <w:r>
        <w:t>156</w:t>
      </w:r>
      <w:r>
        <w:fldChar w:fldCharType="end"/>
      </w:r>
      <w:r>
        <w:fldChar w:fldCharType="end"/>
      </w:r>
    </w:p>
    <w:p>
      <w:pPr>
        <w:pStyle w:val="23"/>
        <w:tabs>
          <w:tab w:val="right" w:leader="dot" w:pos="8306"/>
          <w:tab w:val="clear" w:pos="8296"/>
        </w:tabs>
      </w:pPr>
      <w:r>
        <w:fldChar w:fldCharType="begin"/>
      </w:r>
      <w:r>
        <w:instrText xml:space="preserve"> HYPERLINK \l "_Toc1852560119" </w:instrText>
      </w:r>
      <w:r>
        <w:fldChar w:fldCharType="separate"/>
      </w:r>
      <w:r>
        <w:rPr>
          <w:rFonts w:hint="eastAsia" w:eastAsia="宋体"/>
          <w:szCs w:val="30"/>
        </w:rPr>
        <w:t>9</w:t>
      </w:r>
      <w:r>
        <w:rPr>
          <w:rFonts w:ascii="Times New Roman" w:eastAsia="宋体"/>
          <w:szCs w:val="30"/>
        </w:rPr>
        <w:t>.</w:t>
      </w:r>
      <w:r>
        <w:rPr>
          <w:rFonts w:hint="eastAsia" w:eastAsia="宋体"/>
          <w:szCs w:val="30"/>
        </w:rPr>
        <w:t>9环境管理与监测计划</w:t>
      </w:r>
      <w:r>
        <w:tab/>
      </w:r>
      <w:r>
        <w:fldChar w:fldCharType="begin"/>
      </w:r>
      <w:r>
        <w:instrText xml:space="preserve"> PAGEREF _Toc1852560119 \h </w:instrText>
      </w:r>
      <w:r>
        <w:fldChar w:fldCharType="separate"/>
      </w:r>
      <w:r>
        <w:t>156</w:t>
      </w:r>
      <w:r>
        <w:fldChar w:fldCharType="end"/>
      </w:r>
      <w:r>
        <w:fldChar w:fldCharType="end"/>
      </w:r>
    </w:p>
    <w:p>
      <w:pPr>
        <w:pStyle w:val="23"/>
        <w:tabs>
          <w:tab w:val="right" w:leader="dot" w:pos="8306"/>
          <w:tab w:val="clear" w:pos="8296"/>
        </w:tabs>
      </w:pPr>
      <w:r>
        <w:fldChar w:fldCharType="begin"/>
      </w:r>
      <w:r>
        <w:instrText xml:space="preserve"> HYPERLINK \l "_Toc1012894380" </w:instrText>
      </w:r>
      <w:r>
        <w:fldChar w:fldCharType="separate"/>
      </w:r>
      <w:r>
        <w:rPr>
          <w:rFonts w:hint="eastAsia" w:eastAsia="宋体"/>
          <w:szCs w:val="30"/>
        </w:rPr>
        <w:t>9</w:t>
      </w:r>
      <w:r>
        <w:rPr>
          <w:rFonts w:ascii="Times New Roman" w:eastAsia="宋体"/>
          <w:szCs w:val="30"/>
        </w:rPr>
        <w:t>.</w:t>
      </w:r>
      <w:r>
        <w:rPr>
          <w:rFonts w:hint="eastAsia" w:eastAsia="宋体"/>
          <w:szCs w:val="30"/>
        </w:rPr>
        <w:t>10</w:t>
      </w:r>
      <w:r>
        <w:rPr>
          <w:rFonts w:ascii="Times New Roman" w:eastAsia="宋体"/>
          <w:szCs w:val="30"/>
        </w:rPr>
        <w:t xml:space="preserve"> 结论</w:t>
      </w:r>
      <w:r>
        <w:tab/>
      </w:r>
      <w:r>
        <w:fldChar w:fldCharType="begin"/>
      </w:r>
      <w:r>
        <w:instrText xml:space="preserve"> PAGEREF _Toc1012894380 \h </w:instrText>
      </w:r>
      <w:r>
        <w:fldChar w:fldCharType="separate"/>
      </w:r>
      <w:r>
        <w:t>157</w:t>
      </w:r>
      <w:r>
        <w:fldChar w:fldCharType="end"/>
      </w:r>
      <w:r>
        <w:fldChar w:fldCharType="end"/>
      </w:r>
    </w:p>
    <w:p>
      <w:pPr>
        <w:rPr>
          <w:bCs/>
        </w:rPr>
      </w:pPr>
      <w:r>
        <w:rPr>
          <w:bCs/>
        </w:rPr>
        <w:fldChar w:fldCharType="end"/>
      </w:r>
    </w:p>
    <w:p>
      <w:pPr>
        <w:pStyle w:val="10"/>
        <w:rPr>
          <w:bCs/>
          <w:szCs w:val="24"/>
        </w:rPr>
      </w:pPr>
    </w:p>
    <w:p>
      <w:pPr>
        <w:pStyle w:val="11"/>
        <w:rPr>
          <w:rFonts w:eastAsia="宋体"/>
          <w:bCs/>
          <w:szCs w:val="24"/>
        </w:rPr>
      </w:pPr>
    </w:p>
    <w:p>
      <w:pPr>
        <w:pStyle w:val="11"/>
        <w:ind w:left="0" w:leftChars="0" w:firstLine="0" w:firstLineChars="0"/>
        <w:rPr>
          <w:rFonts w:eastAsia="宋体"/>
          <w:bCs/>
          <w:szCs w:val="24"/>
        </w:rPr>
      </w:pPr>
    </w:p>
    <w:p>
      <w:pPr>
        <w:pStyle w:val="11"/>
        <w:rPr>
          <w:rFonts w:eastAsia="宋体"/>
          <w:bCs/>
          <w:szCs w:val="24"/>
        </w:rPr>
      </w:pPr>
    </w:p>
    <w:p>
      <w:pPr>
        <w:pStyle w:val="11"/>
        <w:rPr>
          <w:rFonts w:eastAsia="宋体"/>
          <w:bCs/>
          <w:szCs w:val="24"/>
        </w:rPr>
      </w:pPr>
    </w:p>
    <w:p>
      <w:pPr>
        <w:pStyle w:val="11"/>
        <w:rPr>
          <w:rFonts w:eastAsia="宋体"/>
          <w:bCs/>
          <w:szCs w:val="24"/>
        </w:rPr>
        <w:sectPr>
          <w:footerReference r:id="rId7" w:type="default"/>
          <w:pgSz w:w="11906" w:h="16838"/>
          <w:pgMar w:top="1440" w:right="1800" w:bottom="1440" w:left="1800" w:header="851" w:footer="992" w:gutter="0"/>
          <w:pgNumType w:fmt="upperRoman" w:start="1"/>
          <w:cols w:space="720" w:num="1"/>
          <w:docGrid w:type="lines" w:linePitch="312" w:charSpace="0"/>
        </w:sectPr>
      </w:pPr>
    </w:p>
    <w:p>
      <w:pPr>
        <w:pStyle w:val="4"/>
        <w:spacing w:after="260"/>
        <w:jc w:val="center"/>
      </w:pPr>
      <w:bookmarkStart w:id="6" w:name="_Toc912562096"/>
      <w:r>
        <w:t>1  概述</w:t>
      </w:r>
      <w:bookmarkEnd w:id="0"/>
      <w:bookmarkEnd w:id="6"/>
    </w:p>
    <w:p>
      <w:pPr>
        <w:pStyle w:val="5"/>
        <w:spacing w:beforeLines="0" w:after="120" w:line="500" w:lineRule="exact"/>
        <w:rPr>
          <w:rFonts w:eastAsia="宋体"/>
          <w:b/>
          <w:bCs w:val="0"/>
          <w:color w:val="auto"/>
          <w:szCs w:val="30"/>
        </w:rPr>
      </w:pPr>
      <w:bookmarkStart w:id="7" w:name="_Toc15569"/>
      <w:bookmarkStart w:id="8" w:name="_Toc46808916"/>
      <w:r>
        <w:rPr>
          <w:rFonts w:eastAsia="宋体"/>
          <w:b/>
          <w:bCs w:val="0"/>
          <w:color w:val="auto"/>
          <w:szCs w:val="30"/>
        </w:rPr>
        <w:t xml:space="preserve">1.1 </w:t>
      </w:r>
      <w:bookmarkEnd w:id="7"/>
      <w:r>
        <w:rPr>
          <w:rFonts w:hint="eastAsia" w:eastAsia="宋体"/>
          <w:b/>
          <w:bCs w:val="0"/>
          <w:color w:val="auto"/>
          <w:szCs w:val="30"/>
        </w:rPr>
        <w:t>建设项目特点</w:t>
      </w:r>
      <w:bookmarkEnd w:id="8"/>
    </w:p>
    <w:p>
      <w:pPr>
        <w:spacing w:line="480" w:lineRule="exact"/>
        <w:ind w:firstLine="482" w:firstLineChars="200"/>
        <w:rPr>
          <w:b/>
          <w:bCs/>
          <w:sz w:val="24"/>
        </w:rPr>
      </w:pPr>
      <w:r>
        <w:rPr>
          <w:rFonts w:hint="eastAsia"/>
          <w:b/>
          <w:bCs/>
          <w:sz w:val="24"/>
        </w:rPr>
        <w:t>1、项目建设背景</w:t>
      </w:r>
    </w:p>
    <w:p>
      <w:pPr>
        <w:adjustRightInd w:val="0"/>
        <w:spacing w:line="500" w:lineRule="exact"/>
        <w:ind w:firstLine="480" w:firstLineChars="200"/>
        <w:textAlignment w:val="baseline"/>
        <w:rPr>
          <w:sz w:val="24"/>
        </w:rPr>
      </w:pPr>
      <w:r>
        <w:rPr>
          <w:rFonts w:hint="eastAsia"/>
          <w:sz w:val="24"/>
        </w:rPr>
        <w:t>壶关县位于山西省东南部上党盆地之东南，太行山系的东南端，行政隶属山西省长治市，壶关县城位于壶关县西北部，西北距长治市区约10km，属长治市的卫星城镇之一，县城目前常住人口约10万人，每天生活垃圾产生及收运量约120～150吨。2010年壶关县住建局委托山西省环境科学研究院编制了《壶关县县城生活垃圾处理工程环境影响报告书》（即宋堡生活垃圾填埋场工程），2010年4月14日，山西省环境保护厅以晋环函【2010】273号文对该项目进行了批复。壶关县县城生活垃圾处理工程为平原型填埋场，工程占地约11.78hm</w:t>
      </w:r>
      <w:r>
        <w:rPr>
          <w:rFonts w:hint="eastAsia"/>
          <w:sz w:val="24"/>
          <w:vertAlign w:val="superscript"/>
        </w:rPr>
        <w:t>2</w:t>
      </w:r>
      <w:r>
        <w:rPr>
          <w:rFonts w:hint="eastAsia"/>
          <w:sz w:val="24"/>
        </w:rPr>
        <w:t>，填埋库区设计总库容100万m</w:t>
      </w:r>
      <w:r>
        <w:rPr>
          <w:rFonts w:hint="eastAsia"/>
          <w:sz w:val="24"/>
          <w:vertAlign w:val="superscript"/>
        </w:rPr>
        <w:t>3</w:t>
      </w:r>
      <w:r>
        <w:rPr>
          <w:rFonts w:hint="eastAsia"/>
          <w:sz w:val="24"/>
        </w:rPr>
        <w:t>，包括南北两个填埋区，设计分两期进行建设和使用，其中一期填埋区位于库区北侧（以下称壶关县第一垃圾填埋场），库容约40万m</w:t>
      </w:r>
      <w:r>
        <w:rPr>
          <w:rFonts w:hint="eastAsia"/>
          <w:sz w:val="24"/>
          <w:vertAlign w:val="superscript"/>
        </w:rPr>
        <w:t>3</w:t>
      </w:r>
      <w:r>
        <w:rPr>
          <w:rFonts w:hint="eastAsia"/>
          <w:sz w:val="24"/>
        </w:rPr>
        <w:t>，于2012年3月开始建设，2017年5月正式移交壶关县市容环境管理中心进行投运，二期工程位于库区南侧，设计库容60万m</w:t>
      </w:r>
      <w:r>
        <w:rPr>
          <w:rFonts w:hint="eastAsia"/>
          <w:sz w:val="24"/>
          <w:vertAlign w:val="superscript"/>
        </w:rPr>
        <w:t>3</w:t>
      </w:r>
      <w:r>
        <w:rPr>
          <w:rFonts w:hint="eastAsia"/>
          <w:sz w:val="24"/>
        </w:rPr>
        <w:t>，未在原址实施建设。由于壶关县第一垃圾填埋场建设较早，交付使用后，填埋场渗滤液及场区各类废水采用回喷处理，处理能力低，环境卫生条件差，不符合环保要求。2021年填埋场运营过程中受降雨明显增多、处理不及时等影响，场内渗滤液积存较多且短期内不能完全处理，为保证场地安全及渗滤液合理处置，根据县政府会议纪要精神，第一垃圾填埋场立即停止运行进行挂牌整改，目前渗滤液处理设施及雨污分流系统已整改完成，一期工程已不再接收生活垃圾，后期将对其进行封场，进入封场后运行维护阶段。</w:t>
      </w:r>
    </w:p>
    <w:p>
      <w:pPr>
        <w:adjustRightInd w:val="0"/>
        <w:spacing w:line="500" w:lineRule="exact"/>
        <w:ind w:firstLine="480" w:firstLineChars="200"/>
        <w:textAlignment w:val="baseline"/>
        <w:rPr>
          <w:sz w:val="24"/>
        </w:rPr>
      </w:pPr>
      <w:r>
        <w:rPr>
          <w:rFonts w:hint="eastAsia"/>
          <w:sz w:val="24"/>
        </w:rPr>
        <w:t>壶关县第一垃圾填埋场整改期间，县城所有生活垃圾均进入县城生活垃圾二期工程场地进行安全填埋处置。县城生活垃圾二期工程即原壶关县县城生活垃圾处理工程的二期扩建项目，原计划在宋堡村现第一垃圾填埋场南侧实施，由于近年村庄规模扩张，填埋场原有二期库区与宋堡村最近距离仅余约100m，如按计划继续进行建设，可能进一步影响附近村庄和居民的正常生活，原场地已不再适合继续实施二期项目。鉴于以上情况，壶关县住房和城乡建设管理局在县城中心城区东北约8.3km处的辛村村附近异地扩建县城生活垃圾处理二期工程项目，</w:t>
      </w:r>
      <w:r>
        <w:rPr>
          <w:sz w:val="24"/>
        </w:rPr>
        <w:t>占地面积80.1亩，有效库容约60万m</w:t>
      </w:r>
      <w:r>
        <w:rPr>
          <w:sz w:val="24"/>
          <w:vertAlign w:val="superscript"/>
        </w:rPr>
        <w:t>3</w:t>
      </w:r>
      <w:r>
        <w:rPr>
          <w:sz w:val="24"/>
        </w:rPr>
        <w:t>，设计处理规模125t/d，总投资2638.82万元，</w:t>
      </w:r>
      <w:r>
        <w:rPr>
          <w:kern w:val="0"/>
          <w:sz w:val="24"/>
        </w:rPr>
        <w:t>主要服务范围为</w:t>
      </w:r>
      <w:r>
        <w:rPr>
          <w:sz w:val="24"/>
        </w:rPr>
        <w:t>壶关县城及周边的集店乡、常平开发区。</w:t>
      </w:r>
    </w:p>
    <w:p>
      <w:pPr>
        <w:adjustRightInd w:val="0"/>
        <w:spacing w:line="500" w:lineRule="exact"/>
        <w:ind w:firstLine="480" w:firstLineChars="200"/>
        <w:textAlignment w:val="baseline"/>
        <w:rPr>
          <w:sz w:val="24"/>
        </w:rPr>
      </w:pPr>
      <w:r>
        <w:rPr>
          <w:rFonts w:hint="eastAsia"/>
          <w:sz w:val="24"/>
        </w:rPr>
        <w:t>经调查，县城生活垃圾二期工程项目于2018年7月开工建设，2019年7月基本建设完成，2020年9月</w:t>
      </w:r>
      <w:r>
        <w:rPr>
          <w:sz w:val="24"/>
        </w:rPr>
        <w:t>通过工程竣工验收</w:t>
      </w:r>
      <w:r>
        <w:rPr>
          <w:rFonts w:hint="eastAsia"/>
          <w:sz w:val="24"/>
        </w:rPr>
        <w:t>投入使用，属未批先建项目。根据</w:t>
      </w:r>
      <w:r>
        <w:rPr>
          <w:sz w:val="24"/>
        </w:rPr>
        <w:t>《中华人民共和国环境影响评价法》第二十五条</w:t>
      </w:r>
      <w:r>
        <w:rPr>
          <w:rFonts w:hint="eastAsia"/>
          <w:sz w:val="24"/>
        </w:rPr>
        <w:t>和第三十一条的相关规定，长治市生态环境局壶关分局</w:t>
      </w:r>
      <w:r>
        <w:rPr>
          <w:sz w:val="24"/>
        </w:rPr>
        <w:t>以</w:t>
      </w:r>
      <w:r>
        <w:rPr>
          <w:rFonts w:hint="eastAsia"/>
          <w:sz w:val="24"/>
        </w:rPr>
        <w:t>壶</w:t>
      </w:r>
      <w:r>
        <w:rPr>
          <w:sz w:val="24"/>
        </w:rPr>
        <w:t>环罚字【20</w:t>
      </w:r>
      <w:r>
        <w:rPr>
          <w:rFonts w:hint="eastAsia"/>
          <w:sz w:val="24"/>
        </w:rPr>
        <w:t>20</w:t>
      </w:r>
      <w:r>
        <w:rPr>
          <w:sz w:val="24"/>
        </w:rPr>
        <w:t>】</w:t>
      </w:r>
      <w:r>
        <w:rPr>
          <w:rFonts w:hint="eastAsia"/>
          <w:sz w:val="24"/>
        </w:rPr>
        <w:t>5</w:t>
      </w:r>
      <w:r>
        <w:rPr>
          <w:sz w:val="24"/>
        </w:rPr>
        <w:t>号文对其</w:t>
      </w:r>
      <w:r>
        <w:rPr>
          <w:rFonts w:hint="eastAsia"/>
          <w:sz w:val="24"/>
        </w:rPr>
        <w:t>出具了</w:t>
      </w:r>
      <w:r>
        <w:rPr>
          <w:sz w:val="24"/>
        </w:rPr>
        <w:t>行政处罚</w:t>
      </w:r>
      <w:r>
        <w:rPr>
          <w:rFonts w:hint="eastAsia"/>
          <w:sz w:val="24"/>
        </w:rPr>
        <w:t>决定书，建设单位目前已遵照上述处罚决定缴纳了相应罚款</w:t>
      </w:r>
      <w:r>
        <w:rPr>
          <w:sz w:val="24"/>
        </w:rPr>
        <w:t>（详见附件）。</w:t>
      </w:r>
      <w:r>
        <w:rPr>
          <w:rFonts w:hint="eastAsia"/>
          <w:sz w:val="24"/>
        </w:rPr>
        <w:t>目前场区填埋库区、渗滤液处理车间、管理用房等</w:t>
      </w:r>
      <w:r>
        <w:rPr>
          <w:sz w:val="24"/>
        </w:rPr>
        <w:t>设施已建设完成并投入使用，生活垃圾入场填埋量</w:t>
      </w:r>
      <w:r>
        <w:rPr>
          <w:rFonts w:hint="eastAsia"/>
          <w:sz w:val="24"/>
        </w:rPr>
        <w:t>约20万方，仍有大量库容可使用。本项目生活垃圾收集、转运基本利用原有系统，本次评价仅针对二期工程及管理区、运输内容进行评价。</w:t>
      </w:r>
    </w:p>
    <w:p>
      <w:pPr>
        <w:spacing w:line="480" w:lineRule="exact"/>
        <w:ind w:firstLine="482" w:firstLineChars="200"/>
        <w:rPr>
          <w:b/>
          <w:bCs/>
          <w:sz w:val="24"/>
        </w:rPr>
      </w:pPr>
      <w:r>
        <w:rPr>
          <w:rFonts w:hint="eastAsia"/>
          <w:b/>
          <w:bCs/>
          <w:sz w:val="24"/>
        </w:rPr>
        <w:t>2、项目建设特点</w:t>
      </w:r>
    </w:p>
    <w:p>
      <w:pPr>
        <w:spacing w:line="480" w:lineRule="exact"/>
        <w:ind w:firstLine="482" w:firstLineChars="200"/>
        <w:rPr>
          <w:b/>
          <w:bCs/>
          <w:sz w:val="24"/>
        </w:rPr>
      </w:pPr>
      <w:r>
        <w:rPr>
          <w:rFonts w:hint="eastAsia" w:asciiTheme="minorEastAsia" w:hAnsiTheme="minorEastAsia" w:eastAsiaTheme="minorEastAsia"/>
          <w:b/>
          <w:bCs/>
          <w:sz w:val="24"/>
        </w:rPr>
        <w:t>（1）工程特</w:t>
      </w:r>
      <w:r>
        <w:rPr>
          <w:rFonts w:hint="eastAsia"/>
          <w:b/>
          <w:bCs/>
          <w:sz w:val="24"/>
        </w:rPr>
        <w:t>点</w:t>
      </w:r>
    </w:p>
    <w:p>
      <w:pPr>
        <w:spacing w:line="480" w:lineRule="exact"/>
        <w:ind w:firstLine="480" w:firstLineChars="200"/>
        <w:rPr>
          <w:sz w:val="24"/>
        </w:rPr>
      </w:pPr>
      <w:r>
        <w:rPr>
          <w:rFonts w:hint="eastAsia"/>
          <w:sz w:val="24"/>
        </w:rPr>
        <w:t>项目场地位于壶关县集店镇辛村村东约700m处，</w:t>
      </w:r>
      <w:r>
        <w:rPr>
          <w:sz w:val="24"/>
        </w:rPr>
        <w:t>占地面积53397.44m</w:t>
      </w:r>
      <w:r>
        <w:rPr>
          <w:sz w:val="24"/>
          <w:vertAlign w:val="superscript"/>
        </w:rPr>
        <w:t>2</w:t>
      </w:r>
      <w:r>
        <w:rPr>
          <w:rFonts w:hint="eastAsia"/>
          <w:sz w:val="24"/>
        </w:rPr>
        <w:t>，</w:t>
      </w:r>
      <w:r>
        <w:rPr>
          <w:sz w:val="24"/>
        </w:rPr>
        <w:t>填埋库区面积36600m</w:t>
      </w:r>
      <w:r>
        <w:rPr>
          <w:sz w:val="24"/>
          <w:vertAlign w:val="superscript"/>
        </w:rPr>
        <w:t>2</w:t>
      </w:r>
      <w:r>
        <w:rPr>
          <w:sz w:val="24"/>
        </w:rPr>
        <w:t>，服务范围主要为壶关县城及周边的</w:t>
      </w:r>
      <w:r>
        <w:rPr>
          <w:rFonts w:hint="eastAsia"/>
          <w:sz w:val="24"/>
        </w:rPr>
        <w:t>集店镇</w:t>
      </w:r>
      <w:r>
        <w:rPr>
          <w:sz w:val="24"/>
        </w:rPr>
        <w:t>、常平开发区，日处理垃圾量125t/d，设计服务年限约12年</w:t>
      </w:r>
      <w:r>
        <w:rPr>
          <w:rFonts w:hint="eastAsia"/>
          <w:sz w:val="24"/>
        </w:rPr>
        <w:t>，总投资估算约2638.82万元。</w:t>
      </w:r>
    </w:p>
    <w:p>
      <w:pPr>
        <w:spacing w:line="500" w:lineRule="exact"/>
        <w:ind w:firstLine="480" w:firstLineChars="200"/>
        <w:rPr>
          <w:sz w:val="24"/>
        </w:rPr>
      </w:pPr>
      <w:r>
        <w:rPr>
          <w:rFonts w:hint="eastAsia"/>
          <w:sz w:val="24"/>
        </w:rPr>
        <w:t>经收集的生活垃圾</w:t>
      </w:r>
      <w:r>
        <w:rPr>
          <w:sz w:val="24"/>
        </w:rPr>
        <w:t>由</w:t>
      </w:r>
      <w:r>
        <w:rPr>
          <w:rFonts w:hint="eastAsia"/>
          <w:sz w:val="24"/>
        </w:rPr>
        <w:t>厢式压缩车经</w:t>
      </w:r>
      <w:r>
        <w:rPr>
          <w:sz w:val="24"/>
        </w:rPr>
        <w:t>进场道路</w:t>
      </w:r>
      <w:r>
        <w:rPr>
          <w:rFonts w:hint="eastAsia"/>
          <w:sz w:val="24"/>
        </w:rPr>
        <w:t>、</w:t>
      </w:r>
      <w:r>
        <w:rPr>
          <w:sz w:val="24"/>
        </w:rPr>
        <w:t>临时作业道路进入填埋区作业面，在现场人员指挥下按</w:t>
      </w:r>
      <w:r>
        <w:rPr>
          <w:rFonts w:hint="eastAsia"/>
          <w:sz w:val="24"/>
        </w:rPr>
        <w:t>倾倒、摊铺、压实、覆土和撒药顺序进行作业，填埋场采用分层摊铺、分层碾压、分单元逐日覆土的填埋作业方式</w:t>
      </w:r>
      <w:r>
        <w:rPr>
          <w:sz w:val="24"/>
        </w:rPr>
        <w:t>。本项目已建成，</w:t>
      </w:r>
      <w:r>
        <w:rPr>
          <w:rFonts w:hint="eastAsia"/>
          <w:sz w:val="24"/>
        </w:rPr>
        <w:t>场内已配套了防渗系统、渗滤液收集导排、填埋气收集导排、渗滤液处理系统等，采用“预处理+两级DTRO反渗透”工艺，渗滤液经处理达标后，全部回用场内及县城绿化、道路清扫，不外排。</w:t>
      </w:r>
    </w:p>
    <w:p>
      <w:pPr>
        <w:spacing w:line="500" w:lineRule="exact"/>
        <w:ind w:firstLine="482" w:firstLineChars="200"/>
        <w:rPr>
          <w:b/>
          <w:bCs/>
          <w:sz w:val="24"/>
        </w:rPr>
      </w:pPr>
      <w:r>
        <w:rPr>
          <w:rFonts w:hint="eastAsia"/>
          <w:b/>
          <w:bCs/>
          <w:sz w:val="24"/>
        </w:rPr>
        <w:t>（2）环境特点</w:t>
      </w:r>
    </w:p>
    <w:p>
      <w:pPr>
        <w:spacing w:line="500" w:lineRule="exact"/>
        <w:ind w:firstLine="480" w:firstLineChars="200"/>
        <w:rPr>
          <w:color w:val="000000" w:themeColor="text1"/>
          <w:sz w:val="24"/>
          <w14:textFill>
            <w14:solidFill>
              <w14:schemeClr w14:val="tx1"/>
            </w14:solidFill>
          </w14:textFill>
        </w:rPr>
      </w:pPr>
      <w:r>
        <w:rPr>
          <w:sz w:val="24"/>
        </w:rPr>
        <w:t>本项目位于壶关县</w:t>
      </w:r>
      <w:r>
        <w:rPr>
          <w:rFonts w:hint="eastAsia"/>
          <w:sz w:val="24"/>
        </w:rPr>
        <w:t>集店镇</w:t>
      </w:r>
      <w:r>
        <w:rPr>
          <w:sz w:val="24"/>
        </w:rPr>
        <w:t>辛村村，项目选址不涉及自然保护区、风景名胜区等特殊敏感因素，周边主要保护目标为农田、村庄等，其中距离最近的村庄为场地南侧</w:t>
      </w:r>
      <w:r>
        <w:rPr>
          <w:color w:val="000000" w:themeColor="text1"/>
          <w:sz w:val="24"/>
          <w14:textFill>
            <w14:solidFill>
              <w14:schemeClr w14:val="tx1"/>
            </w14:solidFill>
          </w14:textFill>
        </w:rPr>
        <w:t>约670m的逢善村，其次为西侧约700m的</w:t>
      </w:r>
      <w:r>
        <w:rPr>
          <w:rFonts w:hint="eastAsia"/>
          <w:color w:val="000000" w:themeColor="text1"/>
          <w:sz w:val="24"/>
          <w14:textFill>
            <w14:solidFill>
              <w14:schemeClr w14:val="tx1"/>
            </w14:solidFill>
          </w14:textFill>
        </w:rPr>
        <w:t>辛村</w:t>
      </w:r>
      <w:r>
        <w:rPr>
          <w:color w:val="000000" w:themeColor="text1"/>
          <w:sz w:val="24"/>
          <w14:textFill>
            <w14:solidFill>
              <w14:schemeClr w14:val="tx1"/>
            </w14:solidFill>
          </w14:textFill>
        </w:rPr>
        <w:t>村。</w:t>
      </w:r>
    </w:p>
    <w:p>
      <w:pPr>
        <w:pStyle w:val="5"/>
        <w:spacing w:beforeLines="0" w:after="120" w:line="500" w:lineRule="exact"/>
        <w:rPr>
          <w:rFonts w:eastAsia="宋体"/>
          <w:b/>
          <w:bCs w:val="0"/>
          <w:color w:val="auto"/>
          <w:szCs w:val="30"/>
        </w:rPr>
      </w:pPr>
      <w:bookmarkStart w:id="9" w:name="_Toc68422378"/>
      <w:bookmarkStart w:id="10" w:name="_Toc17927"/>
      <w:r>
        <w:rPr>
          <w:rFonts w:eastAsia="宋体"/>
          <w:b/>
          <w:bCs w:val="0"/>
          <w:color w:val="auto"/>
          <w:szCs w:val="30"/>
        </w:rPr>
        <w:t>1.2 环境影响评价的工作过程</w:t>
      </w:r>
      <w:bookmarkEnd w:id="9"/>
      <w:bookmarkEnd w:id="10"/>
    </w:p>
    <w:p>
      <w:pPr>
        <w:spacing w:line="480" w:lineRule="exact"/>
        <w:ind w:firstLine="480" w:firstLineChars="200"/>
        <w:jc w:val="left"/>
        <w:rPr>
          <w:sz w:val="24"/>
        </w:rPr>
      </w:pPr>
      <w:r>
        <w:rPr>
          <w:sz w:val="24"/>
        </w:rPr>
        <w:t>根据《中华人民共和国环境影响评价法》、《建设项目环境保护管理条例》等有关法律法规的规定，本项目需要进行环境影响评价。项目类别属于《建设项目环境影响评价分类管理名录》中的“三十五、公共设施管理业——104、城镇生活垃圾（含餐厨废弃物）集中处置”，需编制环境影响报告书。</w:t>
      </w:r>
    </w:p>
    <w:p>
      <w:pPr>
        <w:spacing w:line="480" w:lineRule="exact"/>
        <w:ind w:firstLine="480" w:firstLineChars="200"/>
        <w:jc w:val="left"/>
        <w:rPr>
          <w:sz w:val="24"/>
        </w:rPr>
      </w:pPr>
      <w:r>
        <w:rPr>
          <w:sz w:val="24"/>
        </w:rPr>
        <w:t>为此，壶关县住房和城乡建设管理局委托我单位对本项目进行环境影响评价工作。接受委托后，我公司立即组织有关人员到现场进行实地踏勘和资料收集，对项目场址周围的地形地貌、自然环境、社会环境、生态环境等情况进行了实地踏勘，并收集了区域气象、地质及水文地质等基本资料，在此基础上按照国家相关环境保护的法律法规和环评技术导则等要求，</w:t>
      </w:r>
      <w:r>
        <w:rPr>
          <w:rFonts w:hint="eastAsia"/>
          <w:sz w:val="24"/>
        </w:rPr>
        <w:t>编制完成了本项目的环境影响报告书（送审本），并提交建设单位报请主管部门评审。</w:t>
      </w:r>
    </w:p>
    <w:p>
      <w:pPr>
        <w:pStyle w:val="5"/>
        <w:spacing w:beforeLines="0" w:after="120" w:line="500" w:lineRule="exact"/>
        <w:rPr>
          <w:rFonts w:eastAsia="宋体"/>
          <w:b/>
          <w:bCs w:val="0"/>
          <w:color w:val="auto"/>
          <w:szCs w:val="30"/>
        </w:rPr>
      </w:pPr>
      <w:bookmarkStart w:id="11" w:name="_Toc24195"/>
      <w:bookmarkStart w:id="12" w:name="_Toc1238767820"/>
      <w:r>
        <w:rPr>
          <w:rFonts w:eastAsia="宋体"/>
          <w:b/>
          <w:bCs w:val="0"/>
          <w:color w:val="auto"/>
          <w:szCs w:val="30"/>
        </w:rPr>
        <w:t>1.3 分析判定相关情况</w:t>
      </w:r>
      <w:bookmarkEnd w:id="11"/>
      <w:bookmarkEnd w:id="12"/>
    </w:p>
    <w:p>
      <w:pPr>
        <w:pStyle w:val="6"/>
      </w:pPr>
      <w:r>
        <w:rPr>
          <w:rFonts w:hint="eastAsia"/>
        </w:rPr>
        <w:t>1.3.1与“三线一单”的符合性</w:t>
      </w:r>
    </w:p>
    <w:p>
      <w:pPr>
        <w:adjustRightInd w:val="0"/>
        <w:spacing w:line="480" w:lineRule="exact"/>
        <w:ind w:firstLine="480" w:firstLineChars="200"/>
        <w:textAlignment w:val="baseline"/>
        <w:rPr>
          <w:sz w:val="24"/>
        </w:rPr>
      </w:pPr>
      <w:r>
        <w:rPr>
          <w:rFonts w:hint="eastAsia"/>
          <w:sz w:val="24"/>
        </w:rPr>
        <w:t>“三线一单”指的是“生态保护红线、资源利用上线、环境质量底线”和“环境准入负面清单”。根据《关于以改善环境质量为核心加强环境影响评价管理的通知》（环环评[2016]150 号），建设项目环境影响评价过程应强化“三线一单”的约束作用，本项目“三线一单”符合性分析如下：</w:t>
      </w:r>
    </w:p>
    <w:p>
      <w:pPr>
        <w:adjustRightInd w:val="0"/>
        <w:spacing w:line="480" w:lineRule="exact"/>
        <w:ind w:firstLine="482" w:firstLineChars="200"/>
        <w:textAlignment w:val="baseline"/>
        <w:rPr>
          <w:sz w:val="24"/>
        </w:rPr>
      </w:pPr>
      <w:r>
        <w:rPr>
          <w:rFonts w:hint="eastAsia"/>
          <w:b/>
          <w:bCs/>
          <w:sz w:val="24"/>
        </w:rPr>
        <w:t>1、生态保护红线</w:t>
      </w:r>
      <w:r>
        <w:rPr>
          <w:rFonts w:hint="eastAsia"/>
          <w:sz w:val="24"/>
        </w:rPr>
        <w:t>：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按照“只能增加、不能减少”的基本要求，实施严格管控。</w:t>
      </w:r>
    </w:p>
    <w:p>
      <w:pPr>
        <w:adjustRightInd w:val="0"/>
        <w:spacing w:line="480" w:lineRule="exact"/>
        <w:ind w:firstLine="480" w:firstLineChars="200"/>
        <w:textAlignment w:val="baseline"/>
        <w:rPr>
          <w:sz w:val="24"/>
        </w:rPr>
      </w:pPr>
      <w:r>
        <w:rPr>
          <w:rFonts w:hint="eastAsia"/>
          <w:sz w:val="24"/>
        </w:rPr>
        <w:t>项目场地位于壶关县集店镇辛村村东北，位于《长治市“三线一单”生态环境分区管控实施方案》中的重点管控单元内，属于公共基础设施建设项目，不属于重点管控单元内禁止或限制建设项目。场地周边主要为农田及荒地，项目场地不属于重要水源涵养、生物多样性维护、水土保持、防风固沙、海岸生态稳定等功能的生态功能重要区域及水土流失、土地沙化、石漠化、盐渍化等生态环境敏感脆弱区域，项目建设符合生态保护红线要求。</w:t>
      </w:r>
    </w:p>
    <w:p>
      <w:pPr>
        <w:adjustRightInd w:val="0"/>
        <w:spacing w:line="480" w:lineRule="exact"/>
        <w:ind w:firstLine="482" w:firstLineChars="200"/>
        <w:textAlignment w:val="baseline"/>
        <w:rPr>
          <w:b/>
          <w:bCs/>
          <w:sz w:val="24"/>
        </w:rPr>
      </w:pPr>
      <w:r>
        <w:rPr>
          <w:rFonts w:hint="eastAsia"/>
          <w:b/>
          <w:bCs/>
          <w:sz w:val="24"/>
        </w:rPr>
        <w:t>2、环境质量底线：</w:t>
      </w:r>
    </w:p>
    <w:p>
      <w:pPr>
        <w:adjustRightInd w:val="0"/>
        <w:spacing w:line="500" w:lineRule="exact"/>
        <w:ind w:firstLine="482" w:firstLineChars="200"/>
        <w:textAlignment w:val="baseline"/>
        <w:rPr>
          <w:sz w:val="24"/>
        </w:rPr>
      </w:pPr>
      <w:r>
        <w:rPr>
          <w:rFonts w:hint="eastAsia"/>
          <w:b/>
          <w:bCs/>
          <w:sz w:val="24"/>
        </w:rPr>
        <w:t>大气环境</w:t>
      </w:r>
      <w:r>
        <w:rPr>
          <w:rFonts w:hint="eastAsia"/>
          <w:sz w:val="24"/>
        </w:rPr>
        <w:t>：本次评价收集引用了《长治市大气污染防治工作领导组办公室、长治市水污染防治工作领导小组办公室关于2022年1-12月及12月长治市环境空气质量和地表水水质情况的通报》（长气防办〔2023〕1号）中壶关县2022年1-12月环境空气质量监测数据，结果表明壶关县2022年</w:t>
      </w:r>
      <w:r>
        <w:rPr>
          <w:sz w:val="24"/>
        </w:rPr>
        <w:t>SO</w:t>
      </w:r>
      <w:r>
        <w:rPr>
          <w:sz w:val="24"/>
          <w:vertAlign w:val="subscript"/>
        </w:rPr>
        <w:t>2</w:t>
      </w:r>
      <w:r>
        <w:rPr>
          <w:rFonts w:hint="eastAsia"/>
          <w:sz w:val="24"/>
        </w:rPr>
        <w:t>年均浓度</w:t>
      </w:r>
      <w:r>
        <w:rPr>
          <w:sz w:val="24"/>
        </w:rPr>
        <w:t>、NO</w:t>
      </w:r>
      <w:r>
        <w:rPr>
          <w:sz w:val="24"/>
          <w:vertAlign w:val="subscript"/>
        </w:rPr>
        <w:t>2</w:t>
      </w:r>
      <w:r>
        <w:rPr>
          <w:rFonts w:hint="eastAsia"/>
          <w:sz w:val="24"/>
        </w:rPr>
        <w:t>年平均浓度</w:t>
      </w:r>
      <w:r>
        <w:rPr>
          <w:sz w:val="24"/>
        </w:rPr>
        <w:t>、CO（</w:t>
      </w:r>
      <w:r>
        <w:rPr>
          <w:rFonts w:hint="eastAsia"/>
          <w:sz w:val="24"/>
        </w:rPr>
        <w:t>24小时平均第95</w:t>
      </w:r>
      <w:r>
        <w:rPr>
          <w:sz w:val="24"/>
        </w:rPr>
        <w:t>百分位数）可达《环境空气质量标准》（GB3095-2012）中二级标准，PM</w:t>
      </w:r>
      <w:r>
        <w:rPr>
          <w:sz w:val="24"/>
          <w:vertAlign w:val="subscript"/>
        </w:rPr>
        <w:t>10</w:t>
      </w:r>
      <w:r>
        <w:rPr>
          <w:rFonts w:hint="eastAsia"/>
          <w:sz w:val="24"/>
        </w:rPr>
        <w:t>年均浓度、</w:t>
      </w:r>
      <w:r>
        <w:rPr>
          <w:sz w:val="24"/>
        </w:rPr>
        <w:t>PM</w:t>
      </w:r>
      <w:r>
        <w:rPr>
          <w:sz w:val="24"/>
          <w:vertAlign w:val="subscript"/>
        </w:rPr>
        <w:t>2.5</w:t>
      </w:r>
      <w:r>
        <w:rPr>
          <w:rFonts w:hint="eastAsia"/>
          <w:sz w:val="24"/>
        </w:rPr>
        <w:t>年均浓度和O</w:t>
      </w:r>
      <w:r>
        <w:rPr>
          <w:rFonts w:hint="eastAsia"/>
          <w:sz w:val="24"/>
          <w:vertAlign w:val="subscript"/>
        </w:rPr>
        <w:t>3</w:t>
      </w:r>
      <w:r>
        <w:rPr>
          <w:rFonts w:hint="eastAsia"/>
          <w:sz w:val="24"/>
        </w:rPr>
        <w:t>-8h百分位数（日最大8小时滑动平均值的第90百分位数）超标，壶关县为不达标区。</w:t>
      </w:r>
      <w:r>
        <w:rPr>
          <w:kern w:val="28"/>
          <w:sz w:val="24"/>
        </w:rPr>
        <w:t>20</w:t>
      </w:r>
      <w:r>
        <w:rPr>
          <w:rFonts w:hint="eastAsia"/>
          <w:kern w:val="28"/>
          <w:sz w:val="24"/>
        </w:rPr>
        <w:t>22</w:t>
      </w:r>
      <w:r>
        <w:rPr>
          <w:kern w:val="28"/>
          <w:sz w:val="24"/>
        </w:rPr>
        <w:t>年</w:t>
      </w:r>
      <w:r>
        <w:rPr>
          <w:rFonts w:hint="eastAsia"/>
          <w:kern w:val="28"/>
          <w:sz w:val="24"/>
        </w:rPr>
        <w:t>9</w:t>
      </w:r>
      <w:r>
        <w:rPr>
          <w:kern w:val="28"/>
          <w:sz w:val="24"/>
        </w:rPr>
        <w:t>月</w:t>
      </w:r>
      <w:r>
        <w:rPr>
          <w:rFonts w:hint="eastAsia"/>
          <w:kern w:val="28"/>
          <w:sz w:val="24"/>
        </w:rPr>
        <w:t>19</w:t>
      </w:r>
      <w:r>
        <w:rPr>
          <w:kern w:val="28"/>
          <w:sz w:val="24"/>
        </w:rPr>
        <w:t>日</w:t>
      </w:r>
      <w:r>
        <w:rPr>
          <w:rFonts w:hint="eastAsia"/>
          <w:kern w:val="28"/>
          <w:sz w:val="24"/>
        </w:rPr>
        <w:t>-</w:t>
      </w:r>
      <w:r>
        <w:rPr>
          <w:kern w:val="28"/>
          <w:sz w:val="24"/>
        </w:rPr>
        <w:t>2</w:t>
      </w:r>
      <w:r>
        <w:rPr>
          <w:rFonts w:hint="eastAsia"/>
          <w:kern w:val="28"/>
          <w:sz w:val="24"/>
        </w:rPr>
        <w:t>022</w:t>
      </w:r>
      <w:r>
        <w:rPr>
          <w:kern w:val="28"/>
          <w:sz w:val="24"/>
        </w:rPr>
        <w:t>年</w:t>
      </w:r>
      <w:r>
        <w:rPr>
          <w:rFonts w:hint="eastAsia"/>
          <w:kern w:val="28"/>
          <w:sz w:val="24"/>
        </w:rPr>
        <w:t>9</w:t>
      </w:r>
      <w:r>
        <w:rPr>
          <w:kern w:val="28"/>
          <w:sz w:val="24"/>
        </w:rPr>
        <w:t>月</w:t>
      </w:r>
      <w:r>
        <w:rPr>
          <w:rFonts w:hint="eastAsia"/>
          <w:kern w:val="28"/>
          <w:sz w:val="24"/>
        </w:rPr>
        <w:t>25</w:t>
      </w:r>
      <w:r>
        <w:rPr>
          <w:kern w:val="28"/>
          <w:sz w:val="24"/>
        </w:rPr>
        <w:t>日</w:t>
      </w:r>
      <w:r>
        <w:rPr>
          <w:rFonts w:hint="eastAsia"/>
          <w:kern w:val="28"/>
          <w:sz w:val="24"/>
        </w:rPr>
        <w:t>对</w:t>
      </w:r>
      <w:r>
        <w:rPr>
          <w:rFonts w:hint="eastAsia"/>
          <w:sz w:val="24"/>
        </w:rPr>
        <w:t>特征因子</w:t>
      </w:r>
      <w:r>
        <w:rPr>
          <w:kern w:val="28"/>
          <w:sz w:val="24"/>
        </w:rPr>
        <w:t>TSP</w:t>
      </w:r>
      <w:r>
        <w:rPr>
          <w:rFonts w:hint="eastAsia"/>
          <w:kern w:val="28"/>
          <w:sz w:val="24"/>
        </w:rPr>
        <w:t>、</w:t>
      </w:r>
      <w:r>
        <w:rPr>
          <w:sz w:val="24"/>
        </w:rPr>
        <w:t>H</w:t>
      </w:r>
      <w:r>
        <w:rPr>
          <w:sz w:val="24"/>
          <w:vertAlign w:val="subscript"/>
        </w:rPr>
        <w:t>2</w:t>
      </w:r>
      <w:r>
        <w:rPr>
          <w:sz w:val="24"/>
        </w:rPr>
        <w:t>S、NH</w:t>
      </w:r>
      <w:r>
        <w:rPr>
          <w:sz w:val="24"/>
          <w:vertAlign w:val="subscript"/>
        </w:rPr>
        <w:t>3</w:t>
      </w:r>
      <w:r>
        <w:rPr>
          <w:sz w:val="24"/>
        </w:rPr>
        <w:t>、甲硫醇</w:t>
      </w:r>
      <w:r>
        <w:rPr>
          <w:rFonts w:hint="eastAsia"/>
          <w:sz w:val="24"/>
        </w:rPr>
        <w:t>、CH</w:t>
      </w:r>
      <w:r>
        <w:rPr>
          <w:rFonts w:hint="eastAsia"/>
          <w:sz w:val="24"/>
          <w:vertAlign w:val="subscript"/>
        </w:rPr>
        <w:t>4</w:t>
      </w:r>
      <w:r>
        <w:rPr>
          <w:rFonts w:hint="eastAsia"/>
          <w:sz w:val="24"/>
        </w:rPr>
        <w:t>、非甲烷总烃进行了现状监测，在场地周边的辛村村、逢善村设两个监测点位，根据监测结果，两处点位的各监测因子均满足其相应标准限值要求。</w:t>
      </w:r>
    </w:p>
    <w:p>
      <w:pPr>
        <w:adjustRightInd w:val="0"/>
        <w:spacing w:line="500" w:lineRule="exact"/>
        <w:ind w:firstLine="482" w:firstLineChars="200"/>
        <w:textAlignment w:val="baseline"/>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地表水</w:t>
      </w:r>
      <w:r>
        <w:rPr>
          <w:rFonts w:hint="eastAsia"/>
          <w:color w:val="000000" w:themeColor="text1"/>
          <w:sz w:val="24"/>
          <w14:textFill>
            <w14:solidFill>
              <w14:schemeClr w14:val="tx1"/>
            </w14:solidFill>
          </w14:textFill>
        </w:rPr>
        <w:t>：项目区域最近的河流为场址东侧20m处的南大河，南大河为浊漳南源一级支流平顺河的支流，平顺河在辛安村附近汇入浊漳河。根据《山西省地表水环境功能区划》（DB14/67-2019），项目所在区域属浊漳河实会断面，水环境功能为保留区水源保护，水质目标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ROMAN</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类。根据</w:t>
      </w:r>
      <w:r>
        <w:rPr>
          <w:rFonts w:hint="eastAsia"/>
          <w:color w:val="000000" w:themeColor="text1"/>
          <w:sz w:val="24"/>
          <w14:textFill>
            <w14:solidFill>
              <w14:schemeClr w14:val="tx1"/>
            </w14:solidFill>
          </w14:textFill>
        </w:rPr>
        <w:t>长治市生态环境局网站公开发布的长治市2023年4月地表水环境质量状况，实会断面为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ROMAN</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水质，水质状况为良好，满足水质目标要求。</w:t>
      </w:r>
    </w:p>
    <w:p>
      <w:pPr>
        <w:adjustRightInd w:val="0"/>
        <w:spacing w:line="480" w:lineRule="exact"/>
        <w:ind w:firstLine="482" w:firstLineChars="200"/>
        <w:textAlignment w:val="baseline"/>
        <w:rPr>
          <w:sz w:val="24"/>
        </w:rPr>
      </w:pPr>
      <w:r>
        <w:rPr>
          <w:rFonts w:hint="eastAsia"/>
          <w:b/>
          <w:bCs/>
          <w:sz w:val="24"/>
        </w:rPr>
        <w:t>地下水</w:t>
      </w:r>
      <w:r>
        <w:rPr>
          <w:rFonts w:hint="eastAsia"/>
          <w:sz w:val="24"/>
        </w:rPr>
        <w:t>：项目委托监测单位对区域地下水环境进行现状监测，共设7个潜水水质监测点，14个潜水水位监测点，丰水季、枯水季共监测二期，根据监测结果，各点位监测指标枯水期和丰水期均可满足《地下水质量标准》（GB/T14848-2017）中III类标准限值。</w:t>
      </w:r>
    </w:p>
    <w:p>
      <w:pPr>
        <w:adjustRightInd w:val="0"/>
        <w:spacing w:line="480" w:lineRule="exact"/>
        <w:ind w:firstLine="482" w:firstLineChars="200"/>
        <w:textAlignment w:val="baseline"/>
        <w:rPr>
          <w:sz w:val="24"/>
        </w:rPr>
      </w:pPr>
      <w:r>
        <w:rPr>
          <w:rFonts w:hint="eastAsia"/>
          <w:b/>
          <w:bCs/>
          <w:sz w:val="24"/>
        </w:rPr>
        <w:t>声环境</w:t>
      </w:r>
      <w:r>
        <w:rPr>
          <w:rFonts w:hint="eastAsia"/>
          <w:sz w:val="24"/>
        </w:rPr>
        <w:t>：项目委托监测单位对场地周边的声环境质量进行了现状监测，共设4个监测点位，均为场界监测点，根据监测结果，4个监测点昼间、夜间噪声均满足《声环境质量标准》（GB3096-2008）中的1类标准限值要求。</w:t>
      </w:r>
    </w:p>
    <w:p>
      <w:pPr>
        <w:adjustRightInd w:val="0"/>
        <w:spacing w:line="480" w:lineRule="exact"/>
        <w:ind w:firstLine="482" w:firstLineChars="200"/>
        <w:textAlignment w:val="baseline"/>
        <w:rPr>
          <w:sz w:val="24"/>
        </w:rPr>
      </w:pPr>
      <w:r>
        <w:rPr>
          <w:rFonts w:hint="eastAsia"/>
          <w:b/>
          <w:bCs/>
          <w:sz w:val="24"/>
        </w:rPr>
        <w:t>土壤环境</w:t>
      </w:r>
      <w:r>
        <w:rPr>
          <w:rFonts w:hint="eastAsia"/>
          <w:sz w:val="24"/>
        </w:rPr>
        <w:t>：</w:t>
      </w:r>
      <w:r>
        <w:rPr>
          <w:sz w:val="24"/>
        </w:rPr>
        <w:t>共6个监测点位，场地内设4个监测点（3个柱状，1个表层），场外</w:t>
      </w:r>
      <w:r>
        <w:rPr>
          <w:rFonts w:hint="eastAsia"/>
          <w:sz w:val="24"/>
        </w:rPr>
        <w:t>200m范围的南侧、北侧耕地各</w:t>
      </w:r>
      <w:r>
        <w:rPr>
          <w:sz w:val="24"/>
        </w:rPr>
        <w:t>设</w:t>
      </w:r>
      <w:r>
        <w:rPr>
          <w:rFonts w:hint="eastAsia"/>
          <w:sz w:val="24"/>
        </w:rPr>
        <w:t>1</w:t>
      </w:r>
      <w:r>
        <w:rPr>
          <w:sz w:val="24"/>
        </w:rPr>
        <w:t>个监测点，</w:t>
      </w:r>
      <w:r>
        <w:rPr>
          <w:rFonts w:hint="eastAsia"/>
          <w:sz w:val="24"/>
        </w:rPr>
        <w:t>根据监测结果，</w:t>
      </w:r>
      <w:r>
        <w:rPr>
          <w:sz w:val="24"/>
        </w:rPr>
        <w:t>厂内土壤均达到《土壤环境质量  建设用地土壤污染风险管控标准（试行）》（GB36600-2018）中筛选值第二类用地对应的标准限值。厂外土壤均达到《土壤环境质量  农用地土壤污染风险管控标准（试行）》（GB15618-2018）表1农用地土壤风险筛选值（基本项目）中的标准限值。</w:t>
      </w:r>
    </w:p>
    <w:p>
      <w:pPr>
        <w:adjustRightInd w:val="0"/>
        <w:spacing w:line="480" w:lineRule="exact"/>
        <w:ind w:firstLine="480" w:firstLineChars="200"/>
        <w:textAlignment w:val="baseline"/>
        <w:rPr>
          <w:sz w:val="24"/>
        </w:rPr>
      </w:pPr>
      <w:r>
        <w:rPr>
          <w:rFonts w:hint="eastAsia"/>
          <w:sz w:val="24"/>
        </w:rPr>
        <w:t>本项目属于环境空气不达标区域，但本项目严格落实环评提出的各项环保措施后，经预测本项目建设对环境影响在可控范围内，符合区域环境质量控制的要求。</w:t>
      </w:r>
    </w:p>
    <w:p>
      <w:pPr>
        <w:adjustRightInd w:val="0"/>
        <w:spacing w:line="480" w:lineRule="exact"/>
        <w:ind w:firstLine="482" w:firstLineChars="200"/>
        <w:textAlignment w:val="baseline"/>
        <w:rPr>
          <w:sz w:val="24"/>
        </w:rPr>
      </w:pPr>
      <w:r>
        <w:rPr>
          <w:rFonts w:hint="eastAsia"/>
          <w:b/>
          <w:bCs/>
          <w:sz w:val="24"/>
        </w:rPr>
        <w:t>3、资源利用上线</w:t>
      </w:r>
      <w:r>
        <w:rPr>
          <w:rFonts w:hint="eastAsia"/>
          <w:sz w:val="24"/>
        </w:rPr>
        <w:t>：本项目运营过程中所用的资源主要为水、电等且消耗量较少，项目建设符合资源利用上线要求。</w:t>
      </w:r>
    </w:p>
    <w:p>
      <w:pPr>
        <w:adjustRightInd w:val="0"/>
        <w:spacing w:line="500" w:lineRule="exact"/>
        <w:ind w:firstLine="482" w:firstLineChars="200"/>
        <w:textAlignment w:val="baseline"/>
        <w:rPr>
          <w:sz w:val="24"/>
        </w:rPr>
      </w:pPr>
      <w:r>
        <w:rPr>
          <w:rFonts w:hint="eastAsia"/>
          <w:b/>
          <w:bCs/>
          <w:sz w:val="24"/>
        </w:rPr>
        <w:t>4、环境准入负面清单</w:t>
      </w:r>
      <w:r>
        <w:rPr>
          <w:rFonts w:hint="eastAsia"/>
          <w:sz w:val="24"/>
        </w:rPr>
        <w:t>：环境准入负面清单是基于生态保护红线、环境质量底线和资源利用上线，以保护清单的方式列出的禁止、限制等差别化环境准入条件和要求。对照《产业结构调整指导目录(2019年本)》，项目类别为“四十三、环境保护与资源节约综合利用”类中的“城镇垃圾、农村生活垃圾、农村生活污水、污泥及其他固 体废弃物减量化、资源化、无害化处理和综合利用工程”，属于鼓励类项目。</w:t>
      </w:r>
    </w:p>
    <w:p>
      <w:pPr>
        <w:adjustRightInd w:val="0"/>
        <w:spacing w:line="500" w:lineRule="exact"/>
        <w:ind w:firstLine="480" w:firstLineChars="200"/>
        <w:textAlignment w:val="baseline"/>
        <w:rPr>
          <w:sz w:val="24"/>
        </w:rPr>
      </w:pPr>
      <w:r>
        <w:rPr>
          <w:rFonts w:hint="eastAsia"/>
          <w:sz w:val="24"/>
        </w:rPr>
        <w:t>根据《山西省人民政府办公厅关于印发全省城乡污水垃圾治理行动方案的通知》（晋政办发〔2017〕96号）要求，设市城市和较大的县要加快垃圾焚烧处理设施建设，逐步改变以填埋为主的处理方式，城市和县城新建垃圾处理设施要优先选择焚烧发电、综合处理、热解气化等工艺，原则上不再新建卫生填埋场。本项目属于壶关县县城生活垃圾处理二期工程项目，为原壶关县县城生活垃圾处理工程的二期异地扩建项目，不属于新建项目，且项目属于未批先建项目，目前已投入运行，与文件要求不冲突。</w:t>
      </w:r>
    </w:p>
    <w:p>
      <w:pPr>
        <w:pStyle w:val="6"/>
      </w:pPr>
      <w:r>
        <w:rPr>
          <w:rFonts w:hint="eastAsia"/>
        </w:rPr>
        <w:t>1.3.2 与山西省人民政府《关于实施“三线一单”生态环境分区管控的意见》的符合性</w:t>
      </w:r>
    </w:p>
    <w:p>
      <w:pPr>
        <w:adjustRightInd w:val="0"/>
        <w:spacing w:line="500" w:lineRule="exact"/>
        <w:ind w:firstLine="480" w:firstLineChars="200"/>
        <w:textAlignment w:val="baseline"/>
        <w:rPr>
          <w:sz w:val="24"/>
        </w:rPr>
      </w:pPr>
      <w:r>
        <w:rPr>
          <w:rFonts w:hint="eastAsia"/>
          <w:sz w:val="24"/>
        </w:rPr>
        <w:t>根据山西省政府文件晋政发【2020】26号“关于实施“三线一单”生态环境分区管控的意见”，山西省生态环境管控单元分为优先保护单元、重点管控单元、一般管控单元3类。</w:t>
      </w:r>
    </w:p>
    <w:p>
      <w:pPr>
        <w:adjustRightInd w:val="0"/>
        <w:spacing w:line="500" w:lineRule="exact"/>
        <w:ind w:firstLine="480" w:firstLineChars="200"/>
        <w:textAlignment w:val="baseline"/>
        <w:rPr>
          <w:sz w:val="24"/>
        </w:rPr>
      </w:pPr>
      <w:r>
        <w:rPr>
          <w:rFonts w:hint="eastAsia"/>
          <w:sz w:val="24"/>
        </w:rPr>
        <w:t>本项目位于山西省生态环境管控单元中的重点管控单元，具体详见附图1.3-1。本项目与重点管控单元的符合性分析详见下表。</w:t>
      </w:r>
    </w:p>
    <w:p>
      <w:pPr>
        <w:pStyle w:val="66"/>
        <w:tabs>
          <w:tab w:val="left" w:pos="540"/>
          <w:tab w:val="left" w:pos="1080"/>
          <w:tab w:val="left" w:pos="1260"/>
          <w:tab w:val="left" w:pos="1440"/>
          <w:tab w:val="left" w:pos="2296"/>
          <w:tab w:val="center" w:pos="4309"/>
          <w:tab w:val="clear" w:pos="6840"/>
        </w:tabs>
        <w:rPr>
          <w:rFonts w:ascii="Times New Roman" w:hAnsi="Times New Roman"/>
          <w:szCs w:val="24"/>
        </w:rPr>
      </w:pPr>
    </w:p>
    <w:p>
      <w:pPr>
        <w:pStyle w:val="66"/>
        <w:tabs>
          <w:tab w:val="left" w:pos="540"/>
          <w:tab w:val="left" w:pos="1080"/>
          <w:tab w:val="left" w:pos="1260"/>
          <w:tab w:val="left" w:pos="1440"/>
          <w:tab w:val="left" w:pos="2296"/>
          <w:tab w:val="center" w:pos="4309"/>
          <w:tab w:val="clear" w:pos="6840"/>
        </w:tabs>
        <w:rPr>
          <w:rFonts w:ascii="Times New Roman" w:hAnsi="Times New Roman"/>
          <w:szCs w:val="24"/>
        </w:rPr>
      </w:pPr>
      <w:r>
        <w:rPr>
          <w:rFonts w:ascii="Times New Roman" w:hAnsi="Times New Roman"/>
          <w:szCs w:val="24"/>
        </w:rPr>
        <w:t>表1.</w:t>
      </w:r>
      <w:r>
        <w:rPr>
          <w:rFonts w:hint="eastAsia" w:ascii="Times New Roman" w:hAnsi="Times New Roman"/>
          <w:szCs w:val="24"/>
        </w:rPr>
        <w:t>3</w:t>
      </w:r>
      <w:r>
        <w:rPr>
          <w:rFonts w:ascii="Times New Roman" w:hAnsi="Times New Roman"/>
          <w:szCs w:val="24"/>
        </w:rPr>
        <w:t>-1  本项目与重点管控单元的符合性</w:t>
      </w:r>
      <w:r>
        <w:rPr>
          <w:rFonts w:hint="eastAsia" w:ascii="Times New Roman" w:hAnsi="Times New Roman"/>
          <w:szCs w:val="24"/>
        </w:rPr>
        <w:t>分析</w:t>
      </w:r>
    </w:p>
    <w:tbl>
      <w:tblPr>
        <w:tblStyle w:val="67"/>
        <w:tblW w:w="50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91"/>
        <w:gridCol w:w="3430"/>
        <w:gridCol w:w="3577"/>
        <w:gridCol w:w="10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1" w:hRule="atLeast"/>
          <w:jc w:val="center"/>
        </w:trPr>
        <w:tc>
          <w:tcPr>
            <w:tcW w:w="342" w:type="pct"/>
            <w:tcBorders>
              <w:tl2br w:val="nil"/>
              <w:tr2bl w:val="nil"/>
            </w:tcBorders>
            <w:vAlign w:val="center"/>
          </w:tcPr>
          <w:p>
            <w:pPr>
              <w:autoSpaceDE w:val="0"/>
              <w:autoSpaceDN w:val="0"/>
              <w:adjustRightInd w:val="0"/>
              <w:spacing w:line="280" w:lineRule="exact"/>
              <w:jc w:val="center"/>
              <w:rPr>
                <w:b/>
                <w:kern w:val="0"/>
                <w:szCs w:val="21"/>
              </w:rPr>
            </w:pPr>
            <w:r>
              <w:rPr>
                <w:rFonts w:hint="eastAsia"/>
                <w:b/>
                <w:kern w:val="0"/>
                <w:szCs w:val="21"/>
              </w:rPr>
              <w:t>序号</w:t>
            </w:r>
          </w:p>
        </w:tc>
        <w:tc>
          <w:tcPr>
            <w:tcW w:w="1983" w:type="pct"/>
            <w:tcBorders>
              <w:tl2br w:val="nil"/>
              <w:tr2bl w:val="nil"/>
            </w:tcBorders>
            <w:vAlign w:val="center"/>
          </w:tcPr>
          <w:p>
            <w:pPr>
              <w:autoSpaceDE w:val="0"/>
              <w:autoSpaceDN w:val="0"/>
              <w:adjustRightInd w:val="0"/>
              <w:spacing w:line="280" w:lineRule="exact"/>
              <w:jc w:val="center"/>
              <w:rPr>
                <w:b/>
                <w:kern w:val="0"/>
                <w:szCs w:val="21"/>
              </w:rPr>
            </w:pPr>
            <w:r>
              <w:rPr>
                <w:rFonts w:hint="eastAsia"/>
                <w:b/>
                <w:kern w:val="0"/>
                <w:szCs w:val="21"/>
              </w:rPr>
              <w:t>晋政发【2020】26号要求</w:t>
            </w:r>
          </w:p>
        </w:tc>
        <w:tc>
          <w:tcPr>
            <w:tcW w:w="2068" w:type="pct"/>
            <w:tcBorders>
              <w:tl2br w:val="nil"/>
              <w:tr2bl w:val="nil"/>
            </w:tcBorders>
            <w:vAlign w:val="center"/>
          </w:tcPr>
          <w:p>
            <w:pPr>
              <w:autoSpaceDE w:val="0"/>
              <w:autoSpaceDN w:val="0"/>
              <w:adjustRightInd w:val="0"/>
              <w:spacing w:line="280" w:lineRule="exact"/>
              <w:jc w:val="center"/>
              <w:rPr>
                <w:b/>
                <w:kern w:val="0"/>
                <w:szCs w:val="21"/>
              </w:rPr>
            </w:pPr>
            <w:r>
              <w:rPr>
                <w:rFonts w:hint="eastAsia"/>
                <w:b/>
                <w:kern w:val="0"/>
                <w:szCs w:val="21"/>
              </w:rPr>
              <w:t>本项目情况</w:t>
            </w:r>
          </w:p>
        </w:tc>
        <w:tc>
          <w:tcPr>
            <w:tcW w:w="608" w:type="pct"/>
            <w:tcBorders>
              <w:tl2br w:val="nil"/>
              <w:tr2bl w:val="nil"/>
            </w:tcBorders>
            <w:vAlign w:val="center"/>
          </w:tcPr>
          <w:p>
            <w:pPr>
              <w:autoSpaceDE w:val="0"/>
              <w:autoSpaceDN w:val="0"/>
              <w:adjustRightInd w:val="0"/>
              <w:spacing w:line="280" w:lineRule="exact"/>
              <w:jc w:val="center"/>
              <w:rPr>
                <w:b/>
                <w:kern w:val="0"/>
                <w:szCs w:val="21"/>
              </w:rPr>
            </w:pPr>
            <w:r>
              <w:rPr>
                <w:rFonts w:hint="eastAsia"/>
                <w:b/>
                <w:kern w:val="0"/>
                <w:szCs w:val="21"/>
              </w:rPr>
              <w:t>是否符合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9" w:hRule="atLeast"/>
          <w:jc w:val="center"/>
        </w:trPr>
        <w:tc>
          <w:tcPr>
            <w:tcW w:w="342"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1</w:t>
            </w:r>
          </w:p>
        </w:tc>
        <w:tc>
          <w:tcPr>
            <w:tcW w:w="1983"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进一步优化空间布局,加强污染物排放控制和环境风险防控,不断提升资源能源利用效率,解决生态环境质量不达标、生态环境风险高等问题,实现减污降碳协同效应。</w:t>
            </w:r>
          </w:p>
        </w:tc>
        <w:tc>
          <w:tcPr>
            <w:tcW w:w="2068"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本项目为生活垃圾填埋场工程，属公共基础设施，场地距村庄等敏感点距离相对较远，库区按要求进行了防渗处理，配套了渗滤液收集导排处理系统，渗滤液经处理达标后，全部回用不外排，后期填埋气收集后经燃烧器燃烧放空，在落实环评要求的措施后，项目污染物排放量较小，风险事故的环境影响可控制在可防控范围内。</w:t>
            </w:r>
          </w:p>
        </w:tc>
        <w:tc>
          <w:tcPr>
            <w:tcW w:w="608" w:type="pct"/>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3" w:hRule="atLeast"/>
          <w:jc w:val="center"/>
        </w:trPr>
        <w:tc>
          <w:tcPr>
            <w:tcW w:w="342"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2</w:t>
            </w:r>
          </w:p>
        </w:tc>
        <w:tc>
          <w:tcPr>
            <w:tcW w:w="1983"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京津冀及周边地区和汾渭平原等国家大气污染联防联控重点区域,要加快调整优化产业结构、能源结构,严禁新增钢铁、焦化、铸造、水泥、平板玻璃等产能,要加快实施城市规划区“两高”企业搬迁,完善能源消费双控制度。</w:t>
            </w:r>
          </w:p>
        </w:tc>
        <w:tc>
          <w:tcPr>
            <w:tcW w:w="2068"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本项目不属于钢铁、焦化、铸造、水泥、平板玻璃等“两高”项目</w:t>
            </w:r>
          </w:p>
        </w:tc>
        <w:tc>
          <w:tcPr>
            <w:tcW w:w="608" w:type="pct"/>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342"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3</w:t>
            </w:r>
          </w:p>
        </w:tc>
        <w:tc>
          <w:tcPr>
            <w:tcW w:w="1983"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实施企业绩效分级分类管控,强化联防联控,持续推进清洁取暖散煤治理,严防“散乱污”企业反弹,积极应对重污染天气。</w:t>
            </w:r>
          </w:p>
        </w:tc>
        <w:tc>
          <w:tcPr>
            <w:tcW w:w="2068"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本项目废气主要为无组织填埋气、恶臭、粉尘等且排放量较小，本项目冬季采用空调取暖，不设锅炉等供热设施，不涉及散煤治理，不属于“散乱污”企业。</w:t>
            </w:r>
          </w:p>
        </w:tc>
        <w:tc>
          <w:tcPr>
            <w:tcW w:w="608" w:type="pct"/>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4" w:hRule="atLeast"/>
          <w:jc w:val="center"/>
        </w:trPr>
        <w:tc>
          <w:tcPr>
            <w:tcW w:w="342"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4</w:t>
            </w:r>
          </w:p>
        </w:tc>
        <w:tc>
          <w:tcPr>
            <w:tcW w:w="1983"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太原及周边“1+30”汾河谷地区域在执行京津冀及周边地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w:t>
            </w:r>
          </w:p>
        </w:tc>
        <w:tc>
          <w:tcPr>
            <w:tcW w:w="2068"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本项目不属于焦化、化工、钢铁、有色等重污染行业。</w:t>
            </w:r>
          </w:p>
        </w:tc>
        <w:tc>
          <w:tcPr>
            <w:tcW w:w="608" w:type="pct"/>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4" w:hRule="atLeast"/>
          <w:jc w:val="center"/>
        </w:trPr>
        <w:tc>
          <w:tcPr>
            <w:tcW w:w="342"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5</w:t>
            </w:r>
          </w:p>
        </w:tc>
        <w:tc>
          <w:tcPr>
            <w:tcW w:w="1983"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分质利用。</w:t>
            </w:r>
          </w:p>
        </w:tc>
        <w:tc>
          <w:tcPr>
            <w:tcW w:w="2068" w:type="pct"/>
            <w:tcBorders>
              <w:tl2br w:val="nil"/>
              <w:tr2bl w:val="nil"/>
            </w:tcBorders>
            <w:vAlign w:val="center"/>
          </w:tcPr>
          <w:p>
            <w:pPr>
              <w:autoSpaceDE w:val="0"/>
              <w:autoSpaceDN w:val="0"/>
              <w:adjustRightInd w:val="0"/>
              <w:spacing w:line="280" w:lineRule="exact"/>
              <w:rPr>
                <w:bCs/>
                <w:kern w:val="0"/>
                <w:szCs w:val="21"/>
              </w:rPr>
            </w:pPr>
            <w:r>
              <w:rPr>
                <w:rFonts w:hint="eastAsia"/>
                <w:bCs/>
                <w:kern w:val="0"/>
                <w:szCs w:val="21"/>
              </w:rPr>
              <w:t>本项目不属于汾河流域；本项目废水经处理后全部回用，不外排，不设入河排污口。</w:t>
            </w:r>
          </w:p>
        </w:tc>
        <w:tc>
          <w:tcPr>
            <w:tcW w:w="608" w:type="pct"/>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bl>
    <w:p>
      <w:pPr>
        <w:adjustRightInd w:val="0"/>
        <w:spacing w:line="480" w:lineRule="exact"/>
        <w:ind w:firstLine="480" w:firstLineChars="200"/>
        <w:textAlignment w:val="baseline"/>
        <w:rPr>
          <w:sz w:val="24"/>
        </w:rPr>
      </w:pPr>
      <w:r>
        <w:rPr>
          <w:rFonts w:hint="eastAsia"/>
          <w:sz w:val="24"/>
        </w:rPr>
        <w:t>由以上可知，本项目符合山西省人民政府《关于实施“三线一单”生态环境分区管控的意见》的相关要求。</w:t>
      </w:r>
    </w:p>
    <w:p>
      <w:pPr>
        <w:pStyle w:val="6"/>
      </w:pPr>
      <w:r>
        <w:rPr>
          <w:rFonts w:hint="eastAsia"/>
        </w:rPr>
        <w:t>1.3.3 与《关于印发长治市“三线一单”生态环境分区管控实施方案的通知》的符合性</w:t>
      </w:r>
    </w:p>
    <w:p>
      <w:pPr>
        <w:adjustRightInd w:val="0"/>
        <w:spacing w:line="480" w:lineRule="exact"/>
        <w:ind w:firstLine="480" w:firstLineChars="200"/>
        <w:textAlignment w:val="baseline"/>
        <w:rPr>
          <w:sz w:val="24"/>
        </w:rPr>
      </w:pPr>
      <w:r>
        <w:rPr>
          <w:rFonts w:hint="eastAsia"/>
          <w:sz w:val="24"/>
        </w:rPr>
        <w:t>2021年6月30日，长治市人民政府发布了《关于印发长治市“三线一单”生态环境分区管控实施方案的通知》（长政发[2021]21号）。将生态环境管控单元划分为优先保护、重点管控和一般管控单元三类。</w:t>
      </w:r>
    </w:p>
    <w:p>
      <w:pPr>
        <w:adjustRightInd w:val="0"/>
        <w:spacing w:line="480" w:lineRule="exact"/>
        <w:ind w:firstLine="480" w:firstLineChars="200"/>
        <w:textAlignment w:val="baseline"/>
        <w:rPr>
          <w:sz w:val="24"/>
        </w:rPr>
      </w:pPr>
      <w:r>
        <w:rPr>
          <w:rFonts w:hint="eastAsia"/>
          <w:sz w:val="24"/>
        </w:rPr>
        <w:t>优先保护单元：主要包括生态保护红线、自然保护地、饮用水水源保护区、泉域重点保护区，以及生态功能重要和生态环境敏感脆弱的区域等。</w:t>
      </w:r>
    </w:p>
    <w:p>
      <w:pPr>
        <w:adjustRightInd w:val="0"/>
        <w:spacing w:line="480" w:lineRule="exact"/>
        <w:ind w:firstLine="480" w:firstLineChars="200"/>
        <w:textAlignment w:val="baseline"/>
        <w:rPr>
          <w:sz w:val="24"/>
        </w:rPr>
      </w:pPr>
      <w:r>
        <w:rPr>
          <w:rFonts w:hint="eastAsia"/>
          <w:sz w:val="24"/>
        </w:rPr>
        <w:t>重点管控单元：主要包括城市建成区、开发区和工业园区、大气环境布局敏感区和弱扩散区、以及开发强度高、污染物排放量大、环境问题相对集中的区域等。</w:t>
      </w:r>
    </w:p>
    <w:p>
      <w:pPr>
        <w:adjustRightInd w:val="0"/>
        <w:spacing w:line="480" w:lineRule="exact"/>
        <w:ind w:firstLine="480" w:firstLineChars="200"/>
        <w:textAlignment w:val="baseline"/>
        <w:rPr>
          <w:sz w:val="24"/>
        </w:rPr>
      </w:pPr>
      <w:r>
        <w:rPr>
          <w:rFonts w:hint="eastAsia"/>
          <w:sz w:val="24"/>
        </w:rPr>
        <w:t>一般管控单元：指优先保护单元和重点管控单元之外的其他区域。</w:t>
      </w:r>
    </w:p>
    <w:p>
      <w:pPr>
        <w:adjustRightInd w:val="0"/>
        <w:spacing w:line="480" w:lineRule="exact"/>
        <w:ind w:firstLine="482" w:firstLineChars="200"/>
        <w:textAlignment w:val="baseline"/>
        <w:rPr>
          <w:b/>
          <w:bCs/>
          <w:sz w:val="24"/>
        </w:rPr>
      </w:pPr>
      <w:r>
        <w:rPr>
          <w:rFonts w:hint="eastAsia"/>
          <w:b/>
          <w:bCs/>
          <w:sz w:val="24"/>
        </w:rPr>
        <w:t>长治市生态环境准入清单：</w:t>
      </w:r>
    </w:p>
    <w:p>
      <w:pPr>
        <w:adjustRightInd w:val="0"/>
        <w:spacing w:line="480" w:lineRule="exact"/>
        <w:ind w:firstLine="480" w:firstLineChars="200"/>
        <w:textAlignment w:val="baseline"/>
        <w:rPr>
          <w:sz w:val="24"/>
        </w:rPr>
      </w:pPr>
      <w:r>
        <w:rPr>
          <w:rFonts w:hint="eastAsia"/>
          <w:sz w:val="24"/>
        </w:rPr>
        <w:t>优先保护单元：以生态环境保护为主，依法禁止或限制大规模、高强度的工业和城镇开发建设，在功能受损的优先保护单元优先开展生态保护修复活动，恢复生态系统服务功能。加强太行山水土流失生态脆弱区域生态保护红线和重要生态空间的保护，依法禁止或限制大规模开发，严格矿山开采等产业准入，加强矿区的生态治理与修复，提高水源涵养能力，保护森林生态系统。在浊漳河、沁河河流谷地，漳泽湖生态保护与修复区域，太行旅游产业布局以及人居环境敏感区，严控重污染行业产能规模，推进产业布局与生态空间协调发展。</w:t>
      </w:r>
    </w:p>
    <w:p>
      <w:pPr>
        <w:adjustRightInd w:val="0"/>
        <w:spacing w:line="480" w:lineRule="exact"/>
        <w:ind w:firstLine="480" w:firstLineChars="200"/>
        <w:textAlignment w:val="baseline"/>
        <w:rPr>
          <w:sz w:val="24"/>
        </w:rPr>
      </w:pPr>
      <w:r>
        <w:rPr>
          <w:rFonts w:hint="eastAsia"/>
          <w:sz w:val="24"/>
        </w:rPr>
        <w:t>重点管控单元：以生态修复和环境污染治理为主，进一步优化空间布局，加强污染物排放控制和环境风险防控，不断提升资源能源利用效率，解决生态环境质量不达标、生态环境风险高等问题，实现减污降碳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pPr>
        <w:adjustRightInd w:val="0"/>
        <w:spacing w:line="480" w:lineRule="exact"/>
        <w:ind w:firstLine="480" w:firstLineChars="200"/>
        <w:textAlignment w:val="baseline"/>
        <w:rPr>
          <w:sz w:val="24"/>
        </w:rPr>
      </w:pPr>
      <w:r>
        <w:rPr>
          <w:rFonts w:hint="eastAsia"/>
          <w:sz w:val="24"/>
        </w:rPr>
        <w:t>一般管控单元：以生态环境保护与适度开发相结合为主，主要落实生态环境保护基本要求，执行国家、省、市相关产业准入、总量控制、排放标准等管理规定，推动区域生态环境质量持续改善。</w:t>
      </w:r>
    </w:p>
    <w:p>
      <w:pPr>
        <w:adjustRightInd w:val="0"/>
        <w:spacing w:line="480" w:lineRule="exact"/>
        <w:ind w:firstLine="480" w:firstLineChars="200"/>
        <w:textAlignment w:val="baseline"/>
        <w:rPr>
          <w:sz w:val="24"/>
        </w:rPr>
      </w:pPr>
      <w:r>
        <w:rPr>
          <w:rFonts w:hint="eastAsia"/>
          <w:sz w:val="24"/>
        </w:rPr>
        <w:t>本项目建设属于重点管控单元管控要求，具体详见附图1.3-2。本项目与长政发[2021]21号的符合性分析详见下表1.3-2～1.3-4。</w:t>
      </w:r>
    </w:p>
    <w:p>
      <w:pPr>
        <w:pStyle w:val="66"/>
        <w:tabs>
          <w:tab w:val="left" w:pos="540"/>
          <w:tab w:val="left" w:pos="1080"/>
          <w:tab w:val="left" w:pos="1260"/>
          <w:tab w:val="left" w:pos="1440"/>
          <w:tab w:val="left" w:pos="2296"/>
          <w:tab w:val="center" w:pos="4309"/>
          <w:tab w:val="clear" w:pos="6840"/>
        </w:tabs>
        <w:rPr>
          <w:rFonts w:ascii="Times New Roman" w:hAnsi="Times New Roman"/>
          <w:szCs w:val="24"/>
        </w:rPr>
      </w:pPr>
      <w:r>
        <w:rPr>
          <w:rFonts w:ascii="Times New Roman" w:hAnsi="Times New Roman"/>
          <w:szCs w:val="24"/>
        </w:rPr>
        <w:t>表1.</w:t>
      </w:r>
      <w:r>
        <w:rPr>
          <w:rFonts w:hint="eastAsia" w:ascii="Times New Roman" w:hAnsi="Times New Roman"/>
          <w:szCs w:val="24"/>
        </w:rPr>
        <w:t>3</w:t>
      </w:r>
      <w:r>
        <w:rPr>
          <w:rFonts w:ascii="Times New Roman" w:hAnsi="Times New Roman"/>
          <w:szCs w:val="24"/>
        </w:rPr>
        <w:t>-</w:t>
      </w:r>
      <w:r>
        <w:rPr>
          <w:rFonts w:hint="eastAsia" w:ascii="Times New Roman" w:hAnsi="Times New Roman"/>
          <w:szCs w:val="24"/>
        </w:rPr>
        <w:t>2</w:t>
      </w:r>
      <w:r>
        <w:rPr>
          <w:rFonts w:ascii="Times New Roman" w:hAnsi="Times New Roman"/>
          <w:szCs w:val="24"/>
        </w:rPr>
        <w:t xml:space="preserve">  项目与长治市生态环境准入总体</w:t>
      </w:r>
      <w:r>
        <w:rPr>
          <w:rFonts w:hint="eastAsia" w:ascii="Times New Roman" w:hAnsi="Times New Roman"/>
          <w:szCs w:val="24"/>
        </w:rPr>
        <w:t>清单</w:t>
      </w:r>
      <w:r>
        <w:rPr>
          <w:rFonts w:ascii="Times New Roman" w:hAnsi="Times New Roman"/>
          <w:szCs w:val="24"/>
        </w:rPr>
        <w:t>符合性分析</w:t>
      </w:r>
    </w:p>
    <w:tbl>
      <w:tblPr>
        <w:tblStyle w:val="67"/>
        <w:tblW w:w="53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5"/>
        <w:gridCol w:w="1184"/>
        <w:gridCol w:w="4678"/>
        <w:gridCol w:w="1843"/>
        <w:gridCol w:w="6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1" w:hRule="atLeast"/>
        </w:trPr>
        <w:tc>
          <w:tcPr>
            <w:tcW w:w="675" w:type="dxa"/>
            <w:tcBorders>
              <w:tl2br w:val="nil"/>
              <w:tr2bl w:val="nil"/>
            </w:tcBorders>
          </w:tcPr>
          <w:p>
            <w:pPr>
              <w:autoSpaceDE w:val="0"/>
              <w:autoSpaceDN w:val="0"/>
              <w:adjustRightInd w:val="0"/>
              <w:spacing w:line="300" w:lineRule="exact"/>
              <w:jc w:val="center"/>
              <w:rPr>
                <w:b/>
                <w:kern w:val="0"/>
                <w:szCs w:val="21"/>
              </w:rPr>
            </w:pPr>
            <w:r>
              <w:rPr>
                <w:rFonts w:hint="eastAsia"/>
                <w:b/>
                <w:kern w:val="0"/>
                <w:szCs w:val="21"/>
              </w:rPr>
              <w:t>管控</w:t>
            </w:r>
          </w:p>
          <w:p>
            <w:pPr>
              <w:autoSpaceDE w:val="0"/>
              <w:autoSpaceDN w:val="0"/>
              <w:adjustRightInd w:val="0"/>
              <w:spacing w:line="300" w:lineRule="exact"/>
              <w:jc w:val="center"/>
              <w:rPr>
                <w:b/>
                <w:kern w:val="0"/>
                <w:szCs w:val="21"/>
              </w:rPr>
            </w:pPr>
            <w:r>
              <w:rPr>
                <w:rFonts w:hint="eastAsia"/>
                <w:b/>
                <w:kern w:val="0"/>
                <w:szCs w:val="21"/>
              </w:rPr>
              <w:t>类别</w:t>
            </w:r>
          </w:p>
        </w:tc>
        <w:tc>
          <w:tcPr>
            <w:tcW w:w="5862" w:type="dxa"/>
            <w:gridSpan w:val="2"/>
            <w:tcBorders>
              <w:tl2br w:val="nil"/>
              <w:tr2bl w:val="nil"/>
            </w:tcBorders>
            <w:vAlign w:val="center"/>
          </w:tcPr>
          <w:p>
            <w:pPr>
              <w:autoSpaceDE w:val="0"/>
              <w:autoSpaceDN w:val="0"/>
              <w:adjustRightInd w:val="0"/>
              <w:spacing w:line="300" w:lineRule="exact"/>
              <w:jc w:val="center"/>
              <w:rPr>
                <w:b/>
                <w:kern w:val="0"/>
                <w:szCs w:val="21"/>
              </w:rPr>
            </w:pPr>
            <w:r>
              <w:rPr>
                <w:rFonts w:hint="eastAsia"/>
                <w:b/>
                <w:kern w:val="0"/>
                <w:szCs w:val="21"/>
              </w:rPr>
              <w:t>管控要求</w:t>
            </w:r>
          </w:p>
        </w:tc>
        <w:tc>
          <w:tcPr>
            <w:tcW w:w="1843" w:type="dxa"/>
            <w:tcBorders>
              <w:tl2br w:val="nil"/>
              <w:tr2bl w:val="nil"/>
            </w:tcBorders>
            <w:vAlign w:val="center"/>
          </w:tcPr>
          <w:p>
            <w:pPr>
              <w:autoSpaceDE w:val="0"/>
              <w:autoSpaceDN w:val="0"/>
              <w:adjustRightInd w:val="0"/>
              <w:spacing w:line="300" w:lineRule="exact"/>
              <w:jc w:val="center"/>
              <w:rPr>
                <w:b/>
                <w:kern w:val="0"/>
                <w:szCs w:val="21"/>
              </w:rPr>
            </w:pPr>
            <w:r>
              <w:rPr>
                <w:rFonts w:hint="eastAsia"/>
                <w:b/>
                <w:kern w:val="0"/>
                <w:szCs w:val="21"/>
              </w:rPr>
              <w:t>本项目情况</w:t>
            </w:r>
          </w:p>
        </w:tc>
        <w:tc>
          <w:tcPr>
            <w:tcW w:w="653" w:type="dxa"/>
            <w:tcBorders>
              <w:tl2br w:val="nil"/>
              <w:tr2bl w:val="nil"/>
            </w:tcBorders>
            <w:vAlign w:val="center"/>
          </w:tcPr>
          <w:p>
            <w:pPr>
              <w:autoSpaceDE w:val="0"/>
              <w:autoSpaceDN w:val="0"/>
              <w:adjustRightInd w:val="0"/>
              <w:spacing w:line="300" w:lineRule="exact"/>
              <w:jc w:val="center"/>
              <w:rPr>
                <w:b/>
                <w:kern w:val="0"/>
                <w:szCs w:val="21"/>
              </w:rPr>
            </w:pPr>
            <w:r>
              <w:rPr>
                <w:rFonts w:hint="eastAsia"/>
                <w:b/>
                <w:kern w:val="0"/>
                <w:szCs w:val="21"/>
              </w:rPr>
              <w:t>是否符合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3" w:hRule="atLeast"/>
        </w:trPr>
        <w:tc>
          <w:tcPr>
            <w:tcW w:w="675"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空间布局约束</w:t>
            </w:r>
          </w:p>
        </w:tc>
        <w:tc>
          <w:tcPr>
            <w:tcW w:w="5862" w:type="dxa"/>
            <w:gridSpan w:val="2"/>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1、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autoSpaceDE w:val="0"/>
              <w:autoSpaceDN w:val="0"/>
              <w:adjustRightInd w:val="0"/>
              <w:spacing w:line="320" w:lineRule="exact"/>
              <w:rPr>
                <w:bCs/>
                <w:kern w:val="0"/>
                <w:szCs w:val="21"/>
              </w:rPr>
            </w:pPr>
            <w:r>
              <w:rPr>
                <w:rFonts w:hint="eastAsia"/>
                <w:bCs/>
                <w:kern w:val="0"/>
                <w:szCs w:val="21"/>
              </w:rPr>
              <w:t>2、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p>
            <w:pPr>
              <w:autoSpaceDE w:val="0"/>
              <w:autoSpaceDN w:val="0"/>
              <w:adjustRightInd w:val="0"/>
              <w:spacing w:line="320" w:lineRule="exact"/>
              <w:rPr>
                <w:bCs/>
                <w:kern w:val="0"/>
                <w:szCs w:val="21"/>
              </w:rPr>
            </w:pPr>
            <w:r>
              <w:rPr>
                <w:rFonts w:hint="eastAsia"/>
                <w:bCs/>
                <w:kern w:val="0"/>
                <w:szCs w:val="21"/>
              </w:rPr>
              <w:t>3、新建、扩建“两高”项目应采用先进适用的工艺技术和装备，单位产品物耗、能耗、水耗等达到清洁生产先进水平，依法制定并严格落实防治土壤与地下水污染的措施。</w:t>
            </w:r>
          </w:p>
          <w:p>
            <w:pPr>
              <w:autoSpaceDE w:val="0"/>
              <w:autoSpaceDN w:val="0"/>
              <w:adjustRightInd w:val="0"/>
              <w:spacing w:line="320" w:lineRule="exact"/>
              <w:rPr>
                <w:bCs/>
                <w:kern w:val="0"/>
                <w:szCs w:val="21"/>
              </w:rPr>
            </w:pPr>
            <w:r>
              <w:rPr>
                <w:rFonts w:hint="eastAsia"/>
                <w:bCs/>
                <w:kern w:val="0"/>
                <w:szCs w:val="21"/>
              </w:rPr>
              <w:t>4、对纳入生态保护红线的区域，原则上按照禁止开发区域进行管理，严格禁止开发性、生产性建设活动，在符合现行法律法规前提下，除国家重大战略项目外，仅允许对生态功能不造成破坏的有限人为活动。</w:t>
            </w:r>
          </w:p>
          <w:p>
            <w:pPr>
              <w:autoSpaceDE w:val="0"/>
              <w:autoSpaceDN w:val="0"/>
              <w:adjustRightInd w:val="0"/>
              <w:spacing w:line="320" w:lineRule="exact"/>
              <w:rPr>
                <w:bCs/>
                <w:kern w:val="0"/>
                <w:szCs w:val="21"/>
              </w:rPr>
            </w:pPr>
            <w:r>
              <w:rPr>
                <w:rFonts w:hint="eastAsia"/>
                <w:bCs/>
                <w:kern w:val="0"/>
                <w:szCs w:val="21"/>
              </w:rPr>
              <w:t>5、在禁养区内禁止新建规模化畜禽养殖项目。</w:t>
            </w:r>
          </w:p>
          <w:p>
            <w:pPr>
              <w:autoSpaceDE w:val="0"/>
              <w:autoSpaceDN w:val="0"/>
              <w:adjustRightInd w:val="0"/>
              <w:spacing w:line="320" w:lineRule="exact"/>
              <w:rPr>
                <w:bCs/>
                <w:kern w:val="0"/>
                <w:szCs w:val="21"/>
              </w:rPr>
            </w:pPr>
            <w:r>
              <w:rPr>
                <w:rFonts w:hint="eastAsia"/>
                <w:bCs/>
                <w:kern w:val="0"/>
                <w:szCs w:val="21"/>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己建成的，应当限期搬迁。</w:t>
            </w:r>
          </w:p>
          <w:p>
            <w:pPr>
              <w:autoSpaceDE w:val="0"/>
              <w:autoSpaceDN w:val="0"/>
              <w:adjustRightInd w:val="0"/>
              <w:spacing w:line="320" w:lineRule="exact"/>
              <w:rPr>
                <w:bCs/>
                <w:kern w:val="0"/>
                <w:szCs w:val="21"/>
              </w:rPr>
            </w:pPr>
            <w:r>
              <w:rPr>
                <w:rFonts w:hint="eastAsia"/>
                <w:bCs/>
                <w:kern w:val="0"/>
                <w:szCs w:val="21"/>
              </w:rPr>
              <w:t>7、禁止在居民区和学校、医院、疗养院、养老院、幼儿园等单位周边新建、改建、扩建可能造成土壤污染的建设项目。</w:t>
            </w:r>
          </w:p>
          <w:p>
            <w:pPr>
              <w:autoSpaceDE w:val="0"/>
              <w:autoSpaceDN w:val="0"/>
              <w:adjustRightInd w:val="0"/>
              <w:spacing w:line="320" w:lineRule="exact"/>
              <w:rPr>
                <w:bCs/>
                <w:kern w:val="0"/>
                <w:szCs w:val="21"/>
              </w:rPr>
            </w:pPr>
            <w:r>
              <w:rPr>
                <w:rFonts w:hint="eastAsia"/>
                <w:bCs/>
                <w:kern w:val="0"/>
                <w:szCs w:val="21"/>
              </w:rPr>
              <w:t>8、禁止新增钢铁、焦化、铸造、水泥、平板玻璃等产能；确有必要新建的，应当严格执行产能置换，符合区域、行业规划环评。</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本项目不属于“两高”项目，经调查，场地周边1km范围内敏感目标主要为村庄及农田，无校、医院、疗养院、养老院、幼儿园等单</w:t>
            </w:r>
            <w:r>
              <w:rPr>
                <w:rFonts w:hint="eastAsia"/>
                <w:bCs/>
                <w:color w:val="000000" w:themeColor="text1"/>
                <w:kern w:val="0"/>
                <w:szCs w:val="21"/>
                <w14:textFill>
                  <w14:solidFill>
                    <w14:schemeClr w14:val="tx1"/>
                  </w14:solidFill>
                </w14:textFill>
              </w:rPr>
              <w:t>位，其中距离最近的为南侧约670m的逢善村，其次为西侧约700m的辛</w:t>
            </w:r>
            <w:r>
              <w:rPr>
                <w:rFonts w:hint="eastAsia"/>
                <w:bCs/>
                <w:kern w:val="0"/>
                <w:szCs w:val="21"/>
              </w:rPr>
              <w:t>村村，在严格落实环评要求的措施后，项目对区域大气、土壤等环境影响可接受。</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675" w:type="dxa"/>
            <w:tcBorders>
              <w:tl2br w:val="nil"/>
              <w:tr2bl w:val="nil"/>
            </w:tcBorders>
            <w:vAlign w:val="center"/>
          </w:tcPr>
          <w:p>
            <w:pPr>
              <w:autoSpaceDE w:val="0"/>
              <w:autoSpaceDN w:val="0"/>
              <w:adjustRightInd w:val="0"/>
              <w:spacing w:line="360" w:lineRule="exact"/>
              <w:jc w:val="center"/>
              <w:rPr>
                <w:bCs/>
                <w:kern w:val="0"/>
                <w:szCs w:val="21"/>
              </w:rPr>
            </w:pPr>
            <w:r>
              <w:rPr>
                <w:rFonts w:hint="eastAsia"/>
                <w:bCs/>
                <w:kern w:val="0"/>
                <w:szCs w:val="21"/>
              </w:rPr>
              <w:t>污染物排放管控</w:t>
            </w:r>
          </w:p>
        </w:tc>
        <w:tc>
          <w:tcPr>
            <w:tcW w:w="5862" w:type="dxa"/>
            <w:gridSpan w:val="2"/>
            <w:tcBorders>
              <w:tl2br w:val="nil"/>
              <w:tr2bl w:val="nil"/>
            </w:tcBorders>
            <w:vAlign w:val="center"/>
          </w:tcPr>
          <w:p>
            <w:pPr>
              <w:autoSpaceDE w:val="0"/>
              <w:autoSpaceDN w:val="0"/>
              <w:adjustRightInd w:val="0"/>
              <w:spacing w:line="320" w:lineRule="exact"/>
              <w:rPr>
                <w:szCs w:val="21"/>
              </w:rPr>
            </w:pPr>
            <w:r>
              <w:rPr>
                <w:rFonts w:hint="eastAsia"/>
                <w:szCs w:val="21"/>
              </w:rPr>
              <w:t>1、污染物排放总量严格落实“十四五”相关目标指标。</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2、工业企业废水及生活污水（含浓盐水等清净下水）处理设施出水水质达到《污水综合排放标准》（DB14/1928-2019) 要求，其它指标达行业特别排放限值，将废污水排入城镇排水设施的所有工业、医疗机构执行排水许可证要求。</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3、火电、炼钢行业执行超低排放标准。</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4、焦化、水泥行业按要求完成超低排放改造，污染物排放执行超低排放标准。</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5、加强建筑施工扬尘动态监管，严格落实“六个百分之百”防治措施。</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6、贮存煤炭、煤矸石、煤渣、煤灰、水泥、石灰、石膏、砂土等易产生扬尘的物料应当密闭，并采取有效抑尘措施。</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7、运输煤炭、垃圾、渣土、砂石、土方、灰浆等散装、流体物料的车辆应当采取密闭或者其他措施防止物料遗撒造成扬尘污染，并按照规定路线行驶。</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8、从事有色金属矿采选、有色金属冶炼、铅蓄电池制造、皮革及其制品制造、化学原料以及化学制品制造、电镀等的单位，应当执行重金属污染物排放总量控制制度。</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本项目废气主要为无组织填埋气、恶臭、粉尘等且排放量较小，渗滤液及职工生活、车辆冲洗废水经处理达标后，全部回用场内及县城绿化、道路清扫，无外排废水，本项目无需申请污染物总量控制指标。</w:t>
            </w:r>
          </w:p>
          <w:p>
            <w:pPr>
              <w:pStyle w:val="2"/>
              <w:spacing w:line="320" w:lineRule="exact"/>
              <w:jc w:val="both"/>
              <w:rPr>
                <w:rFonts w:ascii="Times New Roman" w:hAnsi="Times New Roman"/>
              </w:rPr>
            </w:pPr>
            <w:r>
              <w:rPr>
                <w:rFonts w:hint="eastAsia" w:ascii="Times New Roman" w:hAnsi="Times New Roman"/>
                <w:bCs/>
                <w:sz w:val="21"/>
                <w:szCs w:val="21"/>
              </w:rPr>
              <w:t>本项目已建成投运，生活垃圾由厢式压缩车运输进场，厢式压缩车按规定路线行驶。</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9" w:hRule="atLeast"/>
        </w:trPr>
        <w:tc>
          <w:tcPr>
            <w:tcW w:w="675"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环境</w:t>
            </w:r>
          </w:p>
          <w:p>
            <w:pPr>
              <w:autoSpaceDE w:val="0"/>
              <w:autoSpaceDN w:val="0"/>
              <w:adjustRightInd w:val="0"/>
              <w:spacing w:line="300" w:lineRule="exact"/>
              <w:jc w:val="center"/>
              <w:rPr>
                <w:bCs/>
                <w:kern w:val="0"/>
                <w:szCs w:val="21"/>
              </w:rPr>
            </w:pPr>
            <w:r>
              <w:rPr>
                <w:rFonts w:hint="eastAsia"/>
                <w:bCs/>
                <w:kern w:val="0"/>
                <w:szCs w:val="21"/>
              </w:rPr>
              <w:t>风险</w:t>
            </w:r>
          </w:p>
          <w:p>
            <w:pPr>
              <w:autoSpaceDE w:val="0"/>
              <w:autoSpaceDN w:val="0"/>
              <w:adjustRightInd w:val="0"/>
              <w:spacing w:line="300" w:lineRule="exact"/>
              <w:jc w:val="center"/>
              <w:rPr>
                <w:bCs/>
                <w:kern w:val="0"/>
                <w:szCs w:val="21"/>
              </w:rPr>
            </w:pPr>
            <w:r>
              <w:rPr>
                <w:rFonts w:hint="eastAsia"/>
                <w:bCs/>
                <w:kern w:val="0"/>
                <w:szCs w:val="21"/>
              </w:rPr>
              <w:t>防控</w:t>
            </w:r>
          </w:p>
        </w:tc>
        <w:tc>
          <w:tcPr>
            <w:tcW w:w="5862" w:type="dxa"/>
            <w:gridSpan w:val="2"/>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1、企事业单位和其他生产经营者按照相关规定编制突发环境事件应急预案并向所在地县（区）生态环境部门报备。</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2、煤矸石、粉煤灰、电石渣等一般工业固体废物贮存、利用、处置要符合相关规范要求。</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3、所有危险废物一律规范收集、贮存、转运、利用、处置。</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4、严格控制农用地的农药使用量，禁止使用高毒、高残留农药。</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本项目不涉及煤矸石、粉煤灰、电石渣等一般工业固废和危废，评价提出了按照规定编制突发环境事件应急预案并进行备案的要求。</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9" w:hRule="atLeast"/>
        </w:trPr>
        <w:tc>
          <w:tcPr>
            <w:tcW w:w="675" w:type="dxa"/>
            <w:vMerge w:val="restart"/>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资源利用效率</w:t>
            </w:r>
          </w:p>
        </w:tc>
        <w:tc>
          <w:tcPr>
            <w:tcW w:w="1184"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水资源利用</w:t>
            </w:r>
          </w:p>
        </w:tc>
        <w:tc>
          <w:tcPr>
            <w:tcW w:w="4678" w:type="dxa"/>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1、水资源利用上线严格落实“十四五”相关目标指标。</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2、加快推进辛安泉饮用水水源地保护区和泉域重点保护区的保护和生态修复工作。</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3、大力推进工业节水改造，鼓励支持企业开展节水技术改造和再生水回用。</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4、严格实行水资源管理制度，坚持以水定城、以水定定人、以水定产，提高水资源集约安全利用水平。</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5、新建、改建、扩建项目涉及开发利用辛安泉域水资源的必须符合《山西省泉域水资源保护条例》相关规定。</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本项目不涉及水资源开发利用，运营过程中主要职工生活、车辆冲洗、场地道路抑尘及绿化用水，用水量较少</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9" w:hRule="atLeast"/>
        </w:trPr>
        <w:tc>
          <w:tcPr>
            <w:tcW w:w="675" w:type="dxa"/>
            <w:vMerge w:val="continue"/>
            <w:tcBorders>
              <w:tl2br w:val="nil"/>
              <w:tr2bl w:val="nil"/>
            </w:tcBorders>
          </w:tcPr>
          <w:p>
            <w:pPr>
              <w:autoSpaceDE w:val="0"/>
              <w:autoSpaceDN w:val="0"/>
              <w:adjustRightInd w:val="0"/>
              <w:spacing w:line="300" w:lineRule="exact"/>
              <w:jc w:val="left"/>
              <w:rPr>
                <w:bCs/>
                <w:kern w:val="0"/>
                <w:szCs w:val="21"/>
              </w:rPr>
            </w:pPr>
          </w:p>
        </w:tc>
        <w:tc>
          <w:tcPr>
            <w:tcW w:w="1184"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能源利用</w:t>
            </w:r>
          </w:p>
        </w:tc>
        <w:tc>
          <w:tcPr>
            <w:tcW w:w="4678" w:type="dxa"/>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1、能源利用上线严格落实“十四五”相关目标指标以及碳达峰、碳中和相关要求。</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2、以煤炭、火电、冶金、建材、化工、焦化等高碳排放行业为重点，推广应用先进工艺和低碳技术，提高能效，有效控制工业领域温室气体排放。</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本项目不属于</w:t>
            </w:r>
            <w:r>
              <w:rPr>
                <w:rFonts w:hint="eastAsia"/>
                <w:szCs w:val="21"/>
              </w:rPr>
              <w:t>高碳排放行业，运营过程中消耗的资源主要为少量的水、电等。</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9" w:hRule="atLeast"/>
        </w:trPr>
        <w:tc>
          <w:tcPr>
            <w:tcW w:w="675" w:type="dxa"/>
            <w:vMerge w:val="continue"/>
            <w:tcBorders>
              <w:tl2br w:val="nil"/>
              <w:tr2bl w:val="nil"/>
            </w:tcBorders>
          </w:tcPr>
          <w:p>
            <w:pPr>
              <w:autoSpaceDE w:val="0"/>
              <w:autoSpaceDN w:val="0"/>
              <w:adjustRightInd w:val="0"/>
              <w:spacing w:line="300" w:lineRule="exact"/>
              <w:jc w:val="left"/>
              <w:rPr>
                <w:bCs/>
                <w:kern w:val="0"/>
                <w:szCs w:val="21"/>
              </w:rPr>
            </w:pPr>
          </w:p>
        </w:tc>
        <w:tc>
          <w:tcPr>
            <w:tcW w:w="1184"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土地资源利用</w:t>
            </w:r>
          </w:p>
        </w:tc>
        <w:tc>
          <w:tcPr>
            <w:tcW w:w="4678" w:type="dxa"/>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1、土地资源利用上线严格落实“十四五”相关目标指标。</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2、严格耕地和城镇建设用地总量控制，确保耕地占补平衡，严格建设用地规模控制，落实“增存挂钩”制度，持续加大批而未供和闲置土地处置</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力度，推进盘活存量建设用地，进一步提高土地利用效率。</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3、提高矿产资源开发保护水平，落实资源价格形</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本项目占地面积53397.44m</w:t>
            </w:r>
            <w:r>
              <w:rPr>
                <w:rFonts w:hint="eastAsia"/>
                <w:bCs/>
                <w:kern w:val="0"/>
                <w:szCs w:val="21"/>
                <w:vertAlign w:val="superscript"/>
              </w:rPr>
              <w:t>2</w:t>
            </w:r>
            <w:r>
              <w:rPr>
                <w:rFonts w:hint="eastAsia"/>
                <w:bCs/>
                <w:kern w:val="0"/>
                <w:szCs w:val="21"/>
              </w:rPr>
              <w:t>，土地权属为辛村、逢善村庄集体用地，壶关县住房和城乡建设管理局与集店镇人民政府签订了征地补</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957" w:hRule="atLeast"/>
        </w:trPr>
        <w:tc>
          <w:tcPr>
            <w:tcW w:w="675" w:type="dxa"/>
            <w:vMerge w:val="continue"/>
            <w:tcBorders>
              <w:tl2br w:val="nil"/>
              <w:tr2bl w:val="nil"/>
            </w:tcBorders>
          </w:tcPr>
          <w:p>
            <w:pPr>
              <w:autoSpaceDE w:val="0"/>
              <w:autoSpaceDN w:val="0"/>
              <w:adjustRightInd w:val="0"/>
              <w:spacing w:line="300" w:lineRule="exact"/>
              <w:jc w:val="left"/>
              <w:rPr>
                <w:bCs/>
                <w:kern w:val="0"/>
                <w:szCs w:val="21"/>
              </w:rPr>
            </w:pPr>
          </w:p>
        </w:tc>
        <w:tc>
          <w:tcPr>
            <w:tcW w:w="1184" w:type="dxa"/>
            <w:tcBorders>
              <w:tl2br w:val="nil"/>
              <w:tr2bl w:val="nil"/>
            </w:tcBorders>
            <w:vAlign w:val="center"/>
          </w:tcPr>
          <w:p>
            <w:pPr>
              <w:autoSpaceDE w:val="0"/>
              <w:autoSpaceDN w:val="0"/>
              <w:adjustRightInd w:val="0"/>
              <w:spacing w:line="300" w:lineRule="exact"/>
              <w:jc w:val="center"/>
              <w:rPr>
                <w:bCs/>
                <w:kern w:val="0"/>
                <w:szCs w:val="21"/>
              </w:rPr>
            </w:pPr>
          </w:p>
        </w:tc>
        <w:tc>
          <w:tcPr>
            <w:tcW w:w="4678" w:type="dxa"/>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成机制，加快发展固废综合利用产业，提高资源综合利用效率。深入开展生活垃圾分类，加快构建废旧物资循环利用体系，推进“无废城市”建设。</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4、（疑似）污染地块再开发利用，必须开展土壤环境调查评估；未开展土壤环境调查评估或经评估对人体健康有严重影响的，未经治理修复或治理修复后仍不符合相应规划用地土壤环境要求的，不得纳入用地程序。</w:t>
            </w:r>
          </w:p>
        </w:tc>
        <w:tc>
          <w:tcPr>
            <w:tcW w:w="1843" w:type="dxa"/>
            <w:tcBorders>
              <w:tl2br w:val="nil"/>
              <w:tr2bl w:val="nil"/>
            </w:tcBorders>
            <w:vAlign w:val="center"/>
          </w:tcPr>
          <w:p>
            <w:pPr>
              <w:autoSpaceDE w:val="0"/>
              <w:autoSpaceDN w:val="0"/>
              <w:adjustRightInd w:val="0"/>
              <w:spacing w:line="320" w:lineRule="exact"/>
              <w:rPr>
                <w:bCs/>
                <w:kern w:val="0"/>
                <w:szCs w:val="21"/>
              </w:rPr>
            </w:pPr>
            <w:r>
              <w:rPr>
                <w:rFonts w:hint="eastAsia"/>
                <w:bCs/>
                <w:kern w:val="0"/>
                <w:szCs w:val="21"/>
              </w:rPr>
              <w:t>偿协议，另壶关县国土局出具了相关说明，同意本项目在土地利用规划调整工作中安排新增建设用地规划指标。</w:t>
            </w:r>
          </w:p>
        </w:tc>
        <w:tc>
          <w:tcPr>
            <w:tcW w:w="653" w:type="dxa"/>
            <w:tcBorders>
              <w:tl2br w:val="nil"/>
              <w:tr2bl w:val="nil"/>
            </w:tcBorders>
            <w:vAlign w:val="center"/>
          </w:tcPr>
          <w:p>
            <w:pPr>
              <w:autoSpaceDE w:val="0"/>
              <w:autoSpaceDN w:val="0"/>
              <w:adjustRightInd w:val="0"/>
              <w:spacing w:line="300" w:lineRule="exact"/>
              <w:jc w:val="center"/>
              <w:rPr>
                <w:bCs/>
                <w:kern w:val="0"/>
                <w:szCs w:val="21"/>
              </w:rPr>
            </w:pPr>
          </w:p>
        </w:tc>
      </w:tr>
    </w:tbl>
    <w:p>
      <w:pPr>
        <w:pStyle w:val="66"/>
        <w:tabs>
          <w:tab w:val="left" w:pos="540"/>
          <w:tab w:val="left" w:pos="1080"/>
          <w:tab w:val="left" w:pos="1260"/>
          <w:tab w:val="left" w:pos="1440"/>
          <w:tab w:val="left" w:pos="2296"/>
          <w:tab w:val="center" w:pos="4309"/>
          <w:tab w:val="clear" w:pos="6840"/>
        </w:tabs>
        <w:rPr>
          <w:rFonts w:ascii="Times New Roman" w:hAnsi="Times New Roman"/>
          <w:szCs w:val="24"/>
        </w:rPr>
      </w:pPr>
      <w:r>
        <w:rPr>
          <w:rFonts w:ascii="Times New Roman" w:hAnsi="Times New Roman"/>
          <w:szCs w:val="24"/>
        </w:rPr>
        <w:t>表1.</w:t>
      </w:r>
      <w:r>
        <w:rPr>
          <w:rFonts w:hint="eastAsia" w:ascii="Times New Roman" w:hAnsi="Times New Roman"/>
          <w:szCs w:val="24"/>
        </w:rPr>
        <w:t>3</w:t>
      </w:r>
      <w:r>
        <w:rPr>
          <w:rFonts w:ascii="Times New Roman" w:hAnsi="Times New Roman"/>
          <w:szCs w:val="24"/>
        </w:rPr>
        <w:t>-</w:t>
      </w:r>
      <w:r>
        <w:rPr>
          <w:rFonts w:hint="eastAsia" w:ascii="Times New Roman" w:hAnsi="Times New Roman"/>
          <w:szCs w:val="24"/>
        </w:rPr>
        <w:t>3</w:t>
      </w:r>
      <w:r>
        <w:rPr>
          <w:rFonts w:ascii="Times New Roman" w:hAnsi="Times New Roman"/>
          <w:szCs w:val="24"/>
        </w:rPr>
        <w:t xml:space="preserve"> 项目与</w:t>
      </w:r>
      <w:r>
        <w:rPr>
          <w:rFonts w:hint="eastAsia" w:ascii="Times New Roman" w:hAnsi="Times New Roman"/>
          <w:szCs w:val="24"/>
        </w:rPr>
        <w:t>长治市辛安泉域生态环境准入要求符合性</w:t>
      </w:r>
      <w:r>
        <w:rPr>
          <w:rFonts w:ascii="Times New Roman" w:hAnsi="Times New Roman"/>
          <w:szCs w:val="24"/>
        </w:rPr>
        <w:t>分析</w:t>
      </w:r>
    </w:p>
    <w:tbl>
      <w:tblPr>
        <w:tblStyle w:val="67"/>
        <w:tblW w:w="5394"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35"/>
        <w:gridCol w:w="5560"/>
        <w:gridCol w:w="1704"/>
        <w:gridCol w:w="7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trPr>
        <w:tc>
          <w:tcPr>
            <w:tcW w:w="1135" w:type="dxa"/>
            <w:tcBorders>
              <w:tl2br w:val="nil"/>
              <w:tr2bl w:val="nil"/>
            </w:tcBorders>
            <w:vAlign w:val="center"/>
          </w:tcPr>
          <w:p>
            <w:pPr>
              <w:autoSpaceDE w:val="0"/>
              <w:autoSpaceDN w:val="0"/>
              <w:adjustRightInd w:val="0"/>
              <w:spacing w:line="260" w:lineRule="exact"/>
              <w:jc w:val="center"/>
              <w:rPr>
                <w:b/>
                <w:kern w:val="0"/>
                <w:szCs w:val="21"/>
              </w:rPr>
            </w:pPr>
            <w:r>
              <w:rPr>
                <w:b/>
                <w:kern w:val="0"/>
                <w:szCs w:val="21"/>
              </w:rPr>
              <w:t>管控</w:t>
            </w:r>
          </w:p>
          <w:p>
            <w:pPr>
              <w:autoSpaceDE w:val="0"/>
              <w:autoSpaceDN w:val="0"/>
              <w:adjustRightInd w:val="0"/>
              <w:spacing w:line="260" w:lineRule="exact"/>
              <w:jc w:val="center"/>
              <w:rPr>
                <w:b/>
                <w:kern w:val="0"/>
                <w:szCs w:val="21"/>
              </w:rPr>
            </w:pPr>
            <w:r>
              <w:rPr>
                <w:b/>
                <w:kern w:val="0"/>
                <w:szCs w:val="21"/>
              </w:rPr>
              <w:t>类别</w:t>
            </w:r>
          </w:p>
        </w:tc>
        <w:tc>
          <w:tcPr>
            <w:tcW w:w="5560" w:type="dxa"/>
            <w:tcBorders>
              <w:tl2br w:val="nil"/>
              <w:tr2bl w:val="nil"/>
            </w:tcBorders>
            <w:vAlign w:val="center"/>
          </w:tcPr>
          <w:p>
            <w:pPr>
              <w:autoSpaceDE w:val="0"/>
              <w:autoSpaceDN w:val="0"/>
              <w:adjustRightInd w:val="0"/>
              <w:spacing w:line="260" w:lineRule="exact"/>
              <w:jc w:val="center"/>
              <w:rPr>
                <w:b/>
                <w:kern w:val="0"/>
                <w:szCs w:val="21"/>
              </w:rPr>
            </w:pPr>
            <w:r>
              <w:rPr>
                <w:b/>
                <w:kern w:val="0"/>
                <w:szCs w:val="21"/>
              </w:rPr>
              <w:t>管控要求</w:t>
            </w:r>
          </w:p>
        </w:tc>
        <w:tc>
          <w:tcPr>
            <w:tcW w:w="1704" w:type="dxa"/>
            <w:tcBorders>
              <w:tl2br w:val="nil"/>
              <w:tr2bl w:val="nil"/>
            </w:tcBorders>
            <w:vAlign w:val="center"/>
          </w:tcPr>
          <w:p>
            <w:pPr>
              <w:autoSpaceDE w:val="0"/>
              <w:autoSpaceDN w:val="0"/>
              <w:adjustRightInd w:val="0"/>
              <w:spacing w:line="260" w:lineRule="exact"/>
              <w:jc w:val="center"/>
              <w:rPr>
                <w:b/>
                <w:kern w:val="0"/>
                <w:szCs w:val="21"/>
              </w:rPr>
            </w:pPr>
            <w:r>
              <w:rPr>
                <w:b/>
                <w:kern w:val="0"/>
                <w:szCs w:val="21"/>
              </w:rPr>
              <w:t>本项目情况</w:t>
            </w:r>
          </w:p>
        </w:tc>
        <w:tc>
          <w:tcPr>
            <w:tcW w:w="795" w:type="dxa"/>
            <w:tcBorders>
              <w:tl2br w:val="nil"/>
              <w:tr2bl w:val="nil"/>
            </w:tcBorders>
            <w:vAlign w:val="center"/>
          </w:tcPr>
          <w:p>
            <w:pPr>
              <w:autoSpaceDE w:val="0"/>
              <w:autoSpaceDN w:val="0"/>
              <w:adjustRightInd w:val="0"/>
              <w:spacing w:line="260" w:lineRule="exact"/>
              <w:jc w:val="center"/>
              <w:rPr>
                <w:b/>
                <w:kern w:val="0"/>
                <w:szCs w:val="21"/>
              </w:rPr>
            </w:pPr>
            <w:r>
              <w:rPr>
                <w:rFonts w:hint="eastAsia"/>
                <w:b/>
                <w:kern w:val="0"/>
                <w:szCs w:val="21"/>
              </w:rPr>
              <w:t>是否符合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1135" w:type="dxa"/>
            <w:tcBorders>
              <w:tl2br w:val="nil"/>
              <w:tr2bl w:val="nil"/>
            </w:tcBorders>
            <w:vAlign w:val="center"/>
          </w:tcPr>
          <w:p>
            <w:pPr>
              <w:autoSpaceDE w:val="0"/>
              <w:autoSpaceDN w:val="0"/>
              <w:adjustRightInd w:val="0"/>
              <w:spacing w:line="360" w:lineRule="exact"/>
              <w:jc w:val="center"/>
              <w:rPr>
                <w:bCs/>
                <w:kern w:val="0"/>
                <w:szCs w:val="21"/>
              </w:rPr>
            </w:pPr>
            <w:r>
              <w:rPr>
                <w:rFonts w:hint="eastAsia"/>
                <w:bCs/>
                <w:kern w:val="0"/>
                <w:szCs w:val="21"/>
              </w:rPr>
              <w:t>空间布局约束</w:t>
            </w:r>
          </w:p>
        </w:tc>
        <w:tc>
          <w:tcPr>
            <w:tcW w:w="5560" w:type="dxa"/>
            <w:tcBorders>
              <w:tl2br w:val="nil"/>
              <w:tr2bl w:val="nil"/>
            </w:tcBorders>
            <w:vAlign w:val="center"/>
          </w:tcPr>
          <w:p>
            <w:pPr>
              <w:autoSpaceDE w:val="0"/>
              <w:autoSpaceDN w:val="0"/>
              <w:adjustRightInd w:val="0"/>
              <w:spacing w:line="310" w:lineRule="exact"/>
              <w:rPr>
                <w:szCs w:val="21"/>
              </w:rPr>
            </w:pPr>
            <w:r>
              <w:rPr>
                <w:rFonts w:hint="eastAsia"/>
                <w:szCs w:val="21"/>
              </w:rPr>
              <w:t>1、泉域的重点保护区内禁止在泉水出露带进行采煤、开矿、开山采石和兴建地下水工程，新建、改建、扩建与供水设施和保护水源无关的建设项目；重点保护区以外的泉域范围内严格控制兴建耗水量大或对水资源有污染的建设项目。</w:t>
            </w:r>
          </w:p>
          <w:p>
            <w:pPr>
              <w:pStyle w:val="2"/>
              <w:spacing w:line="310" w:lineRule="exact"/>
              <w:jc w:val="both"/>
              <w:rPr>
                <w:rFonts w:ascii="Times New Roman" w:hAnsi="Times New Roman"/>
                <w:color w:val="auto"/>
                <w:sz w:val="21"/>
                <w:szCs w:val="21"/>
              </w:rPr>
            </w:pPr>
            <w:r>
              <w:rPr>
                <w:rFonts w:hint="eastAsia" w:ascii="Times New Roman" w:hAnsi="Times New Roman"/>
                <w:color w:val="auto"/>
                <w:sz w:val="21"/>
                <w:szCs w:val="21"/>
              </w:rPr>
              <w:t>2、辛安泉饮用水水源地一级保护区内禁止新建、改建、扩建与供水设施、防洪设施和保护水源无关的建设项目。</w:t>
            </w:r>
          </w:p>
          <w:p>
            <w:pPr>
              <w:pStyle w:val="2"/>
              <w:spacing w:line="310" w:lineRule="exact"/>
              <w:jc w:val="both"/>
              <w:rPr>
                <w:rFonts w:ascii="Times New Roman" w:hAnsi="Times New Roman"/>
                <w:color w:val="auto"/>
                <w:sz w:val="21"/>
                <w:szCs w:val="21"/>
              </w:rPr>
            </w:pPr>
            <w:r>
              <w:rPr>
                <w:rFonts w:hint="eastAsia" w:ascii="Times New Roman" w:hAnsi="Times New Roman"/>
                <w:color w:val="auto"/>
                <w:sz w:val="21"/>
                <w:szCs w:val="21"/>
              </w:rPr>
              <w:t>3、辛安泉饮用水源地二级保护区内禁止新建、改建、扩建炼焦、化工、炼油、冶炼、电镀、皮革、造纸、制浆、印刷、染料、放射性以及其他排放污染物的建设项目；禁止建设工业固体废物、粪便和易溶、有毒有害废弃物集中贮存、处置的设施、场所和生活垃圾填埋场、转运站。</w:t>
            </w:r>
          </w:p>
          <w:p>
            <w:pPr>
              <w:pStyle w:val="2"/>
              <w:spacing w:line="310" w:lineRule="exact"/>
              <w:jc w:val="both"/>
              <w:rPr>
                <w:rFonts w:ascii="Times New Roman" w:hAnsi="Times New Roman"/>
                <w:color w:val="auto"/>
              </w:rPr>
            </w:pPr>
            <w:r>
              <w:rPr>
                <w:rFonts w:hint="eastAsia" w:ascii="Times New Roman" w:hAnsi="Times New Roman"/>
                <w:color w:val="auto"/>
                <w:sz w:val="21"/>
                <w:szCs w:val="21"/>
              </w:rPr>
              <w:t>4、辛安泉饮用水水源地准保护区范围内禁止新建、扩建对水体污染严重的建设项目。</w:t>
            </w:r>
          </w:p>
        </w:tc>
        <w:tc>
          <w:tcPr>
            <w:tcW w:w="1704" w:type="dxa"/>
            <w:vMerge w:val="restart"/>
            <w:tcBorders>
              <w:tl2br w:val="nil"/>
              <w:tr2bl w:val="nil"/>
            </w:tcBorders>
            <w:vAlign w:val="center"/>
          </w:tcPr>
          <w:p>
            <w:pPr>
              <w:autoSpaceDE w:val="0"/>
              <w:autoSpaceDN w:val="0"/>
              <w:adjustRightInd w:val="0"/>
              <w:spacing w:line="320" w:lineRule="exact"/>
              <w:jc w:val="center"/>
              <w:rPr>
                <w:bCs/>
                <w:kern w:val="0"/>
                <w:szCs w:val="21"/>
              </w:rPr>
            </w:pPr>
            <w:r>
              <w:rPr>
                <w:rFonts w:hint="eastAsia"/>
                <w:bCs/>
                <w:kern w:val="0"/>
                <w:szCs w:val="21"/>
              </w:rPr>
              <w:t>本项目为县城公共基础设施工程，场地位于辛安泉域范围内，但不属于重点保护区，东北距最近的文王山地垒渗漏段重点保护区约16km，距离较远。</w:t>
            </w:r>
          </w:p>
          <w:p>
            <w:pPr>
              <w:autoSpaceDE w:val="0"/>
              <w:autoSpaceDN w:val="0"/>
              <w:adjustRightInd w:val="0"/>
              <w:spacing w:line="320" w:lineRule="exact"/>
              <w:jc w:val="center"/>
            </w:pPr>
            <w:r>
              <w:rPr>
                <w:rFonts w:hint="eastAsia"/>
                <w:bCs/>
                <w:kern w:val="0"/>
                <w:szCs w:val="21"/>
              </w:rPr>
              <w:t>本项目不涉及辛安泉重点保护区和辛安泉饮用水水源地保护区及准保护区，不涉及利用渗坑、渗井、溶洞、废弃钻孔等排放工业废水、城市生活污水，倾倒污物、废渣和城市生活垃圾等活动。</w:t>
            </w:r>
          </w:p>
        </w:tc>
        <w:tc>
          <w:tcPr>
            <w:tcW w:w="795" w:type="dxa"/>
            <w:tcBorders>
              <w:tl2br w:val="nil"/>
              <w:tr2bl w:val="nil"/>
            </w:tcBorders>
            <w:vAlign w:val="center"/>
          </w:tcPr>
          <w:p>
            <w:pPr>
              <w:autoSpaceDE w:val="0"/>
              <w:autoSpaceDN w:val="0"/>
              <w:adjustRightInd w:val="0"/>
              <w:spacing w:line="360" w:lineRule="exact"/>
              <w:jc w:val="center"/>
              <w:rPr>
                <w:bCs/>
                <w:kern w:val="0"/>
                <w:szCs w:val="21"/>
              </w:rPr>
            </w:pPr>
            <w:r>
              <w:rPr>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4" w:hRule="atLeast"/>
        </w:trPr>
        <w:tc>
          <w:tcPr>
            <w:tcW w:w="1135"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污染物排放管控</w:t>
            </w:r>
          </w:p>
        </w:tc>
        <w:tc>
          <w:tcPr>
            <w:tcW w:w="5560" w:type="dxa"/>
            <w:tcBorders>
              <w:tl2br w:val="nil"/>
              <w:tr2bl w:val="nil"/>
            </w:tcBorders>
            <w:vAlign w:val="center"/>
          </w:tcPr>
          <w:p>
            <w:pPr>
              <w:pStyle w:val="2"/>
              <w:spacing w:line="310" w:lineRule="exact"/>
              <w:jc w:val="both"/>
              <w:rPr>
                <w:rFonts w:ascii="Times New Roman" w:hAnsi="Times New Roman"/>
                <w:color w:val="auto"/>
                <w:sz w:val="21"/>
                <w:szCs w:val="21"/>
              </w:rPr>
            </w:pPr>
            <w:r>
              <w:rPr>
                <w:rFonts w:hint="eastAsia" w:ascii="Times New Roman" w:hAnsi="Times New Roman"/>
                <w:color w:val="auto"/>
                <w:sz w:val="21"/>
                <w:szCs w:val="21"/>
              </w:rPr>
              <w:t>1、泉域的重点保护区内禁止将已污染含水层与未污染含水层的地下水混合开采，禁止倾倒、排放工业废渣和城市生活垃圾、污水及其他废弃物；重点保护区以外的的泉域范围内不得利用渗坑、渗井、溶洞、废弃钻孔等排放工业废水、城市生活污水，倾倒污物、废渣和城市生活垃圾。</w:t>
            </w:r>
          </w:p>
          <w:p>
            <w:pPr>
              <w:pStyle w:val="2"/>
              <w:spacing w:line="310" w:lineRule="exact"/>
              <w:jc w:val="both"/>
              <w:rPr>
                <w:rFonts w:ascii="Times New Roman" w:hAnsi="Times New Roman"/>
                <w:color w:val="auto"/>
                <w:sz w:val="21"/>
                <w:szCs w:val="21"/>
              </w:rPr>
            </w:pPr>
            <w:r>
              <w:rPr>
                <w:rFonts w:hint="eastAsia" w:ascii="Times New Roman" w:hAnsi="Times New Roman"/>
                <w:color w:val="auto"/>
                <w:sz w:val="21"/>
                <w:szCs w:val="21"/>
              </w:rPr>
              <w:t>2、辛安泉饮用水水源地一级保护区内禁止倾倒、堆放工业废渣、废液、垃圾、粪便、油类和其他有害废弃物；禁止从事网箱养殖、旅游、游泳、垂钓、水上训练或者其他可能污染饮用水水体的活动。</w:t>
            </w:r>
          </w:p>
          <w:p>
            <w:pPr>
              <w:pStyle w:val="2"/>
              <w:spacing w:line="310" w:lineRule="exact"/>
              <w:jc w:val="both"/>
              <w:rPr>
                <w:rFonts w:ascii="Times New Roman" w:hAnsi="Times New Roman"/>
                <w:color w:val="auto"/>
                <w:sz w:val="21"/>
                <w:szCs w:val="21"/>
              </w:rPr>
            </w:pPr>
            <w:r>
              <w:rPr>
                <w:rFonts w:hint="eastAsia" w:ascii="Times New Roman" w:hAnsi="Times New Roman"/>
                <w:color w:val="auto"/>
                <w:sz w:val="21"/>
                <w:szCs w:val="21"/>
              </w:rPr>
              <w:t>3、辛安泉饮用水源地二级保护区内禁止使用农药，丢弃农药、农药包装物或清洗施药器械；禁止利用未经净化的污水灌溉农田。</w:t>
            </w:r>
          </w:p>
          <w:p>
            <w:pPr>
              <w:pStyle w:val="2"/>
              <w:spacing w:line="310" w:lineRule="exact"/>
              <w:jc w:val="both"/>
              <w:rPr>
                <w:rFonts w:ascii="Times New Roman" w:hAnsi="Times New Roman"/>
                <w:color w:val="auto"/>
                <w:sz w:val="21"/>
                <w:szCs w:val="21"/>
              </w:rPr>
            </w:pPr>
            <w:r>
              <w:rPr>
                <w:rFonts w:hint="eastAsia" w:ascii="Times New Roman" w:hAnsi="Times New Roman"/>
                <w:color w:val="auto"/>
                <w:sz w:val="21"/>
                <w:szCs w:val="21"/>
              </w:rPr>
              <w:t>4、辛安泉饮用水水源地准保护区范围内禁止直接或者间接向水域排放不符合国家规定以及地方规定排放标准的废水；禁止使用不符合《农田灌溉水质标准》污水灌溉农田；禁止利用渗井、废弃矿井、废弃井孔等排放工业废水、生活污水和矿坑水。</w:t>
            </w:r>
          </w:p>
        </w:tc>
        <w:tc>
          <w:tcPr>
            <w:tcW w:w="1704" w:type="dxa"/>
            <w:vMerge w:val="continue"/>
            <w:tcBorders>
              <w:tl2br w:val="nil"/>
              <w:tr2bl w:val="nil"/>
            </w:tcBorders>
            <w:vAlign w:val="center"/>
          </w:tcPr>
          <w:p>
            <w:pPr>
              <w:autoSpaceDE w:val="0"/>
              <w:autoSpaceDN w:val="0"/>
              <w:adjustRightInd w:val="0"/>
              <w:spacing w:line="260" w:lineRule="exact"/>
              <w:jc w:val="center"/>
              <w:rPr>
                <w:bCs/>
                <w:kern w:val="0"/>
                <w:szCs w:val="21"/>
              </w:rPr>
            </w:pPr>
          </w:p>
        </w:tc>
        <w:tc>
          <w:tcPr>
            <w:tcW w:w="795"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1135"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环境风险防控</w:t>
            </w:r>
          </w:p>
        </w:tc>
        <w:tc>
          <w:tcPr>
            <w:tcW w:w="5560" w:type="dxa"/>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泉域范围内，石化生产、存贮、销售企业以及工业园区、矿山开采区、矿山渣场、垃圾填埋场以及危险废物堆放场等的运营、管理单位应当进行必要的防渗处理。报废矿井、钻井以及取水井应当实施封井回填。</w:t>
            </w:r>
          </w:p>
        </w:tc>
        <w:tc>
          <w:tcPr>
            <w:tcW w:w="1704"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项目填埋库区场底和边坡均铺设了防渗层（由下至上依次为压实</w:t>
            </w:r>
            <w:r>
              <w:rPr>
                <w:bCs/>
                <w:kern w:val="0"/>
                <w:szCs w:val="21"/>
              </w:rPr>
              <w:t>粘土+钠基膨润土+HDPE土工膜+无纺土工布</w:t>
            </w:r>
            <w:r>
              <w:rPr>
                <w:rFonts w:hint="eastAsia"/>
                <w:bCs/>
                <w:kern w:val="0"/>
                <w:szCs w:val="21"/>
              </w:rPr>
              <w:t>）。</w:t>
            </w:r>
          </w:p>
        </w:tc>
        <w:tc>
          <w:tcPr>
            <w:tcW w:w="795"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1135"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资源利用效率</w:t>
            </w:r>
          </w:p>
        </w:tc>
        <w:tc>
          <w:tcPr>
            <w:tcW w:w="5560" w:type="dxa"/>
            <w:tcBorders>
              <w:tl2br w:val="nil"/>
              <w:tr2bl w:val="nil"/>
            </w:tcBorders>
            <w:vAlign w:val="center"/>
          </w:tcPr>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1、泉域的重点保护区内禁止擅自打井、挖泉、截流、引水；重点保护区以外的泉域范围内应控制岩溶地下水开采，合理开发孔隙裂隙地下水。</w:t>
            </w:r>
          </w:p>
          <w:p>
            <w:pPr>
              <w:pStyle w:val="2"/>
              <w:spacing w:line="320" w:lineRule="exact"/>
              <w:jc w:val="both"/>
              <w:rPr>
                <w:rFonts w:ascii="Times New Roman" w:hAnsi="Times New Roman"/>
                <w:color w:val="auto"/>
                <w:sz w:val="21"/>
                <w:szCs w:val="21"/>
              </w:rPr>
            </w:pPr>
            <w:r>
              <w:rPr>
                <w:rFonts w:hint="eastAsia" w:ascii="Times New Roman" w:hAnsi="Times New Roman"/>
                <w:color w:val="auto"/>
                <w:sz w:val="21"/>
                <w:szCs w:val="21"/>
              </w:rPr>
              <w:t>2、泉域范围内，任何单位或者个人取用岩溶地下水，应当依法办理取水许可手续，严禁未经批准擅自取水；经批准取用辛安泉岩溶地下水的单位或者个人，应当依照取水许可规定的条件取水，不得超出核定的取水量，不得转供水。未经批准不得擅自改变取水用途，确需改变的，需经原批准机关审查同意；严格控制辛安泉岩溶地下水开采，实行区域限制许可制度，制定各县（区）岩溶水开采控制指标。对岩溶水取水量已达到或者超过控制指标的县（区），暂停新增岩溶水取水许可；对岩溶水取水量接近控制指标的县（区），限制新增岩溶水取水许可。</w:t>
            </w:r>
          </w:p>
        </w:tc>
        <w:tc>
          <w:tcPr>
            <w:tcW w:w="1704"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本项目不涉及取水和地下水开采活动。</w:t>
            </w:r>
          </w:p>
        </w:tc>
        <w:tc>
          <w:tcPr>
            <w:tcW w:w="795" w:type="dxa"/>
            <w:tcBorders>
              <w:tl2br w:val="nil"/>
              <w:tr2bl w:val="nil"/>
            </w:tcBorders>
            <w:vAlign w:val="center"/>
          </w:tcPr>
          <w:p>
            <w:pPr>
              <w:autoSpaceDE w:val="0"/>
              <w:autoSpaceDN w:val="0"/>
              <w:adjustRightInd w:val="0"/>
              <w:spacing w:line="260" w:lineRule="exact"/>
              <w:jc w:val="center"/>
              <w:rPr>
                <w:bCs/>
                <w:kern w:val="0"/>
                <w:szCs w:val="21"/>
              </w:rPr>
            </w:pPr>
            <w:r>
              <w:rPr>
                <w:rFonts w:hint="eastAsia"/>
                <w:bCs/>
                <w:kern w:val="0"/>
                <w:szCs w:val="21"/>
              </w:rPr>
              <w:t>符合</w:t>
            </w:r>
          </w:p>
        </w:tc>
      </w:tr>
    </w:tbl>
    <w:p>
      <w:pPr>
        <w:pStyle w:val="66"/>
        <w:tabs>
          <w:tab w:val="left" w:pos="540"/>
          <w:tab w:val="left" w:pos="1080"/>
          <w:tab w:val="left" w:pos="1260"/>
          <w:tab w:val="left" w:pos="1440"/>
          <w:tab w:val="left" w:pos="2296"/>
          <w:tab w:val="center" w:pos="4309"/>
          <w:tab w:val="clear" w:pos="6840"/>
        </w:tabs>
        <w:rPr>
          <w:rFonts w:ascii="Times New Roman" w:hAnsi="Times New Roman"/>
          <w:szCs w:val="24"/>
        </w:rPr>
      </w:pPr>
      <w:r>
        <w:rPr>
          <w:rFonts w:ascii="Times New Roman" w:hAnsi="Times New Roman"/>
          <w:szCs w:val="24"/>
        </w:rPr>
        <w:t>表1.</w:t>
      </w:r>
      <w:r>
        <w:rPr>
          <w:rFonts w:hint="eastAsia" w:ascii="Times New Roman" w:hAnsi="Times New Roman"/>
          <w:szCs w:val="24"/>
        </w:rPr>
        <w:t>3</w:t>
      </w:r>
      <w:r>
        <w:rPr>
          <w:rFonts w:ascii="Times New Roman" w:hAnsi="Times New Roman"/>
          <w:szCs w:val="24"/>
        </w:rPr>
        <w:t>-</w:t>
      </w:r>
      <w:r>
        <w:rPr>
          <w:rFonts w:hint="eastAsia" w:ascii="Times New Roman" w:hAnsi="Times New Roman"/>
          <w:szCs w:val="24"/>
        </w:rPr>
        <w:t>4</w:t>
      </w:r>
      <w:r>
        <w:rPr>
          <w:rFonts w:ascii="Times New Roman" w:hAnsi="Times New Roman"/>
          <w:szCs w:val="24"/>
        </w:rPr>
        <w:t xml:space="preserve"> 项目与</w:t>
      </w:r>
      <w:r>
        <w:rPr>
          <w:rFonts w:hint="eastAsia" w:ascii="Times New Roman" w:hAnsi="Times New Roman"/>
          <w:szCs w:val="24"/>
        </w:rPr>
        <w:t>长治市浊漳河流域生态环境准入要求</w:t>
      </w:r>
      <w:r>
        <w:rPr>
          <w:rFonts w:ascii="Times New Roman" w:hAnsi="Times New Roman"/>
          <w:szCs w:val="24"/>
        </w:rPr>
        <w:t>符合性分析</w:t>
      </w:r>
    </w:p>
    <w:tbl>
      <w:tblPr>
        <w:tblStyle w:val="67"/>
        <w:tblW w:w="918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5"/>
        <w:gridCol w:w="4996"/>
        <w:gridCol w:w="2509"/>
        <w:gridCol w:w="8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trPr>
        <w:tc>
          <w:tcPr>
            <w:tcW w:w="825" w:type="dxa"/>
            <w:tcBorders>
              <w:tl2br w:val="nil"/>
              <w:tr2bl w:val="nil"/>
            </w:tcBorders>
            <w:vAlign w:val="center"/>
          </w:tcPr>
          <w:p>
            <w:pPr>
              <w:autoSpaceDE w:val="0"/>
              <w:autoSpaceDN w:val="0"/>
              <w:adjustRightInd w:val="0"/>
              <w:spacing w:line="280" w:lineRule="exact"/>
              <w:jc w:val="center"/>
              <w:rPr>
                <w:b/>
                <w:kern w:val="0"/>
                <w:szCs w:val="21"/>
              </w:rPr>
            </w:pPr>
            <w:r>
              <w:rPr>
                <w:b/>
                <w:kern w:val="0"/>
                <w:szCs w:val="21"/>
              </w:rPr>
              <w:t>管控</w:t>
            </w:r>
          </w:p>
          <w:p>
            <w:pPr>
              <w:autoSpaceDE w:val="0"/>
              <w:autoSpaceDN w:val="0"/>
              <w:adjustRightInd w:val="0"/>
              <w:spacing w:line="280" w:lineRule="exact"/>
              <w:jc w:val="center"/>
              <w:rPr>
                <w:b/>
                <w:kern w:val="0"/>
                <w:szCs w:val="21"/>
              </w:rPr>
            </w:pPr>
            <w:r>
              <w:rPr>
                <w:b/>
                <w:kern w:val="0"/>
                <w:szCs w:val="21"/>
              </w:rPr>
              <w:t>类别</w:t>
            </w:r>
          </w:p>
        </w:tc>
        <w:tc>
          <w:tcPr>
            <w:tcW w:w="4996" w:type="dxa"/>
            <w:tcBorders>
              <w:tl2br w:val="nil"/>
              <w:tr2bl w:val="nil"/>
            </w:tcBorders>
            <w:vAlign w:val="center"/>
          </w:tcPr>
          <w:p>
            <w:pPr>
              <w:autoSpaceDE w:val="0"/>
              <w:autoSpaceDN w:val="0"/>
              <w:adjustRightInd w:val="0"/>
              <w:spacing w:line="280" w:lineRule="exact"/>
              <w:jc w:val="center"/>
              <w:rPr>
                <w:b/>
                <w:kern w:val="0"/>
                <w:szCs w:val="21"/>
              </w:rPr>
            </w:pPr>
            <w:r>
              <w:rPr>
                <w:b/>
                <w:kern w:val="0"/>
                <w:szCs w:val="21"/>
              </w:rPr>
              <w:t>管控要求</w:t>
            </w:r>
          </w:p>
        </w:tc>
        <w:tc>
          <w:tcPr>
            <w:tcW w:w="2509" w:type="dxa"/>
            <w:tcBorders>
              <w:tl2br w:val="nil"/>
              <w:tr2bl w:val="nil"/>
            </w:tcBorders>
            <w:vAlign w:val="center"/>
          </w:tcPr>
          <w:p>
            <w:pPr>
              <w:autoSpaceDE w:val="0"/>
              <w:autoSpaceDN w:val="0"/>
              <w:adjustRightInd w:val="0"/>
              <w:spacing w:line="280" w:lineRule="exact"/>
              <w:jc w:val="center"/>
              <w:rPr>
                <w:b/>
                <w:kern w:val="0"/>
                <w:szCs w:val="21"/>
              </w:rPr>
            </w:pPr>
            <w:r>
              <w:rPr>
                <w:b/>
                <w:kern w:val="0"/>
                <w:szCs w:val="21"/>
              </w:rPr>
              <w:t>本项目情况</w:t>
            </w:r>
          </w:p>
        </w:tc>
        <w:tc>
          <w:tcPr>
            <w:tcW w:w="850" w:type="dxa"/>
            <w:tcBorders>
              <w:tl2br w:val="nil"/>
              <w:tr2bl w:val="nil"/>
            </w:tcBorders>
            <w:vAlign w:val="center"/>
          </w:tcPr>
          <w:p>
            <w:pPr>
              <w:autoSpaceDE w:val="0"/>
              <w:autoSpaceDN w:val="0"/>
              <w:adjustRightInd w:val="0"/>
              <w:spacing w:line="280" w:lineRule="exact"/>
              <w:jc w:val="center"/>
              <w:rPr>
                <w:b/>
                <w:kern w:val="0"/>
                <w:szCs w:val="21"/>
              </w:rPr>
            </w:pPr>
            <w:r>
              <w:rPr>
                <w:rFonts w:hint="eastAsia"/>
                <w:b/>
                <w:kern w:val="0"/>
                <w:szCs w:val="21"/>
              </w:rPr>
              <w:t>是否</w:t>
            </w:r>
          </w:p>
          <w:p>
            <w:pPr>
              <w:autoSpaceDE w:val="0"/>
              <w:autoSpaceDN w:val="0"/>
              <w:adjustRightInd w:val="0"/>
              <w:spacing w:line="280" w:lineRule="exact"/>
              <w:jc w:val="center"/>
              <w:rPr>
                <w:b/>
                <w:kern w:val="0"/>
                <w:szCs w:val="21"/>
              </w:rPr>
            </w:pPr>
            <w:r>
              <w:rPr>
                <w:rFonts w:hint="eastAsia"/>
                <w:b/>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825"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空间布局约束</w:t>
            </w:r>
          </w:p>
        </w:tc>
        <w:tc>
          <w:tcPr>
            <w:tcW w:w="4996" w:type="dxa"/>
            <w:tcBorders>
              <w:tl2br w:val="nil"/>
              <w:tr2bl w:val="nil"/>
            </w:tcBorders>
            <w:vAlign w:val="center"/>
          </w:tcPr>
          <w:p>
            <w:pPr>
              <w:autoSpaceDE w:val="0"/>
              <w:autoSpaceDN w:val="0"/>
              <w:adjustRightInd w:val="0"/>
              <w:spacing w:line="280" w:lineRule="exact"/>
              <w:rPr>
                <w:szCs w:val="21"/>
              </w:rPr>
            </w:pPr>
            <w:r>
              <w:rPr>
                <w:rFonts w:hint="eastAsia"/>
                <w:szCs w:val="21"/>
              </w:rPr>
              <w:t>1、浊漳河干流及主要支流沿岸禁止新建焦化、化工、农药、有色冶炼、造纸、电镀等高风险项目和危险化学品仓储设施。</w:t>
            </w:r>
          </w:p>
          <w:p>
            <w:pPr>
              <w:autoSpaceDE w:val="0"/>
              <w:autoSpaceDN w:val="0"/>
              <w:adjustRightInd w:val="0"/>
              <w:spacing w:line="280" w:lineRule="exact"/>
            </w:pPr>
            <w:r>
              <w:rPr>
                <w:rFonts w:hint="eastAsia"/>
                <w:szCs w:val="21"/>
              </w:rPr>
              <w:t>2、漳泽湖生态保护与修复区域，严谨新改扩建焦化、钢铁、化工、有色金属冶炼、水泥等污染较重项目，以及危险化学品贮存、处理处置等高风险项目。</w:t>
            </w:r>
          </w:p>
        </w:tc>
        <w:tc>
          <w:tcPr>
            <w:tcW w:w="2509"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不属于该类项目。</w:t>
            </w:r>
          </w:p>
        </w:tc>
        <w:tc>
          <w:tcPr>
            <w:tcW w:w="850" w:type="dxa"/>
            <w:tcBorders>
              <w:tl2br w:val="nil"/>
              <w:tr2bl w:val="nil"/>
            </w:tcBorders>
            <w:vAlign w:val="center"/>
          </w:tcPr>
          <w:p>
            <w:pPr>
              <w:autoSpaceDE w:val="0"/>
              <w:autoSpaceDN w:val="0"/>
              <w:adjustRightInd w:val="0"/>
              <w:spacing w:line="280" w:lineRule="exact"/>
              <w:jc w:val="center"/>
              <w:rPr>
                <w:bCs/>
                <w:kern w:val="0"/>
                <w:szCs w:val="21"/>
              </w:rPr>
            </w:pPr>
            <w:r>
              <w:rPr>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825"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污染物排放管控</w:t>
            </w:r>
          </w:p>
        </w:tc>
        <w:tc>
          <w:tcPr>
            <w:tcW w:w="4996" w:type="dxa"/>
            <w:tcBorders>
              <w:tl2br w:val="nil"/>
              <w:tr2bl w:val="nil"/>
            </w:tcBorders>
            <w:vAlign w:val="center"/>
          </w:tcPr>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1、污染物排放总量严格落实“十四五”相关目标指标。</w:t>
            </w:r>
          </w:p>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2、浊漳河流域内所有县界城镇入河排污口水质应当达到地表水环境质量V类及以上标准，禁止在浊漳河源头区域内倾倒垃圾。</w:t>
            </w:r>
          </w:p>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3、加强水功能区限制纳污红线管理，严格控制入河湖排污总量。</w:t>
            </w:r>
          </w:p>
        </w:tc>
        <w:tc>
          <w:tcPr>
            <w:tcW w:w="2509"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本项目无外排废水，不设排污口。</w:t>
            </w:r>
          </w:p>
        </w:tc>
        <w:tc>
          <w:tcPr>
            <w:tcW w:w="850"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825"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环境风险防控</w:t>
            </w:r>
          </w:p>
        </w:tc>
        <w:tc>
          <w:tcPr>
            <w:tcW w:w="4996" w:type="dxa"/>
            <w:tcBorders>
              <w:tl2br w:val="nil"/>
              <w:tr2bl w:val="nil"/>
            </w:tcBorders>
            <w:vAlign w:val="center"/>
          </w:tcPr>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加强浊漳河流域环境风险防控工作，确定重点水环境风险清单，建立应急物资储备库及保障机制。</w:t>
            </w:r>
          </w:p>
        </w:tc>
        <w:tc>
          <w:tcPr>
            <w:tcW w:w="2509" w:type="dxa"/>
            <w:tcBorders>
              <w:tl2br w:val="nil"/>
              <w:tr2bl w:val="nil"/>
            </w:tcBorders>
            <w:vAlign w:val="center"/>
          </w:tcPr>
          <w:p>
            <w:pPr>
              <w:autoSpaceDE w:val="0"/>
              <w:autoSpaceDN w:val="0"/>
              <w:adjustRightInd w:val="0"/>
              <w:spacing w:line="280" w:lineRule="exact"/>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项目距离最近的河流为东侧20m的南大河河道，位于场址上游，常年无水。</w:t>
            </w:r>
            <w:r>
              <w:rPr>
                <w:bCs/>
                <w:color w:val="000000" w:themeColor="text1"/>
                <w:kern w:val="0"/>
                <w:szCs w:val="21"/>
                <w14:textFill>
                  <w14:solidFill>
                    <w14:schemeClr w14:val="tx1"/>
                  </w14:solidFill>
                </w14:textFill>
              </w:rPr>
              <w:t xml:space="preserve"> </w:t>
            </w:r>
          </w:p>
        </w:tc>
        <w:tc>
          <w:tcPr>
            <w:tcW w:w="850"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825"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资源利用效率</w:t>
            </w:r>
          </w:p>
        </w:tc>
        <w:tc>
          <w:tcPr>
            <w:tcW w:w="4996" w:type="dxa"/>
            <w:tcBorders>
              <w:tl2br w:val="nil"/>
              <w:tr2bl w:val="nil"/>
            </w:tcBorders>
            <w:vAlign w:val="center"/>
          </w:tcPr>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1、水资源利用上线严格落实“十四五”相关指标。</w:t>
            </w:r>
          </w:p>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2、实施农业节水增效、工业节水减排、城镇节水降损，推进海绵城市建设，加强中水资源利用。</w:t>
            </w:r>
          </w:p>
          <w:p>
            <w:pPr>
              <w:pStyle w:val="2"/>
              <w:spacing w:line="280" w:lineRule="exact"/>
              <w:jc w:val="both"/>
              <w:rPr>
                <w:rFonts w:ascii="Times New Roman" w:hAnsi="Times New Roman"/>
                <w:color w:val="auto"/>
                <w:sz w:val="21"/>
                <w:szCs w:val="21"/>
              </w:rPr>
            </w:pPr>
            <w:r>
              <w:rPr>
                <w:rFonts w:hint="eastAsia" w:ascii="Times New Roman" w:hAnsi="Times New Roman"/>
                <w:color w:val="auto"/>
                <w:sz w:val="21"/>
                <w:szCs w:val="21"/>
              </w:rPr>
              <w:t>3、加强用水效率控制红线管理，全面推进节水型社会建设，通过节水改造、价格调节等措施，促进城乡节约用水。</w:t>
            </w:r>
          </w:p>
        </w:tc>
        <w:tc>
          <w:tcPr>
            <w:tcW w:w="2509"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本项目用水量较少，且渗滤液、职工生活污水、洗车废水经处理后全部回用于场内及县城绿化、道路清扫。</w:t>
            </w:r>
          </w:p>
        </w:tc>
        <w:tc>
          <w:tcPr>
            <w:tcW w:w="850" w:type="dxa"/>
            <w:tcBorders>
              <w:tl2br w:val="nil"/>
              <w:tr2bl w:val="nil"/>
            </w:tcBorders>
            <w:vAlign w:val="center"/>
          </w:tcPr>
          <w:p>
            <w:pPr>
              <w:autoSpaceDE w:val="0"/>
              <w:autoSpaceDN w:val="0"/>
              <w:adjustRightInd w:val="0"/>
              <w:spacing w:line="280" w:lineRule="exact"/>
              <w:jc w:val="center"/>
              <w:rPr>
                <w:bCs/>
                <w:kern w:val="0"/>
                <w:szCs w:val="21"/>
              </w:rPr>
            </w:pPr>
            <w:r>
              <w:rPr>
                <w:rFonts w:hint="eastAsia"/>
                <w:bCs/>
                <w:kern w:val="0"/>
                <w:szCs w:val="21"/>
              </w:rPr>
              <w:t>符合</w:t>
            </w:r>
          </w:p>
        </w:tc>
      </w:tr>
    </w:tbl>
    <w:p>
      <w:pPr>
        <w:adjustRightInd w:val="0"/>
        <w:spacing w:line="480" w:lineRule="exact"/>
        <w:ind w:firstLine="480" w:firstLineChars="200"/>
        <w:textAlignment w:val="baseline"/>
        <w:rPr>
          <w:sz w:val="24"/>
        </w:rPr>
      </w:pPr>
      <w:r>
        <w:rPr>
          <w:rFonts w:hint="eastAsia"/>
          <w:sz w:val="24"/>
        </w:rPr>
        <w:t>由以上可知，本项目符合长治市政府《关于印发长治市“三线一单”生态环境分区管控实施方案的通知》的相关要求。</w:t>
      </w:r>
    </w:p>
    <w:p>
      <w:pPr>
        <w:pStyle w:val="6"/>
      </w:pPr>
      <w:r>
        <w:rPr>
          <w:rFonts w:hint="eastAsia"/>
        </w:rPr>
        <w:t>1.3.4 与产业政策的符合性</w:t>
      </w:r>
    </w:p>
    <w:p>
      <w:pPr>
        <w:adjustRightInd w:val="0"/>
        <w:spacing w:line="480" w:lineRule="exact"/>
        <w:ind w:firstLine="480" w:firstLineChars="200"/>
        <w:textAlignment w:val="baseline"/>
        <w:rPr>
          <w:sz w:val="24"/>
        </w:rPr>
      </w:pPr>
      <w:r>
        <w:rPr>
          <w:rFonts w:hint="eastAsia"/>
          <w:sz w:val="24"/>
        </w:rPr>
        <w:t>本项目为城市生活垃圾卫生填埋工程，对照《产业结构调整指导目录(2019年本)》，项目类别为“四十三、环境保护与资源节约综合利用”类中的“城镇垃圾、农村生活垃圾、农村生活污水、污泥及其他固体废弃物减量化、资源化、无害化处理和综合利用工程”，属于鼓励类项目，符合国家产业政策。</w:t>
      </w:r>
    </w:p>
    <w:p>
      <w:pPr>
        <w:pStyle w:val="6"/>
      </w:pPr>
      <w:r>
        <w:rPr>
          <w:rFonts w:hint="eastAsia"/>
        </w:rPr>
        <w:t>1.3.5 与规划的符合性</w:t>
      </w:r>
    </w:p>
    <w:p>
      <w:pPr>
        <w:adjustRightInd w:val="0"/>
        <w:spacing w:line="500" w:lineRule="exact"/>
        <w:ind w:firstLine="482" w:firstLineChars="200"/>
        <w:textAlignment w:val="baseline"/>
        <w:rPr>
          <w:b/>
          <w:bCs/>
          <w:sz w:val="24"/>
        </w:rPr>
      </w:pPr>
      <w:r>
        <w:rPr>
          <w:rFonts w:hint="eastAsia"/>
          <w:b/>
          <w:bCs/>
          <w:sz w:val="24"/>
        </w:rPr>
        <w:t>1</w:t>
      </w:r>
      <w:r>
        <w:rPr>
          <w:b/>
          <w:bCs/>
          <w:sz w:val="24"/>
        </w:rPr>
        <w:t>、项目与</w:t>
      </w:r>
      <w:r>
        <w:rPr>
          <w:rFonts w:hint="eastAsia"/>
          <w:b/>
          <w:bCs/>
          <w:sz w:val="24"/>
        </w:rPr>
        <w:t>县城</w:t>
      </w:r>
      <w:r>
        <w:rPr>
          <w:b/>
          <w:bCs/>
          <w:sz w:val="24"/>
        </w:rPr>
        <w:t>总体规划的符合性</w:t>
      </w:r>
    </w:p>
    <w:p>
      <w:pPr>
        <w:spacing w:line="500" w:lineRule="exact"/>
        <w:ind w:firstLine="480" w:firstLineChars="200"/>
        <w:rPr>
          <w:sz w:val="24"/>
        </w:rPr>
      </w:pPr>
      <w:r>
        <w:rPr>
          <w:rFonts w:hint="eastAsia"/>
          <w:sz w:val="24"/>
        </w:rPr>
        <w:t>项目位于县城中心城区东北约8.3km处，根据《壶关县县城总体规划》（2011-2030），项目场地位于县城总体规划规划范围内，性质为未规划用地，具体详见附图1.3-3。</w:t>
      </w:r>
    </w:p>
    <w:p>
      <w:pPr>
        <w:spacing w:line="500" w:lineRule="exact"/>
        <w:ind w:firstLine="480" w:firstLineChars="200"/>
        <w:rPr>
          <w:sz w:val="24"/>
        </w:rPr>
      </w:pPr>
      <w:r>
        <w:rPr>
          <w:rFonts w:hint="eastAsia"/>
          <w:sz w:val="24"/>
        </w:rPr>
        <w:t>壶关县住房和城乡建设管理局以选字第402100019号文对本项目出具了选址意见书，项目不违背县城总体规划。</w:t>
      </w:r>
    </w:p>
    <w:p>
      <w:pPr>
        <w:adjustRightInd w:val="0"/>
        <w:spacing w:line="500" w:lineRule="exact"/>
        <w:ind w:firstLine="482" w:firstLineChars="200"/>
        <w:textAlignment w:val="baseline"/>
        <w:rPr>
          <w:b/>
          <w:bCs/>
          <w:sz w:val="24"/>
        </w:rPr>
      </w:pPr>
      <w:r>
        <w:rPr>
          <w:rFonts w:hint="eastAsia"/>
          <w:b/>
          <w:bCs/>
          <w:sz w:val="24"/>
        </w:rPr>
        <w:t>2</w:t>
      </w:r>
      <w:r>
        <w:rPr>
          <w:b/>
          <w:bCs/>
          <w:sz w:val="24"/>
        </w:rPr>
        <w:t>、与</w:t>
      </w:r>
      <w:r>
        <w:rPr>
          <w:rFonts w:hint="eastAsia"/>
          <w:b/>
          <w:bCs/>
          <w:sz w:val="24"/>
        </w:rPr>
        <w:t>壶关</w:t>
      </w:r>
      <w:r>
        <w:rPr>
          <w:b/>
          <w:bCs/>
          <w:sz w:val="24"/>
        </w:rPr>
        <w:t>县生态功能区划</w:t>
      </w:r>
      <w:r>
        <w:rPr>
          <w:rFonts w:hint="eastAsia"/>
          <w:b/>
          <w:bCs/>
          <w:sz w:val="24"/>
        </w:rPr>
        <w:t>和</w:t>
      </w:r>
      <w:r>
        <w:rPr>
          <w:b/>
          <w:bCs/>
          <w:sz w:val="24"/>
        </w:rPr>
        <w:t>生态经济区划的符合性</w:t>
      </w:r>
    </w:p>
    <w:p>
      <w:pPr>
        <w:spacing w:line="480" w:lineRule="exact"/>
        <w:ind w:firstLine="480" w:firstLineChars="200"/>
        <w:rPr>
          <w:sz w:val="24"/>
        </w:rPr>
      </w:pPr>
      <w:r>
        <w:rPr>
          <w:rFonts w:hint="eastAsia" w:cstheme="minorEastAsia"/>
          <w:sz w:val="24"/>
        </w:rPr>
        <w:t>根据《壶关县生态功能区划》，项目场地位于</w:t>
      </w:r>
      <w:r>
        <w:rPr>
          <w:sz w:val="24"/>
        </w:rPr>
        <w:t>“</w:t>
      </w:r>
      <w:r>
        <w:rPr>
          <w:sz w:val="24"/>
        </w:rPr>
        <w:fldChar w:fldCharType="begin"/>
      </w:r>
      <w:r>
        <w:rPr>
          <w:sz w:val="24"/>
        </w:rPr>
        <w:instrText xml:space="preserve"> = 2 \* ROMAN \* MERGEFORMAT </w:instrText>
      </w:r>
      <w:r>
        <w:rPr>
          <w:sz w:val="24"/>
        </w:rPr>
        <w:fldChar w:fldCharType="separate"/>
      </w:r>
      <w:r>
        <w:t>II</w:t>
      </w:r>
      <w:r>
        <w:rPr>
          <w:sz w:val="24"/>
        </w:rPr>
        <w:fldChar w:fldCharType="end"/>
      </w:r>
      <w:r>
        <w:rPr>
          <w:rFonts w:hint="eastAsia"/>
          <w:sz w:val="24"/>
        </w:rPr>
        <w:t>城区生态城市建设生态功能亚区</w:t>
      </w:r>
      <w:r>
        <w:rPr>
          <w:sz w:val="24"/>
        </w:rPr>
        <w:t>”内的“</w:t>
      </w:r>
      <w:r>
        <w:rPr>
          <w:sz w:val="24"/>
        </w:rPr>
        <w:fldChar w:fldCharType="begin"/>
      </w:r>
      <w:r>
        <w:rPr>
          <w:sz w:val="24"/>
        </w:rPr>
        <w:instrText xml:space="preserve"> = 2 \* ROMAN \* MERGEFORMAT </w:instrText>
      </w:r>
      <w:r>
        <w:rPr>
          <w:sz w:val="24"/>
        </w:rPr>
        <w:fldChar w:fldCharType="separate"/>
      </w:r>
      <w:r>
        <w:rPr>
          <w:sz w:val="24"/>
        </w:rPr>
        <w:t>II</w:t>
      </w:r>
      <w:r>
        <w:rPr>
          <w:sz w:val="24"/>
        </w:rPr>
        <w:fldChar w:fldCharType="end"/>
      </w:r>
      <w:r>
        <w:rPr>
          <w:rFonts w:hint="eastAsia"/>
          <w:sz w:val="24"/>
        </w:rPr>
        <w:t>1集店镇</w:t>
      </w:r>
      <w:r>
        <w:rPr>
          <w:sz w:val="24"/>
        </w:rPr>
        <w:t>平川水源涵养生态功能小区”</w:t>
      </w:r>
      <w:r>
        <w:rPr>
          <w:rFonts w:hint="eastAsia"/>
          <w:sz w:val="24"/>
        </w:rPr>
        <w:t>，具体详见附图1.3-4。该生态功能小区的主要保护措施与发展方向为：发展生态农业；合理布局产业结构，以结构调整为主线，走循环经济之路。</w:t>
      </w:r>
    </w:p>
    <w:p>
      <w:pPr>
        <w:adjustRightInd w:val="0"/>
        <w:spacing w:line="500" w:lineRule="exact"/>
        <w:ind w:firstLine="480" w:firstLineChars="200"/>
        <w:textAlignment w:val="baseline"/>
        <w:rPr>
          <w:sz w:val="24"/>
        </w:rPr>
      </w:pPr>
      <w:r>
        <w:rPr>
          <w:sz w:val="24"/>
        </w:rPr>
        <w:t>根据《壶关县生态经济区划》，</w:t>
      </w:r>
      <w:r>
        <w:rPr>
          <w:rFonts w:hint="eastAsia" w:cstheme="minorEastAsia"/>
          <w:sz w:val="24"/>
        </w:rPr>
        <w:t>项目场地所在区域位于“</w:t>
      </w:r>
      <w:r>
        <w:rPr>
          <w:rFonts w:hint="eastAsia" w:cstheme="minorEastAsia"/>
          <w:sz w:val="24"/>
        </w:rPr>
        <w:fldChar w:fldCharType="begin"/>
      </w:r>
      <w:r>
        <w:rPr>
          <w:rFonts w:hint="eastAsia" w:cstheme="minorEastAsia"/>
          <w:sz w:val="24"/>
        </w:rPr>
        <w:instrText xml:space="preserve"> = 3 \* ROMAN \* MERGEFORMAT </w:instrText>
      </w:r>
      <w:r>
        <w:rPr>
          <w:rFonts w:hint="eastAsia" w:cstheme="minorEastAsia"/>
          <w:sz w:val="24"/>
        </w:rPr>
        <w:fldChar w:fldCharType="separate"/>
      </w:r>
      <w:r>
        <w:rPr>
          <w:sz w:val="24"/>
        </w:rPr>
        <w:t>III</w:t>
      </w:r>
      <w:r>
        <w:rPr>
          <w:rFonts w:hint="eastAsia" w:cstheme="minorEastAsia"/>
          <w:sz w:val="24"/>
        </w:rPr>
        <w:fldChar w:fldCharType="end"/>
      </w:r>
      <w:r>
        <w:rPr>
          <w:rFonts w:hint="eastAsia" w:cstheme="minorEastAsia"/>
          <w:sz w:val="24"/>
        </w:rPr>
        <w:t>优化开发区”内的“</w:t>
      </w:r>
      <w:r>
        <w:rPr>
          <w:rFonts w:hint="eastAsia" w:cstheme="minorEastAsia"/>
          <w:sz w:val="24"/>
        </w:rPr>
        <w:fldChar w:fldCharType="begin"/>
      </w:r>
      <w:r>
        <w:rPr>
          <w:rFonts w:hint="eastAsia" w:cstheme="minorEastAsia"/>
          <w:sz w:val="24"/>
        </w:rPr>
        <w:instrText xml:space="preserve"> = 3 \* ROMAN \* MERGEFORMAT </w:instrText>
      </w:r>
      <w:r>
        <w:rPr>
          <w:rFonts w:hint="eastAsia" w:cstheme="minorEastAsia"/>
          <w:sz w:val="24"/>
        </w:rPr>
        <w:fldChar w:fldCharType="separate"/>
      </w:r>
      <w:r>
        <w:rPr>
          <w:sz w:val="24"/>
        </w:rPr>
        <w:t>III</w:t>
      </w:r>
      <w:r>
        <w:rPr>
          <w:rFonts w:hint="eastAsia" w:cstheme="minorEastAsia"/>
          <w:sz w:val="24"/>
        </w:rPr>
        <w:fldChar w:fldCharType="end"/>
      </w:r>
      <w:r>
        <w:rPr>
          <w:sz w:val="24"/>
        </w:rPr>
        <w:t>A</w:t>
      </w:r>
      <w:r>
        <w:rPr>
          <w:rFonts w:hint="eastAsia"/>
          <w:sz w:val="24"/>
        </w:rPr>
        <w:t>西北部</w:t>
      </w:r>
      <w:r>
        <w:rPr>
          <w:rFonts w:hint="eastAsia" w:cstheme="minorEastAsia"/>
          <w:sz w:val="24"/>
        </w:rPr>
        <w:t>优化开发区”中的“</w:t>
      </w:r>
      <w:r>
        <w:rPr>
          <w:sz w:val="24"/>
        </w:rPr>
        <w:t>IIIA</w:t>
      </w:r>
      <w:r>
        <w:rPr>
          <w:rFonts w:hint="eastAsia"/>
          <w:sz w:val="24"/>
        </w:rPr>
        <w:t>-1</w:t>
      </w:r>
      <w:r>
        <w:rPr>
          <w:sz w:val="24"/>
        </w:rPr>
        <w:t>集店新型工业发展生态经济区</w:t>
      </w:r>
      <w:r>
        <w:rPr>
          <w:rFonts w:hint="eastAsia" w:cstheme="minorEastAsia"/>
          <w:sz w:val="24"/>
        </w:rPr>
        <w:t>”，</w:t>
      </w:r>
      <w:r>
        <w:rPr>
          <w:rFonts w:hint="eastAsia"/>
          <w:sz w:val="24"/>
        </w:rPr>
        <w:t>具体详见附图1.3-5。该区的生态环境保护要求为：优化产业结构，减少“三废”排放，治理环境污染；增加植被覆盖率，保护、恢复生态环境。</w:t>
      </w:r>
    </w:p>
    <w:p>
      <w:pPr>
        <w:spacing w:line="480" w:lineRule="exact"/>
        <w:ind w:firstLine="480" w:firstLineChars="200"/>
        <w:rPr>
          <w:sz w:val="24"/>
        </w:rPr>
      </w:pPr>
      <w:r>
        <w:rPr>
          <w:sz w:val="24"/>
        </w:rPr>
        <w:t>本项目为城市生活垃圾卫生填埋工程</w:t>
      </w:r>
      <w:r>
        <w:rPr>
          <w:rFonts w:hint="eastAsia"/>
          <w:spacing w:val="4"/>
          <w:sz w:val="24"/>
        </w:rPr>
        <w:t>，属县城公共基础设施，与生态功能区划、生态经济区划的要求不冲突。</w:t>
      </w:r>
    </w:p>
    <w:p>
      <w:pPr>
        <w:pStyle w:val="6"/>
      </w:pPr>
      <w:r>
        <w:rPr>
          <w:rFonts w:hint="eastAsia"/>
        </w:rPr>
        <w:t>1.3.6 选址可行性分析</w:t>
      </w:r>
    </w:p>
    <w:p>
      <w:pPr>
        <w:adjustRightInd w:val="0"/>
        <w:spacing w:line="480" w:lineRule="exact"/>
        <w:ind w:firstLine="480" w:firstLineChars="200"/>
        <w:textAlignment w:val="baseline"/>
        <w:rPr>
          <w:sz w:val="24"/>
        </w:rPr>
      </w:pPr>
      <w:r>
        <w:rPr>
          <w:rFonts w:hint="eastAsia"/>
          <w:sz w:val="24"/>
        </w:rPr>
        <w:t>项目场地选址可行性依据《生活垃圾填埋场污染控制标准》(GB16889-2008)中的相关要求进行分析。具体详见下表。</w:t>
      </w:r>
    </w:p>
    <w:p>
      <w:pPr>
        <w:autoSpaceDE w:val="0"/>
        <w:autoSpaceDN w:val="0"/>
        <w:adjustRightInd w:val="0"/>
        <w:spacing w:line="500" w:lineRule="exact"/>
        <w:jc w:val="center"/>
        <w:rPr>
          <w:b/>
          <w:bCs/>
          <w:sz w:val="24"/>
        </w:rPr>
      </w:pPr>
      <w:r>
        <w:rPr>
          <w:b/>
          <w:bCs/>
          <w:sz w:val="24"/>
        </w:rPr>
        <w:t>表</w:t>
      </w:r>
      <w:r>
        <w:rPr>
          <w:rFonts w:hint="eastAsia"/>
          <w:b/>
          <w:bCs/>
          <w:sz w:val="24"/>
        </w:rPr>
        <w:t>1</w:t>
      </w:r>
      <w:r>
        <w:rPr>
          <w:b/>
          <w:bCs/>
          <w:sz w:val="24"/>
        </w:rPr>
        <w:t>.</w:t>
      </w:r>
      <w:r>
        <w:rPr>
          <w:rFonts w:hint="eastAsia"/>
          <w:b/>
          <w:bCs/>
          <w:sz w:val="24"/>
        </w:rPr>
        <w:t>3</w:t>
      </w:r>
      <w:r>
        <w:rPr>
          <w:b/>
          <w:bCs/>
          <w:sz w:val="24"/>
        </w:rPr>
        <w:t>-</w:t>
      </w:r>
      <w:r>
        <w:rPr>
          <w:rFonts w:hint="eastAsia"/>
          <w:b/>
          <w:bCs/>
          <w:sz w:val="24"/>
        </w:rPr>
        <w:t>5 项目拟建场地选址</w:t>
      </w:r>
      <w:r>
        <w:rPr>
          <w:b/>
          <w:bCs/>
          <w:sz w:val="24"/>
        </w:rPr>
        <w:t>可行性</w:t>
      </w:r>
      <w:r>
        <w:rPr>
          <w:rFonts w:hint="eastAsia"/>
          <w:b/>
          <w:bCs/>
          <w:sz w:val="24"/>
        </w:rPr>
        <w:t>一览表</w:t>
      </w:r>
    </w:p>
    <w:tbl>
      <w:tblPr>
        <w:tblStyle w:val="29"/>
        <w:tblW w:w="5394"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0"/>
        <w:gridCol w:w="4411"/>
        <w:gridCol w:w="37"/>
        <w:gridCol w:w="3314"/>
        <w:gridCol w:w="707"/>
        <w:gridCol w:w="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5" w:type="dxa"/>
          <w:trHeight w:val="485" w:hRule="atLeast"/>
        </w:trPr>
        <w:tc>
          <w:tcPr>
            <w:tcW w:w="710"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序号</w:t>
            </w:r>
          </w:p>
        </w:tc>
        <w:tc>
          <w:tcPr>
            <w:tcW w:w="4411"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GB16889-2008选址要求</w:t>
            </w:r>
          </w:p>
        </w:tc>
        <w:tc>
          <w:tcPr>
            <w:tcW w:w="3351" w:type="dxa"/>
            <w:gridSpan w:val="2"/>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本项目情况</w:t>
            </w:r>
          </w:p>
        </w:tc>
        <w:tc>
          <w:tcPr>
            <w:tcW w:w="707"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是否</w:t>
            </w:r>
          </w:p>
          <w:p>
            <w:pPr>
              <w:pStyle w:val="3"/>
              <w:spacing w:line="260" w:lineRule="exact"/>
              <w:rPr>
                <w:rFonts w:cstheme="minorEastAsia"/>
                <w:bCs w:val="0"/>
                <w:szCs w:val="21"/>
              </w:rPr>
            </w:pPr>
            <w:r>
              <w:rPr>
                <w:rFonts w:hint="eastAsia" w:cstheme="minorEastAsia"/>
                <w:bCs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5" w:type="dxa"/>
          <w:trHeight w:val="381" w:hRule="atLeast"/>
        </w:trPr>
        <w:tc>
          <w:tcPr>
            <w:tcW w:w="710"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1</w:t>
            </w:r>
          </w:p>
        </w:tc>
        <w:tc>
          <w:tcPr>
            <w:tcW w:w="4411" w:type="dxa"/>
            <w:tcBorders>
              <w:tl2br w:val="nil"/>
              <w:tr2bl w:val="nil"/>
            </w:tcBorders>
            <w:vAlign w:val="center"/>
          </w:tcPr>
          <w:p>
            <w:pPr>
              <w:pStyle w:val="3"/>
              <w:spacing w:line="300" w:lineRule="exact"/>
              <w:jc w:val="left"/>
              <w:rPr>
                <w:rFonts w:cstheme="minorEastAsia"/>
                <w:bCs w:val="0"/>
                <w:szCs w:val="21"/>
              </w:rPr>
            </w:pPr>
            <w:r>
              <w:rPr>
                <w:rFonts w:hint="eastAsia" w:cstheme="minorEastAsia"/>
                <w:bCs w:val="0"/>
                <w:szCs w:val="21"/>
              </w:rPr>
              <w:t>生活垃圾填埋场的选址应符合区域性环境规划、环境卫生设施建设规划和当地的城市规划。</w:t>
            </w:r>
          </w:p>
        </w:tc>
        <w:tc>
          <w:tcPr>
            <w:tcW w:w="3351" w:type="dxa"/>
            <w:gridSpan w:val="2"/>
            <w:tcBorders>
              <w:tl2br w:val="nil"/>
              <w:tr2bl w:val="nil"/>
            </w:tcBorders>
            <w:vAlign w:val="center"/>
          </w:tcPr>
          <w:p>
            <w:pPr>
              <w:pStyle w:val="3"/>
              <w:spacing w:line="300" w:lineRule="exact"/>
              <w:jc w:val="left"/>
              <w:rPr>
                <w:rFonts w:cstheme="minorEastAsia"/>
                <w:bCs w:val="0"/>
                <w:color w:val="000000" w:themeColor="text1"/>
                <w:szCs w:val="21"/>
                <w14:textFill>
                  <w14:solidFill>
                    <w14:schemeClr w14:val="tx1"/>
                  </w14:solidFill>
                </w14:textFill>
              </w:rPr>
            </w:pPr>
            <w:r>
              <w:rPr>
                <w:rFonts w:hint="eastAsia" w:cstheme="minorEastAsia"/>
                <w:bCs w:val="0"/>
                <w:color w:val="000000" w:themeColor="text1"/>
                <w:szCs w:val="21"/>
                <w14:textFill>
                  <w14:solidFill>
                    <w14:schemeClr w14:val="tx1"/>
                  </w14:solidFill>
                </w14:textFill>
              </w:rPr>
              <w:t>项目场地位于县城中心城区东北约8.3km、集店镇辛村村东北约700m处，壶关县环境保护局出具了同意项目选址的意见，壶关县住房和城乡建设管理局以选字第402100019号文对本项目出具了选址意见书。</w:t>
            </w:r>
          </w:p>
        </w:tc>
        <w:tc>
          <w:tcPr>
            <w:tcW w:w="707"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gridAfter w:val="1"/>
          <w:wAfter w:w="15" w:type="dxa"/>
          <w:trHeight w:val="503" w:hRule="atLeast"/>
        </w:trPr>
        <w:tc>
          <w:tcPr>
            <w:tcW w:w="710"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2</w:t>
            </w:r>
          </w:p>
        </w:tc>
        <w:tc>
          <w:tcPr>
            <w:tcW w:w="4411" w:type="dxa"/>
            <w:tcBorders>
              <w:tl2br w:val="nil"/>
              <w:tr2bl w:val="nil"/>
            </w:tcBorders>
            <w:vAlign w:val="center"/>
          </w:tcPr>
          <w:p>
            <w:pPr>
              <w:pStyle w:val="3"/>
              <w:spacing w:line="300" w:lineRule="exact"/>
              <w:jc w:val="left"/>
              <w:rPr>
                <w:rFonts w:cstheme="minorEastAsia"/>
                <w:bCs w:val="0"/>
                <w:szCs w:val="21"/>
              </w:rPr>
            </w:pPr>
            <w:r>
              <w:rPr>
                <w:rFonts w:hint="eastAsia" w:cstheme="minorEastAsia"/>
                <w:bCs w:val="0"/>
                <w:szCs w:val="21"/>
              </w:rPr>
              <w:t>生活垃圾填埋场场址不应选在城市工农业发展规划区、农业保护区、自然保护区、风景名胜区、文物（考古）保护区、生活饮用水水源保护区、供水远景规划区、矿产资源储备区、军事要地、国家保密地区和其他需要特别保护的区域内。</w:t>
            </w:r>
          </w:p>
        </w:tc>
        <w:tc>
          <w:tcPr>
            <w:tcW w:w="3351" w:type="dxa"/>
            <w:gridSpan w:val="2"/>
            <w:tcBorders>
              <w:tl2br w:val="nil"/>
              <w:tr2bl w:val="nil"/>
            </w:tcBorders>
            <w:vAlign w:val="center"/>
          </w:tcPr>
          <w:p>
            <w:pPr>
              <w:pStyle w:val="3"/>
              <w:spacing w:line="300" w:lineRule="exact"/>
              <w:jc w:val="left"/>
              <w:rPr>
                <w:rFonts w:cstheme="minorEastAsia"/>
                <w:bCs w:val="0"/>
                <w:color w:val="000000" w:themeColor="text1"/>
                <w:szCs w:val="21"/>
                <w14:textFill>
                  <w14:solidFill>
                    <w14:schemeClr w14:val="tx1"/>
                  </w14:solidFill>
                </w14:textFill>
              </w:rPr>
            </w:pPr>
            <w:r>
              <w:rPr>
                <w:rFonts w:hint="eastAsia" w:cstheme="minorEastAsia"/>
                <w:bCs w:val="0"/>
                <w:color w:val="000000" w:themeColor="text1"/>
                <w:szCs w:val="21"/>
                <w14:textFill>
                  <w14:solidFill>
                    <w14:schemeClr w14:val="tx1"/>
                  </w14:solidFill>
                </w14:textFill>
              </w:rPr>
              <w:t>根据调查，场地周边1km范围内不涉及该类区域，敏感目标主要为村庄及农田，其中距离最近的为南侧约670m的逢善村，其次为西侧约700m的辛村村</w:t>
            </w:r>
          </w:p>
        </w:tc>
        <w:tc>
          <w:tcPr>
            <w:tcW w:w="707"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5" w:type="dxa"/>
          <w:trHeight w:val="271" w:hRule="atLeast"/>
        </w:trPr>
        <w:tc>
          <w:tcPr>
            <w:tcW w:w="710"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3</w:t>
            </w:r>
          </w:p>
        </w:tc>
        <w:tc>
          <w:tcPr>
            <w:tcW w:w="4411" w:type="dxa"/>
            <w:tcBorders>
              <w:tl2br w:val="nil"/>
              <w:tr2bl w:val="nil"/>
            </w:tcBorders>
            <w:vAlign w:val="center"/>
          </w:tcPr>
          <w:p>
            <w:pPr>
              <w:pStyle w:val="3"/>
              <w:spacing w:line="300" w:lineRule="exact"/>
              <w:jc w:val="left"/>
              <w:rPr>
                <w:rFonts w:cstheme="minorEastAsia"/>
                <w:bCs w:val="0"/>
                <w:szCs w:val="21"/>
              </w:rPr>
            </w:pPr>
            <w:r>
              <w:rPr>
                <w:rFonts w:hint="eastAsia" w:cstheme="minorEastAsia"/>
                <w:szCs w:val="21"/>
              </w:rPr>
              <w:t>生活垃圾填埋场选址的标高应位于重现期不小于50年一遇的洪水位之上，并建设在长远规划中的水库等人工蓄水设施的淹没区和保护区之外，拟建有可靠防洪设施的山谷型填埋场，并经过环境影响评价证明洪水对生活垃圾填埋场的环境风险在可接受范围内，前款规定的选址标准可以适当降低。</w:t>
            </w:r>
          </w:p>
        </w:tc>
        <w:tc>
          <w:tcPr>
            <w:tcW w:w="3351" w:type="dxa"/>
            <w:gridSpan w:val="2"/>
            <w:tcBorders>
              <w:tl2br w:val="nil"/>
              <w:tr2bl w:val="nil"/>
            </w:tcBorders>
            <w:vAlign w:val="center"/>
          </w:tcPr>
          <w:p>
            <w:pPr>
              <w:pStyle w:val="3"/>
              <w:spacing w:line="300" w:lineRule="exact"/>
              <w:jc w:val="left"/>
              <w:rPr>
                <w:rFonts w:cstheme="minorEastAsia"/>
                <w:bCs w:val="0"/>
                <w:szCs w:val="21"/>
              </w:rPr>
            </w:pPr>
            <w:r>
              <w:rPr>
                <w:rFonts w:hint="eastAsia" w:cstheme="minorEastAsia"/>
                <w:bCs w:val="0"/>
                <w:szCs w:val="21"/>
              </w:rPr>
              <w:t>项目场地为平原型填埋场，场地区域不在长远规划中的水库等人工蓄水设施的淹没区和保护区之内，壶关县水利局以壶政水字【2017】116号文同意本项目选址。</w:t>
            </w:r>
          </w:p>
        </w:tc>
        <w:tc>
          <w:tcPr>
            <w:tcW w:w="707"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9" w:hRule="atLeast"/>
        </w:trPr>
        <w:tc>
          <w:tcPr>
            <w:tcW w:w="710"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4</w:t>
            </w:r>
          </w:p>
        </w:tc>
        <w:tc>
          <w:tcPr>
            <w:tcW w:w="4448" w:type="dxa"/>
            <w:gridSpan w:val="2"/>
            <w:tcBorders>
              <w:tl2br w:val="nil"/>
              <w:tr2bl w:val="nil"/>
            </w:tcBorders>
            <w:vAlign w:val="center"/>
          </w:tcPr>
          <w:p>
            <w:pPr>
              <w:pStyle w:val="3"/>
              <w:spacing w:line="290" w:lineRule="exact"/>
              <w:jc w:val="left"/>
              <w:rPr>
                <w:rFonts w:cstheme="minorEastAsia"/>
                <w:bCs w:val="0"/>
                <w:szCs w:val="21"/>
              </w:rPr>
            </w:pPr>
            <w:r>
              <w:rPr>
                <w:rFonts w:hint="eastAsia" w:cstheme="minorEastAsia"/>
                <w:bCs w:val="0"/>
                <w:szCs w:val="21"/>
              </w:rPr>
              <w:t>生活垃圾填埋场场址的选择应避开下列区域：破坏性地震及活动构造区；活动中的坍塌、滑坡和隆起地带：活动中的断裂带；石灰岩熔洞发育带：废弃矿区的活动塌陷区；活动沙丘区；海啸及涌浪影响区：湿地；尚未稳定的冲积扇及冲沟地区；泥炭以及其他可能危及填埋场安全的区域。</w:t>
            </w:r>
          </w:p>
        </w:tc>
        <w:tc>
          <w:tcPr>
            <w:tcW w:w="3314" w:type="dxa"/>
            <w:tcBorders>
              <w:tl2br w:val="nil"/>
              <w:tr2bl w:val="nil"/>
            </w:tcBorders>
            <w:vAlign w:val="center"/>
          </w:tcPr>
          <w:p>
            <w:pPr>
              <w:pStyle w:val="3"/>
              <w:spacing w:line="290" w:lineRule="exact"/>
              <w:jc w:val="left"/>
              <w:rPr>
                <w:rFonts w:cstheme="minorEastAsia"/>
                <w:bCs w:val="0"/>
                <w:szCs w:val="21"/>
              </w:rPr>
            </w:pPr>
            <w:r>
              <w:rPr>
                <w:rFonts w:hint="eastAsia" w:cstheme="minorEastAsia"/>
                <w:bCs w:val="0"/>
                <w:szCs w:val="21"/>
              </w:rPr>
              <w:t>项目委托山西裕宏岩土工程勘察检测有限公司对拟建场地进行了岩土勘察，本次勘察共钻孔约39处，钻孔深度约20m，揭露地层均为第四系上更新统冲洪积层，勘探过程未揭露该层。</w:t>
            </w:r>
          </w:p>
          <w:p>
            <w:pPr>
              <w:pStyle w:val="3"/>
              <w:spacing w:line="290" w:lineRule="exact"/>
              <w:jc w:val="left"/>
              <w:rPr>
                <w:rFonts w:cstheme="minorEastAsia"/>
                <w:bCs w:val="0"/>
                <w:szCs w:val="21"/>
              </w:rPr>
            </w:pPr>
            <w:r>
              <w:rPr>
                <w:rFonts w:hint="eastAsia" w:cstheme="minorEastAsia"/>
                <w:bCs w:val="0"/>
                <w:szCs w:val="21"/>
              </w:rPr>
              <w:t>根据勘察报告及区域地质资料，本项目场地及附近无全新活动断裂，无明显不良地质现象。</w:t>
            </w:r>
          </w:p>
        </w:tc>
        <w:tc>
          <w:tcPr>
            <w:tcW w:w="722" w:type="dxa"/>
            <w:gridSpan w:val="2"/>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7" w:hRule="atLeast"/>
        </w:trPr>
        <w:tc>
          <w:tcPr>
            <w:tcW w:w="710" w:type="dxa"/>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5</w:t>
            </w:r>
          </w:p>
        </w:tc>
        <w:tc>
          <w:tcPr>
            <w:tcW w:w="4448" w:type="dxa"/>
            <w:gridSpan w:val="2"/>
            <w:tcBorders>
              <w:tl2br w:val="nil"/>
              <w:tr2bl w:val="nil"/>
            </w:tcBorders>
            <w:vAlign w:val="center"/>
          </w:tcPr>
          <w:p>
            <w:pPr>
              <w:pStyle w:val="3"/>
              <w:spacing w:line="290" w:lineRule="exact"/>
              <w:jc w:val="left"/>
              <w:rPr>
                <w:rFonts w:cstheme="minorEastAsia"/>
                <w:bCs w:val="0"/>
                <w:szCs w:val="21"/>
              </w:rPr>
            </w:pPr>
            <w:r>
              <w:rPr>
                <w:rFonts w:hint="eastAsia" w:cstheme="minorEastAsia"/>
                <w:bCs w:val="0"/>
                <w:szCs w:val="21"/>
              </w:rPr>
              <w:t>生活垃圾填埋场场址的位置及与周围人群的距离应依据环境影响评价结论确定，并经地方环境保护行政主管部门批准。</w:t>
            </w:r>
          </w:p>
          <w:p>
            <w:pPr>
              <w:pStyle w:val="3"/>
              <w:spacing w:line="290" w:lineRule="exact"/>
              <w:jc w:val="left"/>
              <w:rPr>
                <w:rFonts w:cstheme="minorEastAsia"/>
                <w:bCs w:val="0"/>
                <w:szCs w:val="21"/>
              </w:rPr>
            </w:pPr>
            <w:r>
              <w:rPr>
                <w:rFonts w:hint="eastAsia" w:cstheme="minorEastAsia"/>
                <w:bCs w:val="0"/>
                <w:szCs w:val="21"/>
              </w:rPr>
              <w:t>在对生活垃圾填埋场场址进行环境影响评价时，应考虑生活垃圾填埋场产生的渗滤液、大气污染物（含恶臭物质）、滋养动物（蚊、蝇、鸟类等）等因素，根据其所在地区的环境功能区类别，综合评价其对周围环境、居住人群的身体健康、日常生活和生产活动的影响，确定生活垃圾填埋场与常住居民居住场所、地表水域、高速公路、交通主干道（国道或省道）、铁路、飞机场、军事基地等敏感对象之间合理的位置关系以及合理的防护距离。环境影响评价的结论可作为规划控制的依据。</w:t>
            </w:r>
          </w:p>
        </w:tc>
        <w:tc>
          <w:tcPr>
            <w:tcW w:w="3314" w:type="dxa"/>
            <w:tcBorders>
              <w:tl2br w:val="nil"/>
              <w:tr2bl w:val="nil"/>
            </w:tcBorders>
            <w:vAlign w:val="center"/>
          </w:tcPr>
          <w:p>
            <w:pPr>
              <w:pStyle w:val="3"/>
              <w:spacing w:line="290" w:lineRule="exact"/>
              <w:jc w:val="left"/>
              <w:rPr>
                <w:rFonts w:cstheme="minorEastAsia"/>
                <w:bCs w:val="0"/>
                <w:szCs w:val="21"/>
              </w:rPr>
            </w:pPr>
            <w:r>
              <w:rPr>
                <w:rFonts w:hint="eastAsia" w:cstheme="minorEastAsia"/>
                <w:bCs w:val="0"/>
                <w:szCs w:val="21"/>
              </w:rPr>
              <w:t>经预测，在严格落实环评要求的各项措施后，本项目对大气、地下水、土壤等环境影响可接受，对区域周边环境和村庄等影响较小。</w:t>
            </w:r>
          </w:p>
        </w:tc>
        <w:tc>
          <w:tcPr>
            <w:tcW w:w="722" w:type="dxa"/>
            <w:gridSpan w:val="2"/>
            <w:tcBorders>
              <w:tl2br w:val="nil"/>
              <w:tr2bl w:val="nil"/>
            </w:tcBorders>
            <w:vAlign w:val="center"/>
          </w:tcPr>
          <w:p>
            <w:pPr>
              <w:pStyle w:val="3"/>
              <w:spacing w:line="260" w:lineRule="exact"/>
              <w:rPr>
                <w:rFonts w:cstheme="minorEastAsia"/>
                <w:bCs w:val="0"/>
                <w:szCs w:val="21"/>
              </w:rPr>
            </w:pPr>
            <w:r>
              <w:rPr>
                <w:rFonts w:hint="eastAsia" w:cstheme="minorEastAsia"/>
                <w:bCs w:val="0"/>
                <w:szCs w:val="21"/>
              </w:rPr>
              <w:t>符合</w:t>
            </w:r>
          </w:p>
        </w:tc>
      </w:tr>
    </w:tbl>
    <w:p>
      <w:pPr>
        <w:adjustRightInd w:val="0"/>
        <w:spacing w:line="480" w:lineRule="exact"/>
        <w:ind w:firstLine="480" w:firstLineChars="200"/>
        <w:textAlignment w:val="baseline"/>
        <w:rPr>
          <w:sz w:val="24"/>
        </w:rPr>
      </w:pPr>
      <w:r>
        <w:rPr>
          <w:rFonts w:hint="eastAsia"/>
          <w:sz w:val="24"/>
        </w:rPr>
        <w:t>由以上可知，本项目符合《生活垃圾填埋场污染控制标准》(GB16889-2008)中的相关要求，项目选址可行。</w:t>
      </w:r>
    </w:p>
    <w:p>
      <w:pPr>
        <w:pStyle w:val="5"/>
        <w:spacing w:beforeLines="0" w:after="120" w:line="500" w:lineRule="exact"/>
        <w:rPr>
          <w:rFonts w:eastAsia="宋体"/>
          <w:b/>
          <w:bCs w:val="0"/>
          <w:color w:val="auto"/>
          <w:szCs w:val="30"/>
        </w:rPr>
      </w:pPr>
      <w:bookmarkStart w:id="13" w:name="_Toc203145114"/>
      <w:r>
        <w:rPr>
          <w:rFonts w:eastAsia="宋体"/>
          <w:b/>
          <w:bCs w:val="0"/>
          <w:color w:val="auto"/>
          <w:szCs w:val="30"/>
        </w:rPr>
        <w:t>1.</w:t>
      </w:r>
      <w:r>
        <w:rPr>
          <w:rFonts w:hint="eastAsia" w:eastAsia="宋体"/>
          <w:b/>
          <w:bCs w:val="0"/>
          <w:color w:val="auto"/>
          <w:szCs w:val="30"/>
        </w:rPr>
        <w:t>4关注的主要环境问题及环境影响</w:t>
      </w:r>
      <w:bookmarkEnd w:id="13"/>
    </w:p>
    <w:p>
      <w:pPr>
        <w:adjustRightInd w:val="0"/>
        <w:snapToGrid w:val="0"/>
        <w:spacing w:line="500" w:lineRule="exact"/>
        <w:ind w:firstLine="480" w:firstLineChars="200"/>
        <w:rPr>
          <w:sz w:val="24"/>
        </w:rPr>
      </w:pPr>
      <w:r>
        <w:rPr>
          <w:rFonts w:hint="eastAsia"/>
          <w:sz w:val="24"/>
        </w:rPr>
        <w:t>本工程选址周边无自然保护区、风景名胜区、世界文化和自然遗产地及其他需要特别保护的特殊敏感区域，场地位于辛安泉域范围内，但不属于重点保护区，东北距最近的文王山地垒渗漏段重点保护区约16km，距离较远。本项目重点关注垃圾渗滤液的污染防治措、可能对区域地下水及水源地造成的不利影响，重点关注垃圾填埋气的合理处置、填埋恶臭、粉尘对周围大气环境及村庄的不利影响。</w:t>
      </w:r>
    </w:p>
    <w:p>
      <w:pPr>
        <w:pStyle w:val="5"/>
        <w:spacing w:beforeLines="0" w:after="120" w:line="500" w:lineRule="exact"/>
        <w:rPr>
          <w:rFonts w:eastAsia="宋体"/>
          <w:b/>
          <w:bCs w:val="0"/>
          <w:color w:val="auto"/>
          <w:szCs w:val="30"/>
        </w:rPr>
      </w:pPr>
      <w:bookmarkStart w:id="14" w:name="_Toc775676141"/>
      <w:r>
        <w:rPr>
          <w:rFonts w:eastAsia="宋体"/>
          <w:b/>
          <w:bCs w:val="0"/>
          <w:color w:val="auto"/>
          <w:szCs w:val="30"/>
        </w:rPr>
        <w:t>1.</w:t>
      </w:r>
      <w:r>
        <w:rPr>
          <w:rFonts w:hint="eastAsia" w:eastAsia="宋体"/>
          <w:b/>
          <w:bCs w:val="0"/>
          <w:color w:val="auto"/>
          <w:szCs w:val="30"/>
        </w:rPr>
        <w:t>5环境影响评价的主要结论</w:t>
      </w:r>
      <w:bookmarkEnd w:id="14"/>
    </w:p>
    <w:p>
      <w:pPr>
        <w:pStyle w:val="10"/>
        <w:spacing w:line="500" w:lineRule="exact"/>
        <w:ind w:firstLine="480"/>
        <w:rPr>
          <w:sz w:val="24"/>
          <w:szCs w:val="24"/>
        </w:rPr>
      </w:pPr>
      <w:r>
        <w:rPr>
          <w:rFonts w:hint="eastAsia"/>
          <w:sz w:val="24"/>
          <w:szCs w:val="24"/>
        </w:rPr>
        <w:t>本项目为生活垃圾卫生填埋工程，主要解决壶关县城生活垃圾的去向问题，属于《产业结构调整指导目录》（2019年本）中的鼓励类项目，符合国家产业政策的相关要求，经分析本项目选址可行，环境质量现状监测结果表明区域质量现状良好，本项目不涉及总量控制指标，采取环评规定的各项目环保措施前提下，正常运行条件下项目的建设不会改变区域的环境功能，从环境保护的角度考虑，本项目的建设可行。</w:t>
      </w:r>
    </w:p>
    <w:p>
      <w:pPr>
        <w:pStyle w:val="10"/>
        <w:ind w:firstLine="480"/>
        <w:rPr>
          <w:sz w:val="24"/>
          <w:szCs w:val="24"/>
        </w:rPr>
        <w:sectPr>
          <w:headerReference r:id="rId8" w:type="default"/>
          <w:footerReference r:id="rId9" w:type="default"/>
          <w:pgSz w:w="11906" w:h="16838"/>
          <w:pgMar w:top="1440" w:right="1800" w:bottom="1440" w:left="1800" w:header="851" w:footer="992" w:gutter="0"/>
          <w:pgNumType w:start="1"/>
          <w:cols w:space="720" w:num="1"/>
          <w:docGrid w:type="lines" w:linePitch="312" w:charSpace="0"/>
        </w:sectPr>
      </w:pPr>
    </w:p>
    <w:p>
      <w:pPr>
        <w:pStyle w:val="4"/>
        <w:spacing w:after="260"/>
        <w:jc w:val="center"/>
      </w:pPr>
      <w:bookmarkStart w:id="15" w:name="_Toc529006875"/>
      <w:bookmarkStart w:id="16" w:name="_Toc14666"/>
      <w:r>
        <w:t>2  总</w:t>
      </w:r>
      <w:bookmarkEnd w:id="1"/>
      <w:bookmarkEnd w:id="2"/>
      <w:bookmarkEnd w:id="3"/>
      <w:r>
        <w:t xml:space="preserve"> 则</w:t>
      </w:r>
      <w:bookmarkEnd w:id="15"/>
      <w:bookmarkEnd w:id="16"/>
    </w:p>
    <w:p>
      <w:pPr>
        <w:pStyle w:val="5"/>
        <w:spacing w:beforeLines="0" w:after="120" w:line="500" w:lineRule="exact"/>
        <w:rPr>
          <w:rFonts w:eastAsia="宋体"/>
          <w:b/>
          <w:bCs w:val="0"/>
          <w:color w:val="auto"/>
          <w:szCs w:val="30"/>
        </w:rPr>
      </w:pPr>
      <w:bookmarkStart w:id="17" w:name="_Toc193795237"/>
      <w:bookmarkStart w:id="18" w:name="_Toc187052170"/>
      <w:bookmarkStart w:id="19" w:name="_Toc30614"/>
      <w:bookmarkStart w:id="20" w:name="_Toc364787122"/>
      <w:bookmarkStart w:id="21" w:name="_Toc268624278"/>
      <w:bookmarkStart w:id="22" w:name="_Toc187052547"/>
      <w:bookmarkStart w:id="23" w:name="_Toc13380"/>
      <w:bookmarkStart w:id="24" w:name="_Toc187052926"/>
      <w:bookmarkStart w:id="25" w:name="_Toc187053231"/>
      <w:bookmarkStart w:id="26" w:name="_Toc193795891"/>
      <w:bookmarkStart w:id="27" w:name="_Toc958274956"/>
      <w:bookmarkStart w:id="28" w:name="_Toc193795601"/>
      <w:bookmarkStart w:id="29" w:name="_Toc193813491"/>
      <w:bookmarkStart w:id="30" w:name="_Toc174778281"/>
      <w:bookmarkStart w:id="31" w:name="_Toc193795992"/>
      <w:r>
        <w:rPr>
          <w:rFonts w:eastAsia="宋体"/>
          <w:b/>
          <w:bCs w:val="0"/>
          <w:color w:val="auto"/>
          <w:szCs w:val="30"/>
        </w:rPr>
        <w:t>2.1 编制依据</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6"/>
      </w:pPr>
      <w:bookmarkStart w:id="32" w:name="_Toc193795602"/>
      <w:bookmarkStart w:id="33" w:name="_Toc268624279"/>
      <w:bookmarkStart w:id="34" w:name="_Toc187052927"/>
      <w:bookmarkStart w:id="35" w:name="_Toc267301221"/>
      <w:bookmarkStart w:id="36" w:name="_Toc267582867"/>
      <w:bookmarkStart w:id="37" w:name="_Toc187052171"/>
      <w:bookmarkStart w:id="38" w:name="_Toc267583705"/>
      <w:bookmarkStart w:id="39" w:name="_Toc193795238"/>
      <w:bookmarkStart w:id="40" w:name="_Toc187052548"/>
      <w:r>
        <w:t>2.1.1 任务依据</w:t>
      </w:r>
      <w:bookmarkEnd w:id="32"/>
      <w:bookmarkEnd w:id="33"/>
      <w:bookmarkEnd w:id="34"/>
      <w:bookmarkEnd w:id="35"/>
      <w:bookmarkEnd w:id="36"/>
      <w:bookmarkEnd w:id="37"/>
      <w:bookmarkEnd w:id="38"/>
      <w:bookmarkEnd w:id="39"/>
      <w:bookmarkEnd w:id="40"/>
    </w:p>
    <w:p>
      <w:pPr>
        <w:spacing w:line="500" w:lineRule="exact"/>
        <w:ind w:firstLine="480" w:firstLineChars="200"/>
        <w:jc w:val="left"/>
        <w:rPr>
          <w:sz w:val="24"/>
        </w:rPr>
      </w:pPr>
      <w:r>
        <w:rPr>
          <w:sz w:val="24"/>
        </w:rPr>
        <w:t>（1）</w:t>
      </w:r>
      <w:r>
        <w:rPr>
          <w:bCs/>
          <w:sz w:val="24"/>
        </w:rPr>
        <w:t>建设项目环境影响评价委托书</w:t>
      </w:r>
      <w:r>
        <w:rPr>
          <w:sz w:val="24"/>
        </w:rPr>
        <w:t>委托书；</w:t>
      </w:r>
    </w:p>
    <w:p>
      <w:pPr>
        <w:spacing w:line="500" w:lineRule="exact"/>
        <w:ind w:firstLine="480" w:firstLineChars="200"/>
        <w:rPr>
          <w:sz w:val="24"/>
        </w:rPr>
      </w:pPr>
      <w:r>
        <w:rPr>
          <w:sz w:val="24"/>
        </w:rPr>
        <w:t>（2）壶关县</w:t>
      </w:r>
      <w:r>
        <w:rPr>
          <w:rFonts w:hint="eastAsia"/>
          <w:sz w:val="24"/>
        </w:rPr>
        <w:t>发展和改革局</w:t>
      </w:r>
      <w:r>
        <w:rPr>
          <w:sz w:val="24"/>
        </w:rPr>
        <w:t>关于壶关县</w:t>
      </w:r>
      <w:r>
        <w:rPr>
          <w:rFonts w:hint="eastAsia"/>
          <w:sz w:val="24"/>
        </w:rPr>
        <w:t>城生活垃圾处理工程（</w:t>
      </w:r>
      <w:r>
        <w:rPr>
          <w:sz w:val="24"/>
        </w:rPr>
        <w:t>二期</w:t>
      </w:r>
      <w:r>
        <w:rPr>
          <w:rFonts w:hint="eastAsia"/>
          <w:sz w:val="24"/>
        </w:rPr>
        <w:t>）可行性研究报告的批复</w:t>
      </w:r>
      <w:r>
        <w:rPr>
          <w:sz w:val="24"/>
        </w:rPr>
        <w:t>，壶</w:t>
      </w:r>
      <w:r>
        <w:rPr>
          <w:rFonts w:hint="eastAsia"/>
          <w:sz w:val="24"/>
        </w:rPr>
        <w:t>发改审发</w:t>
      </w:r>
      <w:r>
        <w:rPr>
          <w:sz w:val="24"/>
        </w:rPr>
        <w:t>【201</w:t>
      </w:r>
      <w:r>
        <w:rPr>
          <w:rFonts w:hint="eastAsia"/>
          <w:sz w:val="24"/>
        </w:rPr>
        <w:t>8</w:t>
      </w:r>
      <w:r>
        <w:rPr>
          <w:sz w:val="24"/>
        </w:rPr>
        <w:t>】</w:t>
      </w:r>
      <w:r>
        <w:rPr>
          <w:rFonts w:hint="eastAsia"/>
          <w:sz w:val="24"/>
        </w:rPr>
        <w:t>8</w:t>
      </w:r>
      <w:r>
        <w:rPr>
          <w:sz w:val="24"/>
        </w:rPr>
        <w:t>号。</w:t>
      </w:r>
    </w:p>
    <w:p>
      <w:pPr>
        <w:pStyle w:val="6"/>
        <w:spacing w:line="500" w:lineRule="exact"/>
      </w:pPr>
      <w:bookmarkStart w:id="41" w:name="_Toc267301222"/>
      <w:bookmarkStart w:id="42" w:name="_Toc187052172"/>
      <w:bookmarkStart w:id="43" w:name="_Toc187052928"/>
      <w:bookmarkStart w:id="44" w:name="_Toc193795239"/>
      <w:bookmarkStart w:id="45" w:name="_Toc267583706"/>
      <w:bookmarkStart w:id="46" w:name="_Toc268624280"/>
      <w:bookmarkStart w:id="47" w:name="_Toc193795603"/>
      <w:bookmarkStart w:id="48" w:name="_Toc187052549"/>
      <w:bookmarkStart w:id="49" w:name="_Toc267582868"/>
      <w:r>
        <w:t>2.1.2 国家法律法规</w:t>
      </w:r>
      <w:bookmarkEnd w:id="41"/>
      <w:bookmarkEnd w:id="42"/>
      <w:bookmarkEnd w:id="43"/>
      <w:bookmarkEnd w:id="44"/>
      <w:bookmarkEnd w:id="45"/>
      <w:bookmarkEnd w:id="46"/>
      <w:bookmarkEnd w:id="47"/>
      <w:bookmarkEnd w:id="48"/>
      <w:bookmarkEnd w:id="49"/>
    </w:p>
    <w:p>
      <w:pPr>
        <w:adjustRightInd w:val="0"/>
        <w:snapToGrid w:val="0"/>
        <w:spacing w:line="500" w:lineRule="exact"/>
        <w:ind w:firstLine="480" w:firstLineChars="200"/>
        <w:rPr>
          <w:sz w:val="24"/>
        </w:rPr>
      </w:pPr>
      <w:bookmarkStart w:id="50" w:name="_Toc187052173"/>
      <w:bookmarkStart w:id="51" w:name="_Toc267582869"/>
      <w:bookmarkStart w:id="52" w:name="_Toc267301223"/>
      <w:bookmarkStart w:id="53" w:name="_Toc187052550"/>
      <w:bookmarkStart w:id="54" w:name="_Toc267583707"/>
      <w:bookmarkStart w:id="55" w:name="_Toc193795604"/>
      <w:bookmarkStart w:id="56" w:name="_Toc268624281"/>
      <w:bookmarkStart w:id="57" w:name="_Toc187052929"/>
      <w:bookmarkStart w:id="58" w:name="_Toc193795240"/>
      <w:r>
        <w:rPr>
          <w:sz w:val="24"/>
        </w:rPr>
        <w:t>（1）《中华人民共和国环境保护法》，（2015年1月1日实施）；</w:t>
      </w:r>
    </w:p>
    <w:p>
      <w:pPr>
        <w:adjustRightInd w:val="0"/>
        <w:snapToGrid w:val="0"/>
        <w:spacing w:line="500" w:lineRule="exact"/>
        <w:ind w:firstLine="480" w:firstLineChars="200"/>
        <w:rPr>
          <w:sz w:val="24"/>
        </w:rPr>
      </w:pPr>
      <w:r>
        <w:rPr>
          <w:sz w:val="24"/>
        </w:rPr>
        <w:t>（2）《中华人民共和国环境影响评价法》（2018年12月29日修正版）</w:t>
      </w:r>
      <w:r>
        <w:rPr>
          <w:rFonts w:hint="eastAsia"/>
          <w:sz w:val="24"/>
        </w:rPr>
        <w:t>；</w:t>
      </w:r>
    </w:p>
    <w:p>
      <w:pPr>
        <w:adjustRightInd w:val="0"/>
        <w:snapToGrid w:val="0"/>
        <w:spacing w:line="500" w:lineRule="exact"/>
        <w:ind w:firstLine="480" w:firstLineChars="200"/>
        <w:rPr>
          <w:sz w:val="24"/>
        </w:rPr>
      </w:pPr>
      <w:r>
        <w:rPr>
          <w:sz w:val="24"/>
        </w:rPr>
        <w:t>（3）《中华人民共和国大气污染防治法》，（2018年10月26日实施）；</w:t>
      </w:r>
    </w:p>
    <w:p>
      <w:pPr>
        <w:adjustRightInd w:val="0"/>
        <w:snapToGrid w:val="0"/>
        <w:spacing w:line="500" w:lineRule="exact"/>
        <w:ind w:firstLine="480" w:firstLineChars="200"/>
        <w:rPr>
          <w:sz w:val="24"/>
        </w:rPr>
      </w:pPr>
      <w:r>
        <w:rPr>
          <w:sz w:val="24"/>
        </w:rPr>
        <w:t>（4）《中华人民共和国水污染防治法》（2018年1月1日实施）；</w:t>
      </w:r>
    </w:p>
    <w:p>
      <w:pPr>
        <w:adjustRightInd w:val="0"/>
        <w:snapToGrid w:val="0"/>
        <w:spacing w:line="500" w:lineRule="exact"/>
        <w:ind w:firstLine="480" w:firstLineChars="200"/>
        <w:rPr>
          <w:sz w:val="24"/>
        </w:rPr>
      </w:pPr>
      <w:r>
        <w:rPr>
          <w:sz w:val="24"/>
        </w:rPr>
        <w:t>（5）《中华人民共和国固体废物污染环境防治法》，（2020年4月29日修订）；</w:t>
      </w:r>
    </w:p>
    <w:p>
      <w:pPr>
        <w:adjustRightInd w:val="0"/>
        <w:snapToGrid w:val="0"/>
        <w:spacing w:line="500" w:lineRule="exact"/>
        <w:ind w:firstLine="480" w:firstLineChars="200"/>
        <w:rPr>
          <w:sz w:val="24"/>
        </w:rPr>
      </w:pPr>
      <w:r>
        <w:rPr>
          <w:sz w:val="24"/>
        </w:rPr>
        <w:t>（6）《中华人民共和国环境噪声污染防治法》（2022年6月5日）；</w:t>
      </w:r>
    </w:p>
    <w:p>
      <w:pPr>
        <w:adjustRightInd w:val="0"/>
        <w:snapToGrid w:val="0"/>
        <w:spacing w:line="500" w:lineRule="exact"/>
        <w:ind w:firstLine="480" w:firstLineChars="200"/>
        <w:rPr>
          <w:sz w:val="24"/>
        </w:rPr>
      </w:pPr>
      <w:r>
        <w:rPr>
          <w:sz w:val="24"/>
        </w:rPr>
        <w:t>（7）《中华人民共和国土壤污染防治法》，（2019年1月1日起施行）</w:t>
      </w:r>
      <w:r>
        <w:rPr>
          <w:rFonts w:hint="eastAsia"/>
          <w:sz w:val="24"/>
        </w:rPr>
        <w:t>；</w:t>
      </w:r>
    </w:p>
    <w:p>
      <w:pPr>
        <w:adjustRightInd w:val="0"/>
        <w:snapToGrid w:val="0"/>
        <w:spacing w:line="500" w:lineRule="exact"/>
        <w:ind w:firstLine="480" w:firstLineChars="200"/>
        <w:rPr>
          <w:sz w:val="24"/>
        </w:rPr>
      </w:pPr>
      <w:r>
        <w:rPr>
          <w:sz w:val="24"/>
        </w:rPr>
        <w:t>（8）《中华人民共和国清洁生产促进法》，（2012年7月1日起施行）；</w:t>
      </w:r>
    </w:p>
    <w:p>
      <w:pPr>
        <w:adjustRightInd w:val="0"/>
        <w:snapToGrid w:val="0"/>
        <w:spacing w:line="500" w:lineRule="exact"/>
        <w:ind w:firstLine="480" w:firstLineChars="200"/>
        <w:rPr>
          <w:sz w:val="24"/>
        </w:rPr>
      </w:pPr>
      <w:r>
        <w:rPr>
          <w:sz w:val="24"/>
        </w:rPr>
        <w:t>（9）《中华人民共和国节约能源法》，（2016年9月1日实施）；</w:t>
      </w:r>
    </w:p>
    <w:p>
      <w:pPr>
        <w:adjustRightInd w:val="0"/>
        <w:snapToGrid w:val="0"/>
        <w:spacing w:line="500" w:lineRule="exact"/>
        <w:ind w:firstLine="480" w:firstLineChars="200"/>
        <w:rPr>
          <w:sz w:val="24"/>
        </w:rPr>
      </w:pPr>
      <w:r>
        <w:rPr>
          <w:sz w:val="24"/>
        </w:rPr>
        <w:t>（10）《中华人民共和国水土保持法》，（2011年3月1日修订）；</w:t>
      </w:r>
    </w:p>
    <w:p>
      <w:pPr>
        <w:adjustRightInd w:val="0"/>
        <w:snapToGrid w:val="0"/>
        <w:spacing w:line="500" w:lineRule="exact"/>
        <w:ind w:firstLine="480" w:firstLineChars="200"/>
        <w:rPr>
          <w:sz w:val="24"/>
        </w:rPr>
      </w:pPr>
      <w:r>
        <w:rPr>
          <w:sz w:val="24"/>
        </w:rPr>
        <w:t>（11）《土地复垦条例》，（2011年3月5日起施行）。</w:t>
      </w:r>
    </w:p>
    <w:p>
      <w:pPr>
        <w:pStyle w:val="6"/>
      </w:pPr>
      <w:r>
        <w:t xml:space="preserve">2.1.3 </w:t>
      </w:r>
      <w:r>
        <w:rPr>
          <w:rFonts w:hint="eastAsia"/>
        </w:rPr>
        <w:t>国家有关部门规章</w:t>
      </w:r>
    </w:p>
    <w:p>
      <w:pPr>
        <w:adjustRightInd w:val="0"/>
        <w:snapToGrid w:val="0"/>
        <w:spacing w:line="500" w:lineRule="exact"/>
        <w:ind w:firstLine="480" w:firstLineChars="200"/>
        <w:rPr>
          <w:sz w:val="24"/>
        </w:rPr>
      </w:pPr>
      <w:r>
        <w:rPr>
          <w:rFonts w:hint="eastAsia"/>
          <w:sz w:val="24"/>
        </w:rPr>
        <w:t>（1）《建设项目环境保护管理条例》（修改），国务院令第682号，2017年10月1日实施；</w:t>
      </w:r>
    </w:p>
    <w:p>
      <w:pPr>
        <w:adjustRightInd w:val="0"/>
        <w:snapToGrid w:val="0"/>
        <w:spacing w:line="500" w:lineRule="exact"/>
        <w:ind w:firstLine="480" w:firstLineChars="200"/>
        <w:rPr>
          <w:sz w:val="24"/>
        </w:rPr>
      </w:pPr>
      <w:r>
        <w:rPr>
          <w:rFonts w:hint="eastAsia"/>
          <w:sz w:val="24"/>
        </w:rPr>
        <w:t>（2）《产业结构调整指导目录（2019年本）》及修改，2021年国家发展改革委令第49号，2021年12月30日；</w:t>
      </w:r>
    </w:p>
    <w:p>
      <w:pPr>
        <w:adjustRightInd w:val="0"/>
        <w:snapToGrid w:val="0"/>
        <w:spacing w:line="500" w:lineRule="exact"/>
        <w:ind w:firstLine="480" w:firstLineChars="200"/>
        <w:rPr>
          <w:sz w:val="24"/>
        </w:rPr>
      </w:pPr>
      <w:r>
        <w:rPr>
          <w:rFonts w:hint="eastAsia"/>
          <w:sz w:val="24"/>
        </w:rPr>
        <w:t>（3）《建设项目环境影响评价分类管理名录》（2021版）；</w:t>
      </w:r>
    </w:p>
    <w:p>
      <w:pPr>
        <w:adjustRightInd w:val="0"/>
        <w:snapToGrid w:val="0"/>
        <w:spacing w:line="500" w:lineRule="exact"/>
        <w:ind w:firstLine="480" w:firstLineChars="200"/>
        <w:rPr>
          <w:sz w:val="24"/>
        </w:rPr>
      </w:pPr>
      <w:r>
        <w:rPr>
          <w:rFonts w:hint="eastAsia"/>
          <w:sz w:val="24"/>
        </w:rPr>
        <w:t>（4）《关于进一步加强环境影响评价管理防范环境风险的通知》，环境保护部环发〔2012〕77号，2012年7月3日；</w:t>
      </w:r>
    </w:p>
    <w:p>
      <w:pPr>
        <w:adjustRightInd w:val="0"/>
        <w:snapToGrid w:val="0"/>
        <w:spacing w:line="500" w:lineRule="exact"/>
        <w:ind w:firstLine="480" w:firstLineChars="200"/>
        <w:rPr>
          <w:sz w:val="24"/>
        </w:rPr>
      </w:pPr>
      <w:r>
        <w:rPr>
          <w:rFonts w:hint="eastAsia"/>
          <w:sz w:val="24"/>
        </w:rPr>
        <w:t>（5）《关于切实加强风险防范严格环境影响评价管理的通知》环境保护部，环发〔2012〕98号，2012年8月7日；</w:t>
      </w:r>
    </w:p>
    <w:p>
      <w:pPr>
        <w:adjustRightInd w:val="0"/>
        <w:snapToGrid w:val="0"/>
        <w:spacing w:line="500" w:lineRule="exact"/>
        <w:ind w:firstLine="480" w:firstLineChars="200"/>
        <w:rPr>
          <w:sz w:val="24"/>
        </w:rPr>
      </w:pPr>
      <w:r>
        <w:rPr>
          <w:rFonts w:hint="eastAsia"/>
          <w:sz w:val="24"/>
        </w:rPr>
        <w:t>（6）《关于以改善环境质量为核心加强环境影响评价管理的通知》，环境保护部，环环评〔2016〕150号，2016年10月27日；</w:t>
      </w:r>
    </w:p>
    <w:p>
      <w:pPr>
        <w:adjustRightInd w:val="0"/>
        <w:snapToGrid w:val="0"/>
        <w:spacing w:line="500" w:lineRule="exact"/>
        <w:ind w:firstLine="480" w:firstLineChars="200"/>
        <w:rPr>
          <w:sz w:val="24"/>
        </w:rPr>
      </w:pPr>
      <w:r>
        <w:rPr>
          <w:rFonts w:hint="eastAsia"/>
          <w:sz w:val="24"/>
        </w:rPr>
        <w:t>（7）《土地复垦条例实施办法》（2019）修正，中华人民共和国自然资源部令第5号，2019年7月24日实施；</w:t>
      </w:r>
    </w:p>
    <w:p>
      <w:pPr>
        <w:autoSpaceDE w:val="0"/>
        <w:adjustRightInd w:val="0"/>
        <w:spacing w:line="500" w:lineRule="exact"/>
        <w:ind w:firstLine="480" w:firstLineChars="200"/>
        <w:textAlignment w:val="baseline"/>
        <w:rPr>
          <w:sz w:val="24"/>
        </w:rPr>
      </w:pPr>
      <w:r>
        <w:rPr>
          <w:rFonts w:hint="eastAsia"/>
          <w:sz w:val="24"/>
        </w:rPr>
        <w:t>（</w:t>
      </w:r>
      <w:r>
        <w:rPr>
          <w:rFonts w:hint="eastAsia" w:cs="Calibri"/>
          <w:sz w:val="24"/>
        </w:rPr>
        <w:t>8</w:t>
      </w:r>
      <w:r>
        <w:rPr>
          <w:rFonts w:hint="eastAsia"/>
          <w:sz w:val="24"/>
        </w:rPr>
        <w:t>）《环境保护公众参与办法》，生态环境部第</w:t>
      </w:r>
      <w:r>
        <w:rPr>
          <w:rFonts w:hint="eastAsia" w:cs="Calibri"/>
          <w:sz w:val="24"/>
        </w:rPr>
        <w:t>4</w:t>
      </w:r>
      <w:r>
        <w:rPr>
          <w:rFonts w:hint="eastAsia"/>
          <w:sz w:val="24"/>
        </w:rPr>
        <w:t>号令，</w:t>
      </w:r>
      <w:r>
        <w:rPr>
          <w:rFonts w:hint="eastAsia" w:cs="Calibri"/>
          <w:sz w:val="24"/>
        </w:rPr>
        <w:t>2019</w:t>
      </w:r>
      <w:r>
        <w:rPr>
          <w:rFonts w:hint="eastAsia"/>
          <w:sz w:val="24"/>
        </w:rPr>
        <w:t>年</w:t>
      </w:r>
      <w:r>
        <w:rPr>
          <w:rFonts w:hint="eastAsia" w:cs="Calibri"/>
          <w:sz w:val="24"/>
        </w:rPr>
        <w:t>1</w:t>
      </w:r>
      <w:r>
        <w:rPr>
          <w:rFonts w:hint="eastAsia"/>
          <w:sz w:val="24"/>
        </w:rPr>
        <w:t>月</w:t>
      </w:r>
      <w:r>
        <w:rPr>
          <w:rFonts w:hint="eastAsia" w:cs="Calibri"/>
          <w:sz w:val="24"/>
        </w:rPr>
        <w:t>1</w:t>
      </w:r>
      <w:r>
        <w:rPr>
          <w:rFonts w:hint="eastAsia"/>
          <w:sz w:val="24"/>
        </w:rPr>
        <w:t>日；</w:t>
      </w:r>
    </w:p>
    <w:p>
      <w:pPr>
        <w:autoSpaceDE w:val="0"/>
        <w:adjustRightInd w:val="0"/>
        <w:spacing w:line="500" w:lineRule="exact"/>
        <w:ind w:firstLine="480" w:firstLineChars="200"/>
        <w:textAlignment w:val="baseline"/>
        <w:rPr>
          <w:sz w:val="24"/>
        </w:rPr>
      </w:pPr>
      <w:r>
        <w:rPr>
          <w:rFonts w:hint="eastAsia"/>
          <w:sz w:val="24"/>
        </w:rPr>
        <w:t>（</w:t>
      </w:r>
      <w:r>
        <w:rPr>
          <w:rFonts w:hint="eastAsia" w:cs="Calibri"/>
          <w:sz w:val="24"/>
        </w:rPr>
        <w:t>9</w:t>
      </w:r>
      <w:r>
        <w:rPr>
          <w:rFonts w:hint="eastAsia"/>
          <w:sz w:val="24"/>
        </w:rPr>
        <w:t>）《地下水管理条例》（国令第</w:t>
      </w:r>
      <w:r>
        <w:rPr>
          <w:rFonts w:hint="eastAsia" w:cs="Calibri"/>
          <w:sz w:val="24"/>
        </w:rPr>
        <w:t>748</w:t>
      </w:r>
      <w:r>
        <w:rPr>
          <w:rFonts w:hint="eastAsia"/>
          <w:sz w:val="24"/>
        </w:rPr>
        <w:t>号），</w:t>
      </w:r>
      <w:r>
        <w:rPr>
          <w:rFonts w:hint="eastAsia" w:cs="Calibri"/>
          <w:sz w:val="24"/>
        </w:rPr>
        <w:t>2021</w:t>
      </w:r>
      <w:r>
        <w:rPr>
          <w:rFonts w:hint="eastAsia"/>
          <w:sz w:val="24"/>
        </w:rPr>
        <w:t>年</w:t>
      </w:r>
      <w:r>
        <w:rPr>
          <w:rFonts w:hint="eastAsia" w:cs="Calibri"/>
          <w:sz w:val="24"/>
        </w:rPr>
        <w:t>12</w:t>
      </w:r>
      <w:r>
        <w:rPr>
          <w:rFonts w:hint="eastAsia"/>
          <w:sz w:val="24"/>
        </w:rPr>
        <w:t>月</w:t>
      </w:r>
      <w:r>
        <w:rPr>
          <w:rFonts w:hint="eastAsia" w:cs="Calibri"/>
          <w:sz w:val="24"/>
        </w:rPr>
        <w:t>1</w:t>
      </w:r>
      <w:r>
        <w:rPr>
          <w:rFonts w:hint="eastAsia"/>
          <w:sz w:val="24"/>
        </w:rPr>
        <w:t>日实施。</w:t>
      </w:r>
    </w:p>
    <w:p>
      <w:pPr>
        <w:pStyle w:val="6"/>
      </w:pPr>
      <w:r>
        <w:rPr>
          <w:rFonts w:hint="eastAsia"/>
        </w:rPr>
        <w:t>2</w:t>
      </w:r>
      <w:r>
        <w:t>.1.</w:t>
      </w:r>
      <w:r>
        <w:rPr>
          <w:rFonts w:hint="eastAsia"/>
        </w:rPr>
        <w:t>4</w:t>
      </w:r>
      <w:r>
        <w:t xml:space="preserve"> 地方法律法规</w:t>
      </w:r>
    </w:p>
    <w:p>
      <w:pPr>
        <w:adjustRightInd w:val="0"/>
        <w:snapToGrid w:val="0"/>
        <w:spacing w:line="480" w:lineRule="exact"/>
        <w:ind w:firstLine="480" w:firstLineChars="200"/>
        <w:rPr>
          <w:sz w:val="24"/>
        </w:rPr>
      </w:pPr>
      <w:r>
        <w:rPr>
          <w:rFonts w:hint="eastAsia"/>
          <w:sz w:val="24"/>
        </w:rPr>
        <w:t>（1）《山西省环境保护条例》，2017年3月1日实施；</w:t>
      </w:r>
    </w:p>
    <w:p>
      <w:pPr>
        <w:adjustRightInd w:val="0"/>
        <w:snapToGrid w:val="0"/>
        <w:spacing w:line="480" w:lineRule="exact"/>
        <w:ind w:firstLine="480" w:firstLineChars="200"/>
        <w:rPr>
          <w:sz w:val="24"/>
        </w:rPr>
      </w:pPr>
      <w:r>
        <w:rPr>
          <w:rFonts w:hint="eastAsia"/>
          <w:sz w:val="24"/>
        </w:rPr>
        <w:t>（2）《山西省大气污染防治条例》，2019年1月1日实施；</w:t>
      </w:r>
    </w:p>
    <w:p>
      <w:pPr>
        <w:adjustRightInd w:val="0"/>
        <w:snapToGrid w:val="0"/>
        <w:spacing w:line="480" w:lineRule="exact"/>
        <w:ind w:firstLine="480" w:firstLineChars="200"/>
        <w:rPr>
          <w:sz w:val="24"/>
        </w:rPr>
      </w:pPr>
      <w:r>
        <w:rPr>
          <w:rFonts w:hint="eastAsia"/>
          <w:sz w:val="24"/>
        </w:rPr>
        <w:t>（3）《山西省水污染防治条例》，2019年10月1日实施；</w:t>
      </w:r>
    </w:p>
    <w:p>
      <w:pPr>
        <w:adjustRightInd w:val="0"/>
        <w:snapToGrid w:val="0"/>
        <w:spacing w:line="480" w:lineRule="exact"/>
        <w:ind w:firstLine="480" w:firstLineChars="200"/>
        <w:rPr>
          <w:sz w:val="24"/>
        </w:rPr>
      </w:pPr>
      <w:r>
        <w:rPr>
          <w:rFonts w:hint="eastAsia"/>
          <w:sz w:val="24"/>
        </w:rPr>
        <w:t>（4）《山西省固体废物污染环境防治条例》，2021年5月1日实施；</w:t>
      </w:r>
    </w:p>
    <w:p>
      <w:pPr>
        <w:adjustRightInd w:val="0"/>
        <w:snapToGrid w:val="0"/>
        <w:spacing w:line="480" w:lineRule="exact"/>
        <w:ind w:firstLine="480" w:firstLineChars="200"/>
        <w:rPr>
          <w:sz w:val="24"/>
        </w:rPr>
      </w:pPr>
      <w:r>
        <w:rPr>
          <w:rFonts w:hint="eastAsia"/>
          <w:sz w:val="24"/>
        </w:rPr>
        <w:t>（5）《山西省土壤污染防治条例》，2020年1月1日；</w:t>
      </w:r>
    </w:p>
    <w:p>
      <w:pPr>
        <w:autoSpaceDE w:val="0"/>
        <w:adjustRightInd w:val="0"/>
        <w:spacing w:line="500" w:lineRule="exact"/>
        <w:ind w:firstLine="480" w:firstLineChars="200"/>
        <w:textAlignment w:val="baseline"/>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）《山西省泉域水资源保护条例》（</w:t>
      </w:r>
      <w:r>
        <w:rPr>
          <w:rFonts w:hint="eastAsia"/>
          <w:color w:val="000000" w:themeColor="text1"/>
          <w:sz w:val="24"/>
          <w14:textFill>
            <w14:solidFill>
              <w14:schemeClr w14:val="tx1"/>
            </w14:solidFill>
          </w14:textFill>
        </w:rPr>
        <w:t>2022年9月28日修</w:t>
      </w:r>
      <w:r>
        <w:rPr>
          <w:rFonts w:hint="eastAsia" w:ascii="宋体" w:hAnsi="宋体"/>
          <w:color w:val="000000" w:themeColor="text1"/>
          <w:sz w:val="24"/>
          <w14:textFill>
            <w14:solidFill>
              <w14:schemeClr w14:val="tx1"/>
            </w14:solidFill>
          </w14:textFill>
        </w:rPr>
        <w:t>订），</w:t>
      </w:r>
      <w:r>
        <w:rPr>
          <w:rFonts w:hint="eastAsia"/>
          <w:color w:val="000000" w:themeColor="text1"/>
          <w:sz w:val="24"/>
          <w14:textFill>
            <w14:solidFill>
              <w14:schemeClr w14:val="tx1"/>
            </w14:solidFill>
          </w14:textFill>
        </w:rPr>
        <w:t>2022</w:t>
      </w:r>
      <w:r>
        <w:rPr>
          <w:rFonts w:hint="eastAsia" w:ascii="宋体" w:hAnsi="宋体"/>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12</w:t>
      </w:r>
      <w:r>
        <w:rPr>
          <w:rFonts w:hint="eastAsia" w:ascii="宋体" w:hAnsi="宋体"/>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日施行；</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地方</w:t>
      </w:r>
      <w:r>
        <w:rPr>
          <w:rFonts w:hint="eastAsia"/>
          <w:color w:val="000000" w:themeColor="text1"/>
          <w14:textFill>
            <w14:solidFill>
              <w14:schemeClr w14:val="tx1"/>
            </w14:solidFill>
          </w14:textFill>
        </w:rPr>
        <w:t>部门规章</w:t>
      </w:r>
    </w:p>
    <w:p>
      <w:pPr>
        <w:adjustRightInd w:val="0"/>
        <w:snapToGrid w:val="0"/>
        <w:spacing w:line="500" w:lineRule="exact"/>
        <w:ind w:firstLine="480" w:firstLineChars="200"/>
        <w:rPr>
          <w:sz w:val="24"/>
        </w:rPr>
      </w:pPr>
      <w:r>
        <w:rPr>
          <w:rFonts w:hint="eastAsia"/>
          <w:sz w:val="24"/>
        </w:rPr>
        <w:t>（1）《关于印发山西省落实大气污染防治行动计划实施方案的通知》，山西省人民政府，晋政发（2013）38号，2013年10月16日；</w:t>
      </w:r>
    </w:p>
    <w:p>
      <w:pPr>
        <w:adjustRightInd w:val="0"/>
        <w:snapToGrid w:val="0"/>
        <w:spacing w:line="500" w:lineRule="exact"/>
        <w:ind w:firstLine="480" w:firstLineChars="200"/>
        <w:rPr>
          <w:sz w:val="24"/>
        </w:rPr>
      </w:pPr>
      <w:r>
        <w:rPr>
          <w:rFonts w:hint="eastAsia"/>
          <w:sz w:val="24"/>
        </w:rPr>
        <w:t>（2）《关于转发“环境保护部关于切实加强风险防范严格环境影响评价管理的通知”的通知》，山西省环保厅，晋环发〔2012〕321号，2012年8月；</w:t>
      </w:r>
    </w:p>
    <w:p>
      <w:pPr>
        <w:autoSpaceDE w:val="0"/>
        <w:adjustRightInd w:val="0"/>
        <w:spacing w:line="500" w:lineRule="exact"/>
        <w:ind w:firstLine="480" w:firstLineChars="200"/>
        <w:textAlignment w:val="baseline"/>
        <w:rPr>
          <w:sz w:val="24"/>
        </w:rPr>
      </w:pPr>
      <w:r>
        <w:rPr>
          <w:rFonts w:hint="eastAsia" w:ascii="宋体" w:hAnsi="宋体"/>
          <w:sz w:val="24"/>
        </w:rPr>
        <w:t>（</w:t>
      </w:r>
      <w:r>
        <w:rPr>
          <w:rFonts w:hint="eastAsia"/>
          <w:sz w:val="24"/>
        </w:rPr>
        <w:t>3</w:t>
      </w:r>
      <w:r>
        <w:rPr>
          <w:rFonts w:hint="eastAsia" w:ascii="宋体" w:hAnsi="宋体"/>
          <w:sz w:val="24"/>
        </w:rPr>
        <w:t>）“关于转发《环境保护部关于进一步加强环境影响评价管理防范环境风险的通知》”，山西省环保厅，晋环发</w:t>
      </w:r>
      <w:r>
        <w:rPr>
          <w:rFonts w:hint="eastAsia"/>
          <w:sz w:val="24"/>
        </w:rPr>
        <w:t>[2012]309</w:t>
      </w:r>
      <w:r>
        <w:rPr>
          <w:rFonts w:hint="eastAsia" w:ascii="宋体" w:hAnsi="宋体"/>
          <w:sz w:val="24"/>
        </w:rPr>
        <w:t>号，</w:t>
      </w:r>
      <w:r>
        <w:rPr>
          <w:rFonts w:hint="eastAsia"/>
          <w:sz w:val="24"/>
        </w:rPr>
        <w:t>2012</w:t>
      </w:r>
      <w:r>
        <w:rPr>
          <w:rFonts w:hint="eastAsia" w:ascii="宋体" w:hAnsi="宋体"/>
          <w:sz w:val="24"/>
        </w:rPr>
        <w:t>年</w:t>
      </w:r>
      <w:r>
        <w:rPr>
          <w:rFonts w:hint="eastAsia"/>
          <w:sz w:val="24"/>
        </w:rPr>
        <w:t>8</w:t>
      </w:r>
      <w:r>
        <w:rPr>
          <w:rFonts w:hint="eastAsia" w:ascii="宋体" w:hAnsi="宋体"/>
          <w:sz w:val="24"/>
        </w:rPr>
        <w:t>月</w:t>
      </w:r>
      <w:r>
        <w:rPr>
          <w:rFonts w:hint="eastAsia"/>
          <w:sz w:val="24"/>
        </w:rPr>
        <w:t>20</w:t>
      </w:r>
      <w:r>
        <w:rPr>
          <w:rFonts w:hint="eastAsia" w:ascii="宋体" w:hAnsi="宋体"/>
          <w:sz w:val="24"/>
        </w:rPr>
        <w:t>日；</w:t>
      </w:r>
    </w:p>
    <w:p>
      <w:pPr>
        <w:autoSpaceDE w:val="0"/>
        <w:adjustRightInd w:val="0"/>
        <w:spacing w:line="500" w:lineRule="exact"/>
        <w:ind w:firstLine="480" w:firstLineChars="200"/>
        <w:textAlignment w:val="baseline"/>
        <w:rPr>
          <w:rFonts w:ascii="宋体" w:hAnsi="宋体"/>
          <w:sz w:val="24"/>
        </w:rPr>
      </w:pPr>
      <w:r>
        <w:rPr>
          <w:rFonts w:hint="eastAsia" w:ascii="宋体" w:hAnsi="宋体"/>
          <w:sz w:val="24"/>
        </w:rPr>
        <w:t>（</w:t>
      </w:r>
      <w:r>
        <w:rPr>
          <w:rFonts w:hint="eastAsia"/>
          <w:sz w:val="24"/>
        </w:rPr>
        <w:t>4</w:t>
      </w:r>
      <w:r>
        <w:rPr>
          <w:rFonts w:hint="eastAsia" w:ascii="宋体" w:hAnsi="宋体"/>
          <w:sz w:val="24"/>
        </w:rPr>
        <w:t>）山西省实施《中华人民共和国水土保持法》办法（</w:t>
      </w:r>
      <w:r>
        <w:rPr>
          <w:rFonts w:hint="eastAsia"/>
          <w:sz w:val="24"/>
        </w:rPr>
        <w:t>2015</w:t>
      </w:r>
      <w:r>
        <w:rPr>
          <w:rFonts w:hint="eastAsia" w:ascii="宋体" w:hAnsi="宋体"/>
          <w:sz w:val="24"/>
        </w:rPr>
        <w:t>年修订），</w:t>
      </w:r>
      <w:r>
        <w:rPr>
          <w:rFonts w:hint="eastAsia"/>
          <w:sz w:val="24"/>
        </w:rPr>
        <w:t>2015</w:t>
      </w:r>
      <w:r>
        <w:rPr>
          <w:rFonts w:hint="eastAsia" w:ascii="宋体" w:hAnsi="宋体"/>
          <w:sz w:val="24"/>
        </w:rPr>
        <w:t>年</w:t>
      </w:r>
      <w:r>
        <w:rPr>
          <w:rFonts w:hint="eastAsia"/>
          <w:sz w:val="24"/>
        </w:rPr>
        <w:t>7</w:t>
      </w:r>
      <w:r>
        <w:rPr>
          <w:rFonts w:hint="eastAsia" w:ascii="宋体" w:hAnsi="宋体"/>
          <w:sz w:val="24"/>
        </w:rPr>
        <w:t>月</w:t>
      </w:r>
      <w:r>
        <w:rPr>
          <w:rFonts w:hint="eastAsia"/>
          <w:sz w:val="24"/>
        </w:rPr>
        <w:t>30</w:t>
      </w:r>
      <w:r>
        <w:rPr>
          <w:rFonts w:hint="eastAsia" w:ascii="宋体" w:hAnsi="宋体"/>
          <w:sz w:val="24"/>
        </w:rPr>
        <w:t>日；</w:t>
      </w:r>
    </w:p>
    <w:p>
      <w:pPr>
        <w:autoSpaceDE w:val="0"/>
        <w:adjustRightInd w:val="0"/>
        <w:spacing w:line="500" w:lineRule="exact"/>
        <w:ind w:firstLine="480" w:firstLineChars="200"/>
        <w:textAlignment w:val="baseline"/>
        <w:rPr>
          <w:sz w:val="24"/>
        </w:rPr>
      </w:pPr>
      <w:r>
        <w:rPr>
          <w:rFonts w:hint="eastAsia" w:ascii="宋体" w:hAnsi="宋体"/>
          <w:sz w:val="24"/>
        </w:rPr>
        <w:t>（</w:t>
      </w:r>
      <w:r>
        <w:rPr>
          <w:rFonts w:hint="eastAsia"/>
          <w:sz w:val="24"/>
        </w:rPr>
        <w:t>5</w:t>
      </w:r>
      <w:r>
        <w:rPr>
          <w:rFonts w:hint="eastAsia" w:ascii="宋体" w:hAnsi="宋体"/>
          <w:sz w:val="24"/>
        </w:rPr>
        <w:t>）《关于印发全省城乡污水垃圾治理行动方案的通知》，</w:t>
      </w:r>
      <w:r>
        <w:rPr>
          <w:rFonts w:hint="eastAsia"/>
          <w:sz w:val="24"/>
        </w:rPr>
        <w:t>晋政办发（2017）96号，2017年8月17日；</w:t>
      </w:r>
    </w:p>
    <w:p>
      <w:pPr>
        <w:autoSpaceDE w:val="0"/>
        <w:adjustRightInd w:val="0"/>
        <w:spacing w:line="500" w:lineRule="exact"/>
        <w:ind w:firstLine="480" w:firstLineChars="200"/>
        <w:textAlignment w:val="baseline"/>
        <w:rPr>
          <w:rFonts w:ascii="宋体" w:hAnsi="宋体"/>
          <w:sz w:val="24"/>
        </w:rPr>
      </w:pPr>
      <w:r>
        <w:rPr>
          <w:rFonts w:hint="eastAsia" w:ascii="宋体" w:hAnsi="宋体"/>
          <w:sz w:val="24"/>
        </w:rPr>
        <w:t>（</w:t>
      </w:r>
      <w:r>
        <w:rPr>
          <w:rFonts w:hint="eastAsia"/>
          <w:sz w:val="24"/>
        </w:rPr>
        <w:t>6</w:t>
      </w:r>
      <w:r>
        <w:rPr>
          <w:rFonts w:hint="eastAsia" w:ascii="宋体" w:hAnsi="宋体"/>
          <w:sz w:val="24"/>
        </w:rPr>
        <w:t>）《山西省环境保护厅关于做好建设项目环境保护管理相关工作的通知》（山西省环境保护厅，晋环许可函</w:t>
      </w:r>
      <w:r>
        <w:rPr>
          <w:rFonts w:hint="eastAsia"/>
          <w:sz w:val="24"/>
        </w:rPr>
        <w:t>[2018]39</w:t>
      </w:r>
      <w:r>
        <w:rPr>
          <w:rFonts w:hint="eastAsia" w:ascii="宋体" w:hAnsi="宋体"/>
          <w:sz w:val="24"/>
        </w:rPr>
        <w:t>号，</w:t>
      </w:r>
      <w:r>
        <w:rPr>
          <w:rFonts w:hint="eastAsia"/>
          <w:sz w:val="24"/>
        </w:rPr>
        <w:t>2018</w:t>
      </w:r>
      <w:r>
        <w:rPr>
          <w:rFonts w:hint="eastAsia" w:ascii="宋体" w:hAnsi="宋体"/>
          <w:sz w:val="24"/>
        </w:rPr>
        <w:t>年</w:t>
      </w:r>
      <w:r>
        <w:rPr>
          <w:rFonts w:hint="eastAsia"/>
          <w:sz w:val="24"/>
        </w:rPr>
        <w:t>1</w:t>
      </w:r>
      <w:r>
        <w:rPr>
          <w:rFonts w:hint="eastAsia" w:ascii="宋体" w:hAnsi="宋体"/>
          <w:sz w:val="24"/>
        </w:rPr>
        <w:t>月</w:t>
      </w:r>
      <w:r>
        <w:rPr>
          <w:rFonts w:hint="eastAsia"/>
          <w:sz w:val="24"/>
        </w:rPr>
        <w:t>17</w:t>
      </w:r>
      <w:r>
        <w:rPr>
          <w:rFonts w:hint="eastAsia" w:ascii="宋体" w:hAnsi="宋体"/>
          <w:sz w:val="24"/>
        </w:rPr>
        <w:t>日）；</w:t>
      </w:r>
    </w:p>
    <w:p>
      <w:pPr>
        <w:adjustRightInd w:val="0"/>
        <w:snapToGrid w:val="0"/>
        <w:spacing w:line="500" w:lineRule="exact"/>
        <w:ind w:firstLine="480" w:firstLineChars="200"/>
        <w:rPr>
          <w:sz w:val="24"/>
        </w:rPr>
      </w:pPr>
      <w:r>
        <w:rPr>
          <w:rFonts w:hint="eastAsia"/>
          <w:sz w:val="24"/>
        </w:rPr>
        <w:t>（7）《山西省生态环境厅审批环境影响评价文件的建设项目目录（2019年本）》，2019年8月21日；</w:t>
      </w:r>
    </w:p>
    <w:p>
      <w:pPr>
        <w:adjustRightInd w:val="0"/>
        <w:snapToGrid w:val="0"/>
        <w:spacing w:line="500" w:lineRule="exact"/>
        <w:ind w:firstLine="480" w:firstLineChars="200"/>
        <w:rPr>
          <w:sz w:val="24"/>
        </w:rPr>
      </w:pPr>
      <w:r>
        <w:rPr>
          <w:rFonts w:hint="eastAsia"/>
          <w:sz w:val="24"/>
        </w:rPr>
        <w:t>（8）</w:t>
      </w:r>
      <w:r>
        <w:rPr>
          <w:sz w:val="24"/>
        </w:rPr>
        <w:t>《山西省“十四五”“两山七河一流域”生态保护和生态文明建设、生态经济发展规划》，山西省人民政府，</w:t>
      </w:r>
      <w:r>
        <w:rPr>
          <w:rFonts w:hint="eastAsia"/>
          <w:sz w:val="24"/>
        </w:rPr>
        <w:t>晋政发（2021）34号，</w:t>
      </w:r>
      <w:r>
        <w:rPr>
          <w:sz w:val="24"/>
        </w:rPr>
        <w:t>2021年</w:t>
      </w:r>
      <w:r>
        <w:rPr>
          <w:rFonts w:hint="eastAsia"/>
          <w:sz w:val="24"/>
        </w:rPr>
        <w:t>9</w:t>
      </w:r>
      <w:r>
        <w:rPr>
          <w:sz w:val="24"/>
        </w:rPr>
        <w:t>月</w:t>
      </w:r>
      <w:r>
        <w:rPr>
          <w:rFonts w:hint="eastAsia"/>
          <w:sz w:val="24"/>
        </w:rPr>
        <w:t>28</w:t>
      </w:r>
      <w:r>
        <w:rPr>
          <w:sz w:val="24"/>
        </w:rPr>
        <w:t>日；</w:t>
      </w:r>
    </w:p>
    <w:p>
      <w:pPr>
        <w:adjustRightInd w:val="0"/>
        <w:snapToGrid w:val="0"/>
        <w:spacing w:line="500" w:lineRule="exact"/>
        <w:ind w:firstLine="480" w:firstLineChars="200"/>
        <w:rPr>
          <w:sz w:val="24"/>
        </w:rPr>
      </w:pPr>
      <w:r>
        <w:rPr>
          <w:rFonts w:hint="eastAsia"/>
          <w:sz w:val="24"/>
        </w:rPr>
        <w:t>（9）《山西省人民政府办公厅关于印发我省2022-2023年水环境、空气质量再提升和土壤、地下水污染防治行动计划的通知》，晋政办发〔2022〕95号，2022年12月1日；</w:t>
      </w:r>
    </w:p>
    <w:p>
      <w:pPr>
        <w:adjustRightInd w:val="0"/>
        <w:snapToGrid w:val="0"/>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（10）《关于印发</w:t>
      </w: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山西省“十四五”生态环境保护规划</w:t>
      </w:r>
      <w:r>
        <w:rPr>
          <w:rFonts w:hint="eastAsia" w:ascii="宋体" w:hAnsi="宋体"/>
          <w:color w:val="000000" w:themeColor="text1"/>
          <w:sz w:val="24"/>
          <w14:textFill>
            <w14:solidFill>
              <w14:schemeClr w14:val="tx1"/>
            </w14:solidFill>
          </w14:textFill>
        </w:rPr>
        <w:t>〉的通知</w:t>
      </w:r>
      <w:r>
        <w:rPr>
          <w:rFonts w:hint="eastAsia"/>
          <w:color w:val="000000" w:themeColor="text1"/>
          <w:sz w:val="24"/>
          <w14:textFill>
            <w14:solidFill>
              <w14:schemeClr w14:val="tx1"/>
            </w14:solidFill>
          </w14:textFill>
        </w:rPr>
        <w:t>》，山西省生态环境厅，山西省发展和改革委员会，2022年3月8日；</w:t>
      </w:r>
    </w:p>
    <w:p>
      <w:pPr>
        <w:adjustRightInd w:val="0"/>
        <w:snapToGrid w:val="0"/>
        <w:spacing w:line="500" w:lineRule="exact"/>
        <w:ind w:firstLine="480" w:firstLineChars="200"/>
      </w:pPr>
      <w:r>
        <w:rPr>
          <w:rFonts w:hint="eastAsia"/>
          <w:color w:val="000000" w:themeColor="text1"/>
          <w:sz w:val="24"/>
          <w14:textFill>
            <w14:solidFill>
              <w14:schemeClr w14:val="tx1"/>
            </w14:solidFill>
          </w14:textFill>
        </w:rPr>
        <w:t>（11）《山西省地表水水环境功能区划》（DB14/67-2019）</w:t>
      </w:r>
      <w:r>
        <w:rPr>
          <w:rFonts w:hint="eastAsia"/>
          <w:sz w:val="24"/>
        </w:rPr>
        <w:t>，2019年11月1日实施；</w:t>
      </w:r>
    </w:p>
    <w:p>
      <w:pPr>
        <w:adjustRightInd w:val="0"/>
        <w:snapToGrid w:val="0"/>
        <w:spacing w:line="500" w:lineRule="exact"/>
        <w:ind w:firstLine="480" w:firstLineChars="200"/>
        <w:rPr>
          <w:sz w:val="24"/>
        </w:rPr>
      </w:pPr>
      <w:r>
        <w:rPr>
          <w:rFonts w:hint="eastAsia"/>
          <w:sz w:val="24"/>
        </w:rPr>
        <w:t>（12）《关于印发</w:t>
      </w:r>
      <w:r>
        <w:rPr>
          <w:rFonts w:hint="eastAsia" w:ascii="宋体" w:hAnsi="宋体"/>
          <w:sz w:val="24"/>
        </w:rPr>
        <w:t>〈</w:t>
      </w:r>
      <w:r>
        <w:rPr>
          <w:rFonts w:hint="eastAsia"/>
          <w:sz w:val="24"/>
        </w:rPr>
        <w:t>建设项目主要污染物排放总量指标核定暂行办法</w:t>
      </w:r>
      <w:r>
        <w:rPr>
          <w:rFonts w:hint="eastAsia" w:ascii="宋体" w:hAnsi="宋体"/>
          <w:sz w:val="24"/>
        </w:rPr>
        <w:t>〉</w:t>
      </w:r>
      <w:r>
        <w:rPr>
          <w:rFonts w:hint="eastAsia"/>
          <w:sz w:val="24"/>
        </w:rPr>
        <w:t>的通知》，山西省生态环境厅，晋环规〔2023〕1号，2023年1月17日；</w:t>
      </w:r>
    </w:p>
    <w:p>
      <w:pPr>
        <w:adjustRightInd w:val="0"/>
        <w:snapToGrid w:val="0"/>
        <w:spacing w:line="500" w:lineRule="exact"/>
        <w:ind w:firstLine="480" w:firstLineChars="200"/>
        <w:rPr>
          <w:sz w:val="24"/>
        </w:rPr>
      </w:pPr>
      <w:r>
        <w:rPr>
          <w:rFonts w:hint="eastAsia"/>
          <w:sz w:val="24"/>
        </w:rPr>
        <w:t>（13）《山西省主体功能区划》，晋政发（2014）9号，2014年3月17日；</w:t>
      </w:r>
    </w:p>
    <w:p>
      <w:pPr>
        <w:pStyle w:val="11"/>
        <w:spacing w:after="0" w:line="500" w:lineRule="exact"/>
        <w:rPr>
          <w:rFonts w:eastAsia="宋体"/>
          <w:kern w:val="2"/>
          <w:szCs w:val="24"/>
        </w:rPr>
      </w:pPr>
      <w:r>
        <w:rPr>
          <w:rFonts w:hint="eastAsia" w:eastAsia="宋体"/>
          <w:kern w:val="2"/>
          <w:szCs w:val="24"/>
        </w:rPr>
        <w:t>（14）《关于紧盯空气质量改善开展四大专项行动的通知》，长治市大气污染防治工作领导组办公室，长气防办</w:t>
      </w:r>
      <w:r>
        <w:rPr>
          <w:rFonts w:hint="eastAsia" w:eastAsia="宋体"/>
          <w:szCs w:val="24"/>
        </w:rPr>
        <w:t>〔2022〕</w:t>
      </w:r>
      <w:r>
        <w:rPr>
          <w:rFonts w:hint="eastAsia" w:eastAsia="宋体"/>
          <w:kern w:val="2"/>
          <w:szCs w:val="24"/>
        </w:rPr>
        <w:t>7号，2022年4月27日；</w:t>
      </w:r>
    </w:p>
    <w:p>
      <w:pPr>
        <w:pStyle w:val="2"/>
        <w:spacing w:line="500" w:lineRule="exact"/>
        <w:ind w:firstLine="480" w:firstLineChars="200"/>
        <w:rPr>
          <w:rFonts w:ascii="Times New Roman" w:hAnsi="Times New Roman" w:cs="Times New Roman"/>
          <w:color w:val="auto"/>
          <w:kern w:val="2"/>
        </w:rPr>
      </w:pPr>
      <w:r>
        <w:rPr>
          <w:rFonts w:hint="eastAsia" w:ascii="Times New Roman" w:hAnsi="Times New Roman" w:cs="Times New Roman"/>
          <w:color w:val="auto"/>
          <w:kern w:val="2"/>
        </w:rPr>
        <w:t>（15）《长治市人民政府</w:t>
      </w:r>
      <w:r>
        <w:rPr>
          <w:rFonts w:hint="eastAsia"/>
          <w:color w:val="auto"/>
        </w:rPr>
        <w:t>关于印发长治市“三线一单”生态环境分区管控实施方案的通知》，长</w:t>
      </w:r>
      <w:r>
        <w:rPr>
          <w:rFonts w:hint="eastAsia" w:ascii="Times New Roman" w:hAnsi="Times New Roman" w:cs="Times New Roman"/>
          <w:color w:val="auto"/>
          <w:kern w:val="2"/>
        </w:rPr>
        <w:t>政发〔2021〕21号，2021年7月1日。</w:t>
      </w:r>
    </w:p>
    <w:p>
      <w:pPr>
        <w:pStyle w:val="6"/>
      </w:pPr>
      <w:r>
        <w:t>2.1.</w:t>
      </w:r>
      <w:r>
        <w:rPr>
          <w:rFonts w:hint="eastAsia"/>
        </w:rPr>
        <w:t>6</w:t>
      </w:r>
      <w:r>
        <w:t xml:space="preserve"> 技术</w:t>
      </w:r>
      <w:bookmarkEnd w:id="50"/>
      <w:bookmarkEnd w:id="51"/>
      <w:bookmarkEnd w:id="52"/>
      <w:bookmarkEnd w:id="53"/>
      <w:bookmarkEnd w:id="54"/>
      <w:bookmarkEnd w:id="55"/>
      <w:bookmarkEnd w:id="56"/>
      <w:bookmarkEnd w:id="57"/>
      <w:bookmarkEnd w:id="58"/>
      <w:r>
        <w:rPr>
          <w:rFonts w:hint="eastAsia"/>
        </w:rPr>
        <w:t>导则与规范</w:t>
      </w:r>
    </w:p>
    <w:p>
      <w:pPr>
        <w:widowControl/>
        <w:spacing w:line="500" w:lineRule="exact"/>
        <w:ind w:firstLine="480" w:firstLineChars="200"/>
        <w:jc w:val="left"/>
        <w:rPr>
          <w:sz w:val="24"/>
        </w:rPr>
      </w:pPr>
      <w:r>
        <w:rPr>
          <w:sz w:val="24"/>
        </w:rPr>
        <w:t>（1）《</w:t>
      </w:r>
      <w:r>
        <w:rPr>
          <w:rFonts w:hint="eastAsia"/>
          <w:sz w:val="24"/>
        </w:rPr>
        <w:t>建设项目环境影响评价技术导则</w:t>
      </w:r>
      <w:r>
        <w:rPr>
          <w:sz w:val="24"/>
        </w:rPr>
        <w:t xml:space="preserve">  总纲》</w:t>
      </w:r>
      <w:r>
        <w:rPr>
          <w:rFonts w:hint="eastAsia"/>
          <w:sz w:val="24"/>
        </w:rPr>
        <w:t>（HJ2.1-2016）</w:t>
      </w:r>
      <w:r>
        <w:rPr>
          <w:sz w:val="24"/>
        </w:rPr>
        <w:t>；</w:t>
      </w:r>
    </w:p>
    <w:p>
      <w:pPr>
        <w:widowControl/>
        <w:spacing w:line="500" w:lineRule="exact"/>
        <w:ind w:firstLine="480" w:firstLineChars="200"/>
        <w:jc w:val="left"/>
        <w:rPr>
          <w:sz w:val="24"/>
        </w:rPr>
      </w:pPr>
      <w:r>
        <w:rPr>
          <w:sz w:val="24"/>
        </w:rPr>
        <w:t>（2）《环境影响评价技术导则  大气环境》（HJ2.2-20</w:t>
      </w:r>
      <w:r>
        <w:rPr>
          <w:rFonts w:hint="eastAsia"/>
          <w:sz w:val="24"/>
        </w:rPr>
        <w:t>1</w:t>
      </w:r>
      <w:r>
        <w:rPr>
          <w:sz w:val="24"/>
        </w:rPr>
        <w:t>8）</w:t>
      </w:r>
      <w:r>
        <w:rPr>
          <w:rFonts w:hint="eastAsia"/>
          <w:sz w:val="24"/>
        </w:rPr>
        <w:t>；</w:t>
      </w:r>
    </w:p>
    <w:p>
      <w:pPr>
        <w:widowControl/>
        <w:spacing w:line="500" w:lineRule="exact"/>
        <w:ind w:firstLine="480" w:firstLineChars="200"/>
        <w:jc w:val="left"/>
        <w:rPr>
          <w:sz w:val="24"/>
        </w:rPr>
      </w:pPr>
      <w:r>
        <w:rPr>
          <w:sz w:val="24"/>
        </w:rPr>
        <w:t>（3）</w:t>
      </w:r>
      <w:r>
        <w:rPr>
          <w:rFonts w:hint="eastAsia"/>
          <w:sz w:val="24"/>
        </w:rPr>
        <w:t>《环境影响评价技术导则  地面水环境》（HJ2.3-2018）</w:t>
      </w:r>
      <w:r>
        <w:rPr>
          <w:sz w:val="24"/>
        </w:rPr>
        <w:t>；</w:t>
      </w:r>
    </w:p>
    <w:p>
      <w:pPr>
        <w:widowControl/>
        <w:spacing w:line="500" w:lineRule="exact"/>
        <w:ind w:firstLine="480" w:firstLineChars="200"/>
        <w:jc w:val="left"/>
        <w:rPr>
          <w:sz w:val="24"/>
        </w:rPr>
      </w:pPr>
      <w:r>
        <w:rPr>
          <w:sz w:val="24"/>
        </w:rPr>
        <w:t>（4）《环境影响评价技术导则  地下水环境》（HJ610-2016）；</w:t>
      </w:r>
    </w:p>
    <w:p>
      <w:pPr>
        <w:widowControl/>
        <w:spacing w:line="500" w:lineRule="exact"/>
        <w:ind w:firstLine="480" w:firstLineChars="200"/>
        <w:jc w:val="left"/>
        <w:rPr>
          <w:sz w:val="24"/>
        </w:rPr>
      </w:pPr>
      <w:r>
        <w:rPr>
          <w:sz w:val="24"/>
        </w:rPr>
        <w:t>（5）《环境影响评价技术导则  声环境》（HJ2.4-20</w:t>
      </w:r>
      <w:r>
        <w:rPr>
          <w:rFonts w:hint="eastAsia"/>
          <w:sz w:val="24"/>
        </w:rPr>
        <w:t>21</w:t>
      </w:r>
      <w:r>
        <w:rPr>
          <w:sz w:val="24"/>
        </w:rPr>
        <w:t>）；</w:t>
      </w:r>
    </w:p>
    <w:p>
      <w:pPr>
        <w:widowControl/>
        <w:spacing w:line="500" w:lineRule="exact"/>
        <w:ind w:firstLine="480" w:firstLineChars="200"/>
        <w:jc w:val="left"/>
        <w:rPr>
          <w:sz w:val="24"/>
        </w:rPr>
      </w:pPr>
      <w:r>
        <w:rPr>
          <w:sz w:val="24"/>
        </w:rPr>
        <w:t>（6）《环境影响评价技术导则  生态影响》（HJ19-20</w:t>
      </w:r>
      <w:r>
        <w:rPr>
          <w:rFonts w:hint="eastAsia"/>
          <w:sz w:val="24"/>
        </w:rPr>
        <w:t>22</w:t>
      </w:r>
      <w:r>
        <w:rPr>
          <w:sz w:val="24"/>
        </w:rPr>
        <w:t>）；</w:t>
      </w:r>
    </w:p>
    <w:p>
      <w:pPr>
        <w:spacing w:line="500" w:lineRule="exact"/>
        <w:ind w:firstLine="480" w:firstLineChars="200"/>
        <w:rPr>
          <w:sz w:val="24"/>
        </w:rPr>
      </w:pPr>
      <w:r>
        <w:rPr>
          <w:sz w:val="24"/>
        </w:rPr>
        <w:t>（</w:t>
      </w:r>
      <w:r>
        <w:rPr>
          <w:rFonts w:hint="eastAsia"/>
          <w:sz w:val="24"/>
        </w:rPr>
        <w:t>7</w:t>
      </w:r>
      <w:r>
        <w:rPr>
          <w:sz w:val="24"/>
        </w:rPr>
        <w:t>）</w:t>
      </w:r>
      <w:r>
        <w:rPr>
          <w:rFonts w:hint="eastAsia"/>
          <w:sz w:val="24"/>
        </w:rPr>
        <w:t>《环境影响评价技术导则 土壤环境（试行）》（HJ964-2018）；</w:t>
      </w:r>
    </w:p>
    <w:p>
      <w:pPr>
        <w:adjustRightInd w:val="0"/>
        <w:snapToGrid w:val="0"/>
        <w:spacing w:line="500" w:lineRule="exact"/>
        <w:ind w:firstLine="480" w:firstLineChars="200"/>
        <w:rPr>
          <w:sz w:val="24"/>
        </w:rPr>
      </w:pPr>
      <w:r>
        <w:rPr>
          <w:sz w:val="24"/>
        </w:rPr>
        <w:t>（</w:t>
      </w:r>
      <w:r>
        <w:rPr>
          <w:rFonts w:hint="eastAsia"/>
          <w:sz w:val="24"/>
        </w:rPr>
        <w:t>8</w:t>
      </w:r>
      <w:r>
        <w:rPr>
          <w:sz w:val="24"/>
        </w:rPr>
        <w:t>）</w:t>
      </w:r>
      <w:r>
        <w:rPr>
          <w:rFonts w:hint="eastAsia"/>
          <w:kern w:val="24"/>
          <w:sz w:val="24"/>
        </w:rPr>
        <w:t>《建设项目环境风险评价技术导则》（HJ169-2018）</w:t>
      </w:r>
    </w:p>
    <w:p>
      <w:pPr>
        <w:adjustRightInd w:val="0"/>
        <w:snapToGrid w:val="0"/>
        <w:spacing w:line="500" w:lineRule="exact"/>
        <w:ind w:firstLine="480" w:firstLineChars="200"/>
        <w:rPr>
          <w:sz w:val="24"/>
        </w:rPr>
      </w:pPr>
      <w:r>
        <w:rPr>
          <w:rFonts w:hint="eastAsia"/>
          <w:sz w:val="24"/>
        </w:rPr>
        <w:t>（9）《生活垃圾填埋场污染控制标准》(GB16889-2008)；</w:t>
      </w:r>
    </w:p>
    <w:p>
      <w:pPr>
        <w:adjustRightInd w:val="0"/>
        <w:snapToGrid w:val="0"/>
        <w:spacing w:line="500" w:lineRule="exact"/>
        <w:ind w:firstLine="480" w:firstLineChars="200"/>
        <w:rPr>
          <w:sz w:val="24"/>
        </w:rPr>
      </w:pPr>
      <w:r>
        <w:rPr>
          <w:rFonts w:hint="eastAsia"/>
          <w:sz w:val="24"/>
        </w:rPr>
        <w:t>（10）《生活垃圾卫生填埋处理技术规范》(GB50869-2013)；</w:t>
      </w:r>
    </w:p>
    <w:p>
      <w:pPr>
        <w:adjustRightInd w:val="0"/>
        <w:snapToGrid w:val="0"/>
        <w:spacing w:line="500" w:lineRule="exact"/>
        <w:ind w:firstLine="480" w:firstLineChars="200"/>
        <w:rPr>
          <w:sz w:val="24"/>
        </w:rPr>
      </w:pPr>
      <w:r>
        <w:rPr>
          <w:rFonts w:hint="eastAsia"/>
          <w:sz w:val="24"/>
        </w:rPr>
        <w:t>（11）《生活垃圾填埋场封场技术规范》(GB51220-2017)；</w:t>
      </w:r>
    </w:p>
    <w:p>
      <w:pPr>
        <w:adjustRightInd w:val="0"/>
        <w:snapToGrid w:val="0"/>
        <w:spacing w:line="500" w:lineRule="exact"/>
        <w:ind w:firstLine="480" w:firstLineChars="200"/>
        <w:rPr>
          <w:sz w:val="24"/>
        </w:rPr>
      </w:pPr>
      <w:r>
        <w:rPr>
          <w:rFonts w:hint="eastAsia"/>
          <w:sz w:val="24"/>
        </w:rPr>
        <w:t>（12）《生活垃圾卫生填埋场环境监测技术要求》(GB/T18772-2020)。</w:t>
      </w:r>
    </w:p>
    <w:p>
      <w:pPr>
        <w:pStyle w:val="6"/>
      </w:pPr>
      <w:bookmarkStart w:id="59" w:name="_Toc317512247"/>
      <w:bookmarkStart w:id="60" w:name="_Toc318103754"/>
      <w:bookmarkStart w:id="61" w:name="_Toc320290910"/>
      <w:bookmarkStart w:id="62" w:name="_Toc267583709"/>
      <w:bookmarkStart w:id="63" w:name="_Toc193795606"/>
      <w:bookmarkStart w:id="64" w:name="_Toc187052931"/>
      <w:bookmarkStart w:id="65" w:name="_Toc267301225"/>
      <w:bookmarkStart w:id="66" w:name="_Toc193795242"/>
      <w:bookmarkStart w:id="67" w:name="_Toc187052552"/>
      <w:bookmarkStart w:id="68" w:name="_Toc267582871"/>
      <w:bookmarkStart w:id="69" w:name="_Toc268624283"/>
      <w:bookmarkStart w:id="70" w:name="_Toc187052175"/>
      <w:r>
        <w:t>2.1.</w:t>
      </w:r>
      <w:r>
        <w:rPr>
          <w:rFonts w:hint="eastAsia"/>
        </w:rPr>
        <w:t>7相关</w:t>
      </w:r>
      <w:r>
        <w:t>规划</w:t>
      </w:r>
      <w:bookmarkEnd w:id="59"/>
      <w:bookmarkEnd w:id="60"/>
      <w:bookmarkEnd w:id="61"/>
    </w:p>
    <w:p>
      <w:pPr>
        <w:widowControl/>
        <w:spacing w:line="500" w:lineRule="exact"/>
        <w:ind w:firstLine="480" w:firstLineChars="200"/>
        <w:jc w:val="left"/>
        <w:rPr>
          <w:sz w:val="24"/>
          <w:lang w:val="zh-CN"/>
        </w:rPr>
      </w:pPr>
      <w:r>
        <w:rPr>
          <w:sz w:val="24"/>
          <w:lang w:val="zh-CN"/>
        </w:rPr>
        <w:t>（</w:t>
      </w:r>
      <w:r>
        <w:rPr>
          <w:sz w:val="24"/>
        </w:rPr>
        <w:t>1</w:t>
      </w:r>
      <w:r>
        <w:rPr>
          <w:sz w:val="24"/>
          <w:lang w:val="zh-CN"/>
        </w:rPr>
        <w:t>）《壶关县城总体规划》（20</w:t>
      </w:r>
      <w:r>
        <w:rPr>
          <w:sz w:val="24"/>
        </w:rPr>
        <w:t>11</w:t>
      </w:r>
      <w:r>
        <w:rPr>
          <w:sz w:val="24"/>
          <w:lang w:val="zh-CN"/>
        </w:rPr>
        <w:t>-2030）；</w:t>
      </w:r>
    </w:p>
    <w:p>
      <w:pPr>
        <w:widowControl/>
        <w:spacing w:line="500" w:lineRule="exact"/>
        <w:ind w:firstLine="480" w:firstLineChars="200"/>
        <w:jc w:val="left"/>
        <w:rPr>
          <w:sz w:val="24"/>
        </w:rPr>
      </w:pPr>
      <w:r>
        <w:rPr>
          <w:sz w:val="24"/>
        </w:rPr>
        <w:t>（2）《</w:t>
      </w:r>
      <w:r>
        <w:rPr>
          <w:sz w:val="24"/>
          <w:lang w:val="zh-CN"/>
        </w:rPr>
        <w:t>壶关县</w:t>
      </w:r>
      <w:r>
        <w:rPr>
          <w:sz w:val="24"/>
        </w:rPr>
        <w:t>生态功能区划》；</w:t>
      </w:r>
    </w:p>
    <w:p>
      <w:pPr>
        <w:widowControl/>
        <w:spacing w:line="500" w:lineRule="exact"/>
        <w:ind w:firstLine="480" w:firstLineChars="200"/>
        <w:jc w:val="left"/>
        <w:rPr>
          <w:sz w:val="24"/>
        </w:rPr>
      </w:pPr>
      <w:r>
        <w:rPr>
          <w:sz w:val="24"/>
        </w:rPr>
        <w:t>（3）《</w:t>
      </w:r>
      <w:r>
        <w:rPr>
          <w:sz w:val="24"/>
          <w:lang w:val="zh-CN"/>
        </w:rPr>
        <w:t>壶关县</w:t>
      </w:r>
      <w:r>
        <w:rPr>
          <w:sz w:val="24"/>
        </w:rPr>
        <w:t>生态经济区划》。</w:t>
      </w:r>
    </w:p>
    <w:p>
      <w:pPr>
        <w:pStyle w:val="6"/>
      </w:pPr>
      <w:r>
        <w:t>2.1.</w:t>
      </w:r>
      <w:r>
        <w:rPr>
          <w:rFonts w:hint="eastAsia"/>
        </w:rPr>
        <w:t xml:space="preserve">8 </w:t>
      </w:r>
      <w:bookmarkEnd w:id="62"/>
      <w:bookmarkEnd w:id="63"/>
      <w:bookmarkEnd w:id="64"/>
      <w:bookmarkEnd w:id="65"/>
      <w:bookmarkEnd w:id="66"/>
      <w:bookmarkEnd w:id="67"/>
      <w:bookmarkEnd w:id="68"/>
      <w:bookmarkEnd w:id="69"/>
      <w:bookmarkEnd w:id="70"/>
      <w:r>
        <w:rPr>
          <w:rFonts w:hint="eastAsia"/>
        </w:rPr>
        <w:t>项目技术资料</w:t>
      </w:r>
    </w:p>
    <w:p>
      <w:pPr>
        <w:adjustRightInd w:val="0"/>
        <w:snapToGrid w:val="0"/>
        <w:spacing w:line="500" w:lineRule="exact"/>
        <w:ind w:firstLine="480" w:firstLineChars="200"/>
        <w:rPr>
          <w:sz w:val="24"/>
        </w:rPr>
      </w:pPr>
      <w:r>
        <w:rPr>
          <w:sz w:val="24"/>
        </w:rPr>
        <w:t>（</w:t>
      </w:r>
      <w:r>
        <w:rPr>
          <w:rFonts w:hint="eastAsia"/>
          <w:sz w:val="24"/>
        </w:rPr>
        <w:t>1</w:t>
      </w:r>
      <w:r>
        <w:rPr>
          <w:sz w:val="24"/>
        </w:rPr>
        <w:t>）</w:t>
      </w:r>
      <w:r>
        <w:rPr>
          <w:rFonts w:hint="eastAsia"/>
          <w:spacing w:val="4"/>
          <w:sz w:val="24"/>
        </w:rPr>
        <w:t>项目可行性研究报告</w:t>
      </w:r>
      <w:r>
        <w:rPr>
          <w:spacing w:val="4"/>
          <w:sz w:val="24"/>
        </w:rPr>
        <w:t>，</w:t>
      </w:r>
      <w:r>
        <w:rPr>
          <w:rFonts w:hint="eastAsia"/>
          <w:sz w:val="24"/>
        </w:rPr>
        <w:t>晋城市工程咨询中心，2017年12月；</w:t>
      </w:r>
    </w:p>
    <w:p>
      <w:pPr>
        <w:adjustRightInd w:val="0"/>
        <w:snapToGrid w:val="0"/>
        <w:spacing w:line="500" w:lineRule="exact"/>
        <w:ind w:firstLine="480" w:firstLineChars="200"/>
        <w:rPr>
          <w:sz w:val="24"/>
        </w:rPr>
      </w:pPr>
      <w:r>
        <w:rPr>
          <w:sz w:val="24"/>
        </w:rPr>
        <w:t>（</w:t>
      </w:r>
      <w:r>
        <w:rPr>
          <w:rFonts w:hint="eastAsia"/>
          <w:sz w:val="24"/>
        </w:rPr>
        <w:t>2</w:t>
      </w:r>
      <w:r>
        <w:rPr>
          <w:sz w:val="24"/>
        </w:rPr>
        <w:t>）</w:t>
      </w:r>
      <w:r>
        <w:rPr>
          <w:rFonts w:hint="eastAsia"/>
          <w:sz w:val="24"/>
        </w:rPr>
        <w:t>项目场地岩土工程勘察报告，山西裕宏岩土工程勘察检测有限公司，2018年1月；</w:t>
      </w:r>
    </w:p>
    <w:p>
      <w:pPr>
        <w:adjustRightInd w:val="0"/>
        <w:snapToGrid w:val="0"/>
        <w:spacing w:line="500" w:lineRule="exact"/>
        <w:ind w:firstLine="480" w:firstLineChars="200"/>
        <w:rPr>
          <w:sz w:val="24"/>
        </w:rPr>
      </w:pPr>
      <w:r>
        <w:rPr>
          <w:sz w:val="24"/>
        </w:rPr>
        <w:t>（</w:t>
      </w:r>
      <w:r>
        <w:rPr>
          <w:rFonts w:hint="eastAsia"/>
          <w:sz w:val="24"/>
        </w:rPr>
        <w:t>3</w:t>
      </w:r>
      <w:r>
        <w:rPr>
          <w:sz w:val="24"/>
        </w:rPr>
        <w:t>）</w:t>
      </w:r>
      <w:r>
        <w:rPr>
          <w:rFonts w:hint="eastAsia"/>
          <w:spacing w:val="4"/>
          <w:sz w:val="24"/>
        </w:rPr>
        <w:t>项目初步设计</w:t>
      </w:r>
      <w:r>
        <w:rPr>
          <w:spacing w:val="4"/>
          <w:sz w:val="24"/>
        </w:rPr>
        <w:t>，</w:t>
      </w:r>
      <w:r>
        <w:rPr>
          <w:rFonts w:hint="eastAsia"/>
          <w:sz w:val="24"/>
        </w:rPr>
        <w:t>容海川城乡规划设计有限公司，2018年8月；</w:t>
      </w:r>
    </w:p>
    <w:p>
      <w:pPr>
        <w:spacing w:line="500" w:lineRule="exact"/>
        <w:ind w:firstLine="480" w:firstLineChars="200"/>
        <w:rPr>
          <w:spacing w:val="4"/>
          <w:sz w:val="24"/>
        </w:rPr>
      </w:pPr>
      <w:r>
        <w:rPr>
          <w:sz w:val="24"/>
        </w:rPr>
        <w:t>（</w:t>
      </w:r>
      <w:r>
        <w:rPr>
          <w:rFonts w:hint="eastAsia"/>
          <w:sz w:val="24"/>
        </w:rPr>
        <w:t>4</w:t>
      </w:r>
      <w:r>
        <w:rPr>
          <w:sz w:val="24"/>
        </w:rPr>
        <w:t>）</w:t>
      </w:r>
      <w:r>
        <w:rPr>
          <w:rFonts w:hint="eastAsia"/>
          <w:sz w:val="24"/>
        </w:rPr>
        <w:t>建设单位提供的其他资料。</w:t>
      </w:r>
    </w:p>
    <w:p>
      <w:pPr>
        <w:pStyle w:val="5"/>
        <w:spacing w:beforeLines="0" w:after="120" w:line="500" w:lineRule="exact"/>
        <w:rPr>
          <w:rFonts w:eastAsia="宋体"/>
          <w:b/>
          <w:bCs w:val="0"/>
          <w:color w:val="auto"/>
          <w:szCs w:val="30"/>
        </w:rPr>
      </w:pPr>
      <w:bookmarkStart w:id="71" w:name="_Toc30297"/>
      <w:bookmarkStart w:id="72" w:name="_Toc1365227076"/>
      <w:r>
        <w:rPr>
          <w:rFonts w:eastAsia="宋体"/>
          <w:b/>
          <w:bCs w:val="0"/>
          <w:color w:val="auto"/>
          <w:szCs w:val="30"/>
        </w:rPr>
        <w:t xml:space="preserve">2.2 </w:t>
      </w:r>
      <w:bookmarkEnd w:id="71"/>
      <w:r>
        <w:rPr>
          <w:rFonts w:eastAsia="宋体"/>
          <w:b/>
          <w:bCs w:val="0"/>
          <w:color w:val="auto"/>
          <w:szCs w:val="30"/>
        </w:rPr>
        <w:t>环境影响识别与评价因子筛选</w:t>
      </w:r>
      <w:bookmarkEnd w:id="72"/>
    </w:p>
    <w:p>
      <w:pPr>
        <w:pStyle w:val="6"/>
      </w:pPr>
      <w:r>
        <w:t>2.2.1环境影响因子识别</w:t>
      </w:r>
    </w:p>
    <w:p>
      <w:pPr>
        <w:adjustRightInd w:val="0"/>
        <w:snapToGrid w:val="0"/>
        <w:spacing w:line="500" w:lineRule="exact"/>
        <w:ind w:firstLine="480" w:firstLineChars="200"/>
        <w:rPr>
          <w:sz w:val="24"/>
        </w:rPr>
      </w:pPr>
      <w:r>
        <w:rPr>
          <w:sz w:val="24"/>
        </w:rPr>
        <w:t>本项目</w:t>
      </w:r>
      <w:r>
        <w:rPr>
          <w:rFonts w:hint="eastAsia"/>
          <w:sz w:val="24"/>
        </w:rPr>
        <w:t>已建成投运，施工期已结束，施工遗留问题主要为场内西南角堆存的库区开挖等产生的弃土堆。项目运营过程中环境</w:t>
      </w:r>
      <w:r>
        <w:rPr>
          <w:sz w:val="24"/>
        </w:rPr>
        <w:t>影响因素主要为</w:t>
      </w:r>
      <w:r>
        <w:rPr>
          <w:rFonts w:hint="eastAsia"/>
          <w:sz w:val="24"/>
        </w:rPr>
        <w:t>生活垃圾压实后垃圾中有机物发酵产生的有害气体及渗滤液，其次是垃圾运输、填埋作业等产生的扬尘，垃圾压实等作业设备产生的噪声。服务期满后，填埋气是主要污染源，它仍将持续产生10～15年。</w:t>
      </w:r>
      <w:r>
        <w:rPr>
          <w:sz w:val="24"/>
        </w:rPr>
        <w:t>项目环境影响因子识别情况详见下表。</w:t>
      </w:r>
    </w:p>
    <w:p>
      <w:pPr>
        <w:adjustRightInd w:val="0"/>
        <w:snapToGrid w:val="0"/>
        <w:spacing w:line="500" w:lineRule="exact"/>
        <w:ind w:firstLine="482" w:firstLineChars="200"/>
        <w:jc w:val="center"/>
        <w:rPr>
          <w:b/>
          <w:sz w:val="24"/>
        </w:rPr>
      </w:pPr>
    </w:p>
    <w:p>
      <w:pPr>
        <w:adjustRightInd w:val="0"/>
        <w:snapToGrid w:val="0"/>
        <w:spacing w:line="500" w:lineRule="exact"/>
        <w:ind w:firstLine="482" w:firstLineChars="200"/>
        <w:jc w:val="center"/>
        <w:rPr>
          <w:b/>
          <w:sz w:val="24"/>
        </w:rPr>
      </w:pPr>
    </w:p>
    <w:p>
      <w:pPr>
        <w:adjustRightInd w:val="0"/>
        <w:snapToGrid w:val="0"/>
        <w:spacing w:line="500" w:lineRule="exact"/>
        <w:ind w:firstLine="482" w:firstLineChars="200"/>
        <w:jc w:val="center"/>
        <w:rPr>
          <w:b/>
          <w:sz w:val="24"/>
        </w:rPr>
      </w:pPr>
    </w:p>
    <w:p>
      <w:pPr>
        <w:adjustRightInd w:val="0"/>
        <w:snapToGrid w:val="0"/>
        <w:spacing w:line="500" w:lineRule="exact"/>
        <w:ind w:firstLine="482" w:firstLineChars="200"/>
        <w:jc w:val="center"/>
        <w:rPr>
          <w:b/>
          <w:sz w:val="24"/>
        </w:rPr>
      </w:pPr>
    </w:p>
    <w:p>
      <w:pPr>
        <w:adjustRightInd w:val="0"/>
        <w:snapToGrid w:val="0"/>
        <w:spacing w:line="500" w:lineRule="exact"/>
        <w:ind w:firstLine="482" w:firstLineChars="200"/>
        <w:jc w:val="center"/>
        <w:rPr>
          <w:b/>
          <w:sz w:val="24"/>
        </w:rPr>
      </w:pPr>
    </w:p>
    <w:p>
      <w:pPr>
        <w:adjustRightInd w:val="0"/>
        <w:snapToGrid w:val="0"/>
        <w:spacing w:line="500" w:lineRule="exact"/>
        <w:ind w:firstLine="482" w:firstLineChars="200"/>
        <w:jc w:val="center"/>
        <w:rPr>
          <w:b/>
          <w:sz w:val="24"/>
        </w:rPr>
      </w:pPr>
      <w:r>
        <w:rPr>
          <w:rFonts w:hint="eastAsia"/>
          <w:b/>
          <w:sz w:val="24"/>
        </w:rPr>
        <w:t>表2.2</w:t>
      </w:r>
      <w:r>
        <w:rPr>
          <w:b/>
          <w:sz w:val="24"/>
        </w:rPr>
        <w:t>-</w:t>
      </w:r>
      <w:r>
        <w:rPr>
          <w:rFonts w:hint="eastAsia"/>
          <w:b/>
          <w:sz w:val="24"/>
        </w:rPr>
        <w:t>1项目工程环境影响因子识别表</w:t>
      </w:r>
    </w:p>
    <w:tbl>
      <w:tblPr>
        <w:tblStyle w:val="29"/>
        <w:tblW w:w="92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8"/>
        <w:gridCol w:w="973"/>
        <w:gridCol w:w="642"/>
        <w:gridCol w:w="642"/>
        <w:gridCol w:w="642"/>
        <w:gridCol w:w="642"/>
        <w:gridCol w:w="643"/>
        <w:gridCol w:w="643"/>
        <w:gridCol w:w="643"/>
        <w:gridCol w:w="643"/>
        <w:gridCol w:w="643"/>
        <w:gridCol w:w="643"/>
        <w:gridCol w:w="644"/>
        <w:gridCol w:w="6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atLeast"/>
          <w:jc w:val="center"/>
        </w:trPr>
        <w:tc>
          <w:tcPr>
            <w:tcW w:w="1541" w:type="dxa"/>
            <w:gridSpan w:val="2"/>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影响因素</w:t>
            </w:r>
          </w:p>
        </w:tc>
        <w:tc>
          <w:tcPr>
            <w:tcW w:w="642"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地表水</w:t>
            </w:r>
          </w:p>
        </w:tc>
        <w:tc>
          <w:tcPr>
            <w:tcW w:w="642"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地下水</w:t>
            </w:r>
          </w:p>
        </w:tc>
        <w:tc>
          <w:tcPr>
            <w:tcW w:w="642"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土壤</w:t>
            </w:r>
          </w:p>
        </w:tc>
        <w:tc>
          <w:tcPr>
            <w:tcW w:w="642"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恶臭</w:t>
            </w:r>
          </w:p>
        </w:tc>
        <w:tc>
          <w:tcPr>
            <w:tcW w:w="643"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粉尘</w:t>
            </w:r>
          </w:p>
        </w:tc>
        <w:tc>
          <w:tcPr>
            <w:tcW w:w="643"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燃烧爆炸</w:t>
            </w:r>
          </w:p>
        </w:tc>
        <w:tc>
          <w:tcPr>
            <w:tcW w:w="643"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噪声</w:t>
            </w:r>
          </w:p>
        </w:tc>
        <w:tc>
          <w:tcPr>
            <w:tcW w:w="643"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植被农田</w:t>
            </w:r>
          </w:p>
        </w:tc>
        <w:tc>
          <w:tcPr>
            <w:tcW w:w="643"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水土流失</w:t>
            </w:r>
          </w:p>
        </w:tc>
        <w:tc>
          <w:tcPr>
            <w:tcW w:w="643"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景观</w:t>
            </w:r>
          </w:p>
        </w:tc>
        <w:tc>
          <w:tcPr>
            <w:tcW w:w="644"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居民生活</w:t>
            </w:r>
          </w:p>
        </w:tc>
        <w:tc>
          <w:tcPr>
            <w:tcW w:w="644" w:type="dxa"/>
            <w:tcBorders>
              <w:tl2br w:val="nil"/>
              <w:tr2bl w:val="nil"/>
            </w:tcBorders>
            <w:vAlign w:val="center"/>
          </w:tcPr>
          <w:p>
            <w:pPr>
              <w:spacing w:line="2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害虫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9" w:hRule="exact"/>
          <w:jc w:val="center"/>
        </w:trPr>
        <w:tc>
          <w:tcPr>
            <w:tcW w:w="568" w:type="dxa"/>
            <w:tcBorders>
              <w:tl2br w:val="nil"/>
              <w:tr2bl w:val="nil"/>
            </w:tcBorders>
            <w:vAlign w:val="center"/>
          </w:tcPr>
          <w:p>
            <w:pPr>
              <w:widowControl/>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施工期</w:t>
            </w: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rFonts w:hint="eastAsia"/>
                <w:color w:val="000000" w:themeColor="text1"/>
                <w:spacing w:val="-11"/>
                <w:sz w:val="18"/>
                <w:szCs w:val="18"/>
                <w14:textFill>
                  <w14:solidFill>
                    <w14:schemeClr w14:val="tx1"/>
                  </w14:solidFill>
                </w14:textFill>
              </w:rPr>
              <w:t>遗留弃土堆</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4"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4"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restart"/>
            <w:tcBorders>
              <w:tl2br w:val="nil"/>
              <w:tr2bl w:val="nil"/>
            </w:tcBorders>
            <w:vAlign w:val="center"/>
          </w:tcPr>
          <w:p>
            <w:pPr>
              <w:widowControl/>
              <w:spacing w:line="2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运营期</w:t>
            </w: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垃圾运输</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4"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4"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continue"/>
            <w:tcBorders>
              <w:tl2br w:val="nil"/>
              <w:tr2bl w:val="nil"/>
            </w:tcBorders>
            <w:vAlign w:val="center"/>
          </w:tcPr>
          <w:p>
            <w:pPr>
              <w:spacing w:line="260" w:lineRule="exact"/>
              <w:ind w:left="-91"/>
              <w:jc w:val="center"/>
              <w:rPr>
                <w:color w:val="000000" w:themeColor="text1"/>
                <w:kern w:val="0"/>
                <w:sz w:val="18"/>
                <w:szCs w:val="18"/>
                <w14:textFill>
                  <w14:solidFill>
                    <w14:schemeClr w14:val="tx1"/>
                  </w14:solidFill>
                </w14:textFill>
              </w:rPr>
            </w:pP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填埋作业</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4"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644"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continue"/>
            <w:tcBorders>
              <w:tl2br w:val="nil"/>
              <w:tr2bl w:val="nil"/>
            </w:tcBorders>
            <w:vAlign w:val="center"/>
          </w:tcPr>
          <w:p>
            <w:pPr>
              <w:widowControl/>
              <w:spacing w:line="260" w:lineRule="exact"/>
              <w:jc w:val="left"/>
              <w:rPr>
                <w:color w:val="000000" w:themeColor="text1"/>
                <w:kern w:val="0"/>
                <w:sz w:val="18"/>
                <w:szCs w:val="18"/>
                <w14:textFill>
                  <w14:solidFill>
                    <w14:schemeClr w14:val="tx1"/>
                  </w14:solidFill>
                </w14:textFill>
              </w:rPr>
            </w:pP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填埋废气</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4" w:type="dxa"/>
            <w:tcBorders>
              <w:tl2br w:val="nil"/>
              <w:tr2bl w:val="nil"/>
            </w:tcBorders>
            <w:vAlign w:val="center"/>
          </w:tcPr>
          <w:p>
            <w:pPr>
              <w:spacing w:line="260" w:lineRule="exact"/>
              <w:ind w:left="-91"/>
              <w:jc w:val="center"/>
              <w:rPr>
                <w:color w:val="FF0000"/>
                <w:sz w:val="18"/>
                <w:szCs w:val="18"/>
              </w:rPr>
            </w:pPr>
          </w:p>
        </w:tc>
        <w:tc>
          <w:tcPr>
            <w:tcW w:w="644" w:type="dxa"/>
            <w:tcBorders>
              <w:tl2br w:val="nil"/>
              <w:tr2bl w:val="nil"/>
            </w:tcBorders>
            <w:vAlign w:val="center"/>
          </w:tcPr>
          <w:p>
            <w:pPr>
              <w:spacing w:line="260" w:lineRule="exact"/>
              <w:ind w:left="-91"/>
              <w:jc w:val="center"/>
              <w:rPr>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continue"/>
            <w:tcBorders>
              <w:tl2br w:val="nil"/>
              <w:tr2bl w:val="nil"/>
            </w:tcBorders>
            <w:vAlign w:val="center"/>
          </w:tcPr>
          <w:p>
            <w:pPr>
              <w:widowControl/>
              <w:spacing w:line="260" w:lineRule="exact"/>
              <w:jc w:val="left"/>
              <w:rPr>
                <w:color w:val="000000" w:themeColor="text1"/>
                <w:kern w:val="0"/>
                <w:sz w:val="18"/>
                <w:szCs w:val="18"/>
                <w14:textFill>
                  <w14:solidFill>
                    <w14:schemeClr w14:val="tx1"/>
                  </w14:solidFill>
                </w14:textFill>
              </w:rPr>
            </w:pP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渗滤液</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4" w:type="dxa"/>
            <w:tcBorders>
              <w:tl2br w:val="nil"/>
              <w:tr2bl w:val="nil"/>
            </w:tcBorders>
            <w:vAlign w:val="center"/>
          </w:tcPr>
          <w:p>
            <w:pPr>
              <w:spacing w:line="260" w:lineRule="exact"/>
              <w:ind w:left="-91"/>
              <w:jc w:val="center"/>
              <w:rPr>
                <w:color w:val="FF0000"/>
                <w:sz w:val="18"/>
                <w:szCs w:val="18"/>
              </w:rPr>
            </w:pPr>
          </w:p>
        </w:tc>
        <w:tc>
          <w:tcPr>
            <w:tcW w:w="644" w:type="dxa"/>
            <w:tcBorders>
              <w:tl2br w:val="nil"/>
              <w:tr2bl w:val="nil"/>
            </w:tcBorders>
            <w:vAlign w:val="center"/>
          </w:tcPr>
          <w:p>
            <w:pPr>
              <w:spacing w:line="260" w:lineRule="exact"/>
              <w:ind w:left="-91"/>
              <w:jc w:val="center"/>
              <w:rPr>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restart"/>
            <w:tcBorders>
              <w:tl2br w:val="nil"/>
              <w:tr2bl w:val="nil"/>
            </w:tcBorders>
            <w:vAlign w:val="center"/>
          </w:tcPr>
          <w:p>
            <w:pPr>
              <w:widowControl/>
              <w:spacing w:line="24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封场期</w:t>
            </w: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填埋废气</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4" w:type="dxa"/>
            <w:tcBorders>
              <w:tl2br w:val="nil"/>
              <w:tr2bl w:val="nil"/>
            </w:tcBorders>
            <w:vAlign w:val="center"/>
          </w:tcPr>
          <w:p>
            <w:pPr>
              <w:spacing w:line="260" w:lineRule="exact"/>
              <w:ind w:left="-91"/>
              <w:jc w:val="center"/>
              <w:rPr>
                <w:color w:val="FF0000"/>
                <w:sz w:val="18"/>
                <w:szCs w:val="18"/>
              </w:rPr>
            </w:pPr>
          </w:p>
        </w:tc>
        <w:tc>
          <w:tcPr>
            <w:tcW w:w="644" w:type="dxa"/>
            <w:tcBorders>
              <w:tl2br w:val="nil"/>
              <w:tr2bl w:val="nil"/>
            </w:tcBorders>
            <w:vAlign w:val="center"/>
          </w:tcPr>
          <w:p>
            <w:pPr>
              <w:spacing w:line="260" w:lineRule="exact"/>
              <w:ind w:left="-91"/>
              <w:jc w:val="center"/>
              <w:rPr>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continue"/>
            <w:tcBorders>
              <w:tl2br w:val="nil"/>
              <w:tr2bl w:val="nil"/>
            </w:tcBorders>
            <w:vAlign w:val="center"/>
          </w:tcPr>
          <w:p>
            <w:pPr>
              <w:widowControl/>
              <w:spacing w:line="240" w:lineRule="exact"/>
              <w:jc w:val="center"/>
              <w:rPr>
                <w:color w:val="000000" w:themeColor="text1"/>
                <w:kern w:val="0"/>
                <w:sz w:val="18"/>
                <w:szCs w:val="18"/>
                <w14:textFill>
                  <w14:solidFill>
                    <w14:schemeClr w14:val="tx1"/>
                  </w14:solidFill>
                </w14:textFill>
              </w:rPr>
            </w:pP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渗滤液</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4" w:type="dxa"/>
            <w:tcBorders>
              <w:tl2br w:val="nil"/>
              <w:tr2bl w:val="nil"/>
            </w:tcBorders>
            <w:vAlign w:val="center"/>
          </w:tcPr>
          <w:p>
            <w:pPr>
              <w:spacing w:line="260" w:lineRule="exact"/>
              <w:ind w:left="-91"/>
              <w:jc w:val="center"/>
              <w:rPr>
                <w:color w:val="FF0000"/>
                <w:sz w:val="18"/>
                <w:szCs w:val="18"/>
              </w:rPr>
            </w:pPr>
          </w:p>
        </w:tc>
        <w:tc>
          <w:tcPr>
            <w:tcW w:w="644" w:type="dxa"/>
            <w:tcBorders>
              <w:tl2br w:val="nil"/>
              <w:tr2bl w:val="nil"/>
            </w:tcBorders>
            <w:vAlign w:val="center"/>
          </w:tcPr>
          <w:p>
            <w:pPr>
              <w:spacing w:line="260" w:lineRule="exact"/>
              <w:ind w:left="-91"/>
              <w:jc w:val="center"/>
              <w:rPr>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68" w:type="dxa"/>
            <w:vMerge w:val="continue"/>
            <w:tcBorders>
              <w:tl2br w:val="nil"/>
              <w:tr2bl w:val="nil"/>
            </w:tcBorders>
            <w:vAlign w:val="center"/>
          </w:tcPr>
          <w:p>
            <w:pPr>
              <w:widowControl/>
              <w:spacing w:line="240" w:lineRule="exact"/>
              <w:jc w:val="center"/>
              <w:rPr>
                <w:color w:val="000000" w:themeColor="text1"/>
                <w:kern w:val="0"/>
                <w:sz w:val="18"/>
                <w:szCs w:val="18"/>
                <w14:textFill>
                  <w14:solidFill>
                    <w14:schemeClr w14:val="tx1"/>
                  </w14:solidFill>
                </w14:textFill>
              </w:rPr>
            </w:pPr>
          </w:p>
        </w:tc>
        <w:tc>
          <w:tcPr>
            <w:tcW w:w="973" w:type="dxa"/>
            <w:tcBorders>
              <w:tl2br w:val="nil"/>
              <w:tr2bl w:val="nil"/>
            </w:tcBorders>
            <w:vAlign w:val="center"/>
          </w:tcPr>
          <w:p>
            <w:pPr>
              <w:spacing w:line="260" w:lineRule="exact"/>
              <w:jc w:val="center"/>
              <w:rPr>
                <w:color w:val="000000" w:themeColor="text1"/>
                <w:spacing w:val="-11"/>
                <w:sz w:val="18"/>
                <w:szCs w:val="18"/>
                <w14:textFill>
                  <w14:solidFill>
                    <w14:schemeClr w14:val="tx1"/>
                  </w14:solidFill>
                </w14:textFill>
              </w:rPr>
            </w:pPr>
            <w:r>
              <w:rPr>
                <w:color w:val="000000" w:themeColor="text1"/>
                <w:spacing w:val="-11"/>
                <w:sz w:val="18"/>
                <w:szCs w:val="18"/>
                <w14:textFill>
                  <w14:solidFill>
                    <w14:schemeClr w14:val="tx1"/>
                  </w14:solidFill>
                </w14:textFill>
              </w:rPr>
              <w:t>封场工程</w:t>
            </w: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2"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43" w:type="dxa"/>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44" w:type="dxa"/>
            <w:tcBorders>
              <w:tl2br w:val="nil"/>
              <w:tr2bl w:val="nil"/>
            </w:tcBorders>
            <w:vAlign w:val="center"/>
          </w:tcPr>
          <w:p>
            <w:pPr>
              <w:spacing w:line="260" w:lineRule="exact"/>
              <w:ind w:left="-91"/>
              <w:jc w:val="center"/>
              <w:rPr>
                <w:color w:val="FF0000"/>
                <w:sz w:val="18"/>
                <w:szCs w:val="18"/>
              </w:rPr>
            </w:pPr>
          </w:p>
        </w:tc>
        <w:tc>
          <w:tcPr>
            <w:tcW w:w="644" w:type="dxa"/>
            <w:tcBorders>
              <w:tl2br w:val="nil"/>
              <w:tr2bl w:val="nil"/>
            </w:tcBorders>
            <w:vAlign w:val="center"/>
          </w:tcPr>
          <w:p>
            <w:pPr>
              <w:spacing w:line="260" w:lineRule="exact"/>
              <w:ind w:left="-91"/>
              <w:jc w:val="center"/>
              <w:rPr>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9255" w:type="dxa"/>
            <w:gridSpan w:val="14"/>
            <w:tcBorders>
              <w:tl2br w:val="nil"/>
              <w:tr2bl w:val="nil"/>
            </w:tcBorders>
            <w:vAlign w:val="center"/>
          </w:tcPr>
          <w:p>
            <w:pPr>
              <w:spacing w:line="260" w:lineRule="exact"/>
              <w:ind w:left="-91"/>
              <w:jc w:val="center"/>
              <w:rPr>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注：3—重大影响；2—中等影响；1—轻微影响；“+”—有利影响；“-”—不利影响</w:t>
            </w:r>
          </w:p>
        </w:tc>
      </w:tr>
    </w:tbl>
    <w:p>
      <w:pPr>
        <w:pStyle w:val="6"/>
      </w:pPr>
      <w:r>
        <w:t>2.2.2环境影响评价因子筛选</w:t>
      </w:r>
    </w:p>
    <w:p>
      <w:pPr>
        <w:spacing w:line="500" w:lineRule="exact"/>
        <w:ind w:firstLine="496" w:firstLineChars="200"/>
        <w:rPr>
          <w:spacing w:val="4"/>
          <w:sz w:val="24"/>
          <w:lang w:val="zh-CN"/>
        </w:rPr>
      </w:pPr>
      <w:r>
        <w:rPr>
          <w:rFonts w:hint="eastAsia"/>
          <w:spacing w:val="4"/>
          <w:sz w:val="24"/>
          <w:lang w:val="zh-CN"/>
        </w:rPr>
        <w:t>根据环境影响因子识别结果，结合工程特点及区域环境等，根据《环境影响评价技术导则》中的相关规定，筛选本项目主要的环境影响评价因子如下：</w:t>
      </w:r>
    </w:p>
    <w:p>
      <w:pPr>
        <w:spacing w:line="500" w:lineRule="exact"/>
        <w:ind w:firstLine="496" w:firstLineChars="200"/>
        <w:rPr>
          <w:spacing w:val="4"/>
          <w:sz w:val="24"/>
          <w:lang w:val="zh-CN"/>
        </w:rPr>
      </w:pPr>
      <w:r>
        <w:rPr>
          <w:rFonts w:hint="eastAsia"/>
          <w:spacing w:val="4"/>
          <w:sz w:val="24"/>
          <w:lang w:val="zh-CN"/>
        </w:rPr>
        <w:t>（1）环境质量现状评价因子</w:t>
      </w:r>
    </w:p>
    <w:p>
      <w:pPr>
        <w:spacing w:line="500" w:lineRule="exact"/>
        <w:ind w:firstLine="496" w:firstLineChars="200"/>
        <w:rPr>
          <w:spacing w:val="4"/>
          <w:sz w:val="24"/>
          <w:lang w:val="zh-CN"/>
        </w:rPr>
      </w:pPr>
      <w:r>
        <w:rPr>
          <w:rFonts w:hint="eastAsia"/>
          <w:spacing w:val="4"/>
          <w:sz w:val="24"/>
          <w:lang w:val="zh-CN"/>
        </w:rPr>
        <w:t>环境空气：</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、CO、O</w:t>
      </w:r>
      <w:r>
        <w:rPr>
          <w:rFonts w:hint="eastAsia"/>
          <w:sz w:val="24"/>
          <w:vertAlign w:val="subscript"/>
        </w:rPr>
        <w:t>3</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sz w:val="24"/>
        </w:rPr>
        <w:t>、</w:t>
      </w:r>
      <w:r>
        <w:rPr>
          <w:kern w:val="28"/>
          <w:sz w:val="24"/>
        </w:rPr>
        <w:t>TSP</w:t>
      </w:r>
      <w:r>
        <w:rPr>
          <w:rFonts w:hint="eastAsia"/>
          <w:kern w:val="28"/>
          <w:sz w:val="24"/>
        </w:rPr>
        <w:t>、</w:t>
      </w:r>
      <w:r>
        <w:rPr>
          <w:sz w:val="24"/>
        </w:rPr>
        <w:t>H</w:t>
      </w:r>
      <w:r>
        <w:rPr>
          <w:sz w:val="24"/>
          <w:vertAlign w:val="subscript"/>
        </w:rPr>
        <w:t>2</w:t>
      </w:r>
      <w:r>
        <w:rPr>
          <w:sz w:val="24"/>
        </w:rPr>
        <w:t>S、NH</w:t>
      </w:r>
      <w:r>
        <w:rPr>
          <w:sz w:val="24"/>
          <w:vertAlign w:val="subscript"/>
        </w:rPr>
        <w:t>3</w:t>
      </w:r>
      <w:r>
        <w:rPr>
          <w:sz w:val="24"/>
        </w:rPr>
        <w:t>、甲硫醇</w:t>
      </w:r>
      <w:r>
        <w:rPr>
          <w:rFonts w:hint="eastAsia"/>
          <w:sz w:val="24"/>
        </w:rPr>
        <w:t>、CH</w:t>
      </w:r>
      <w:r>
        <w:rPr>
          <w:rFonts w:hint="eastAsia"/>
          <w:sz w:val="24"/>
          <w:vertAlign w:val="subscript"/>
        </w:rPr>
        <w:t>4</w:t>
      </w:r>
      <w:r>
        <w:rPr>
          <w:rFonts w:hint="eastAsia"/>
          <w:sz w:val="24"/>
        </w:rPr>
        <w:t>、非甲烷总烃。</w:t>
      </w:r>
    </w:p>
    <w:p>
      <w:pPr>
        <w:adjustRightInd w:val="0"/>
        <w:snapToGrid w:val="0"/>
        <w:spacing w:line="500" w:lineRule="exact"/>
        <w:ind w:firstLine="496" w:firstLineChars="200"/>
        <w:rPr>
          <w:sz w:val="24"/>
        </w:rPr>
      </w:pPr>
      <w:r>
        <w:rPr>
          <w:rFonts w:hint="eastAsia"/>
          <w:spacing w:val="4"/>
          <w:sz w:val="24"/>
          <w:lang w:val="zh-CN"/>
        </w:rPr>
        <w:t>地下水：</w:t>
      </w:r>
      <w:r>
        <w:rPr>
          <w:rFonts w:hint="eastAsia"/>
          <w:sz w:val="24"/>
        </w:rPr>
        <w:t>PH值、氨氮、硝酸盐、亚硝酸盐、挥发性酚类、氰化物、砷、汞、铬（六价）、总硬度、铅、氟、镉、铁、锰、溶解性总固体、高锰酸盐指数、硫酸盐、氯化物、总大肠菌群、细菌总数共21项及八大离子K</w:t>
      </w:r>
      <w:r>
        <w:rPr>
          <w:rFonts w:hint="eastAsia"/>
          <w:sz w:val="24"/>
          <w:vertAlign w:val="superscript"/>
        </w:rPr>
        <w:t>＋</w:t>
      </w:r>
      <w:r>
        <w:rPr>
          <w:rFonts w:hint="eastAsia"/>
          <w:sz w:val="24"/>
        </w:rPr>
        <w:t>、Na</w:t>
      </w:r>
      <w:r>
        <w:rPr>
          <w:rFonts w:hint="eastAsia"/>
          <w:sz w:val="24"/>
          <w:vertAlign w:val="superscript"/>
        </w:rPr>
        <w:t>＋</w:t>
      </w:r>
      <w:r>
        <w:rPr>
          <w:rFonts w:hint="eastAsia"/>
          <w:sz w:val="24"/>
        </w:rPr>
        <w:t>、Ca</w:t>
      </w:r>
      <w:r>
        <w:rPr>
          <w:rFonts w:hint="eastAsia"/>
          <w:sz w:val="24"/>
          <w:vertAlign w:val="superscript"/>
        </w:rPr>
        <w:t>2＋</w:t>
      </w:r>
      <w:r>
        <w:rPr>
          <w:rFonts w:hint="eastAsia"/>
          <w:sz w:val="24"/>
        </w:rPr>
        <w:t xml:space="preserve"> 、Mg</w:t>
      </w:r>
      <w:r>
        <w:rPr>
          <w:rFonts w:hint="eastAsia"/>
          <w:sz w:val="24"/>
          <w:vertAlign w:val="superscript"/>
        </w:rPr>
        <w:t>2＋</w:t>
      </w:r>
      <w:r>
        <w:rPr>
          <w:rFonts w:hint="eastAsia"/>
          <w:sz w:val="24"/>
        </w:rPr>
        <w:t>、CO</w:t>
      </w:r>
      <w:r>
        <w:rPr>
          <w:rFonts w:hint="eastAsia"/>
          <w:sz w:val="24"/>
          <w:vertAlign w:val="subscript"/>
        </w:rPr>
        <w:t>3</w:t>
      </w:r>
      <w:r>
        <w:rPr>
          <w:rFonts w:hint="eastAsia"/>
          <w:sz w:val="24"/>
          <w:vertAlign w:val="superscript"/>
        </w:rPr>
        <w:t>2－</w:t>
      </w:r>
      <w:r>
        <w:rPr>
          <w:rFonts w:hint="eastAsia"/>
          <w:sz w:val="24"/>
        </w:rPr>
        <w:t>、HCO</w:t>
      </w:r>
      <w:r>
        <w:rPr>
          <w:rFonts w:hint="eastAsia"/>
          <w:sz w:val="24"/>
          <w:vertAlign w:val="subscript"/>
        </w:rPr>
        <w:t>3</w:t>
      </w:r>
      <w:r>
        <w:rPr>
          <w:rFonts w:hint="eastAsia"/>
          <w:sz w:val="24"/>
          <w:vertAlign w:val="superscript"/>
        </w:rPr>
        <w:t>－</w:t>
      </w:r>
      <w:r>
        <w:rPr>
          <w:rFonts w:hint="eastAsia"/>
          <w:sz w:val="24"/>
        </w:rPr>
        <w:t>、C</w:t>
      </w:r>
      <w:r>
        <w:rPr>
          <w:rFonts w:hint="eastAsia"/>
          <w:sz w:val="24"/>
          <w:vertAlign w:val="superscript"/>
        </w:rPr>
        <w:t>l－</w:t>
      </w:r>
      <w:r>
        <w:rPr>
          <w:rFonts w:hint="eastAsia"/>
          <w:sz w:val="24"/>
        </w:rPr>
        <w:t>、SO</w:t>
      </w:r>
      <w:r>
        <w:rPr>
          <w:rFonts w:hint="eastAsia"/>
          <w:sz w:val="24"/>
          <w:vertAlign w:val="subscript"/>
        </w:rPr>
        <w:t>4</w:t>
      </w:r>
      <w:r>
        <w:rPr>
          <w:rFonts w:hint="eastAsia"/>
          <w:sz w:val="24"/>
          <w:vertAlign w:val="superscript"/>
        </w:rPr>
        <w:t>2－</w:t>
      </w:r>
      <w:r>
        <w:rPr>
          <w:rFonts w:hint="eastAsia"/>
          <w:sz w:val="24"/>
        </w:rPr>
        <w:t>。</w:t>
      </w:r>
    </w:p>
    <w:p>
      <w:pPr>
        <w:pStyle w:val="3"/>
        <w:spacing w:line="500" w:lineRule="exact"/>
        <w:ind w:firstLine="480" w:firstLineChars="200"/>
        <w:jc w:val="both"/>
        <w:rPr>
          <w:sz w:val="24"/>
          <w:szCs w:val="24"/>
          <w:lang w:val="zh-CN"/>
        </w:rPr>
      </w:pPr>
      <w:r>
        <w:rPr>
          <w:rFonts w:hint="eastAsia"/>
          <w:sz w:val="24"/>
          <w:szCs w:val="24"/>
          <w:lang w:val="zh-CN"/>
        </w:rPr>
        <w:t>声环境：场界噪声。</w:t>
      </w:r>
    </w:p>
    <w:p>
      <w:pPr>
        <w:pStyle w:val="68"/>
        <w:spacing w:line="500" w:lineRule="exact"/>
        <w:ind w:firstLine="496"/>
        <w:rPr>
          <w:rFonts w:ascii="Times New Roman" w:hAnsi="Times New Roman" w:cs="Times New Roman"/>
          <w:snapToGrid w:val="0"/>
          <w:kern w:val="0"/>
          <w:sz w:val="24"/>
          <w:szCs w:val="24"/>
        </w:rPr>
      </w:pPr>
      <w:r>
        <w:rPr>
          <w:rFonts w:hint="eastAsia" w:cs="Times New Roman"/>
          <w:spacing w:val="4"/>
          <w:sz w:val="24"/>
          <w:szCs w:val="24"/>
          <w:lang w:val="zh-CN"/>
        </w:rPr>
        <w:t>土壤环境：</w:t>
      </w:r>
      <w:r>
        <w:rPr>
          <w:rFonts w:hint="eastAsia" w:ascii="Times New Roman" w:hAnsi="Times New Roman" w:cs="Times New Roman"/>
          <w:b/>
          <w:snapToGrid w:val="0"/>
          <w:kern w:val="0"/>
          <w:sz w:val="24"/>
          <w:szCs w:val="24"/>
        </w:rPr>
        <w:t>建设用地基本因子：</w:t>
      </w:r>
      <w:r>
        <w:rPr>
          <w:rFonts w:hint="eastAsia" w:ascii="Times New Roman" w:hAnsi="Times New Roman" w:cs="Times New Roman"/>
          <w:snapToGrid w:val="0"/>
          <w:kern w:val="0"/>
          <w:sz w:val="24"/>
          <w:szCs w:val="24"/>
        </w:rPr>
        <w:t>砷、镉、铬（六价）、铜、铅、汞、镍、四氯化碳、氯仿、氯甲烷、1,1-二氯乙烷、1,2-二氯乙烷、1,1-二氯乙烯，顺-1,2-二氯乙烯、反-1,2-二氯乙烯、二氯甲烷、1,2-二氯丙烷、1,1,1,2-四氯乙烷、1,1,2,2-四氯乙烷、四氯乙烯、1,1,1-三氯乙烷，1,1,2-三氯乙烷、三氯乙烯、1,2,3-三氯丙烷、氯乙烯、苯、1,2-二氯苯、1,4-二氯苯、乙苯、苯乙烯、甲苯、间二甲苯+对二甲苯、邻二甲苯、硝基苯、苯胺、2-氯酚、苯并[a]蒽、苯并[a]芘、苯并[b]荧蒽、苯并[k</w:t>
      </w:r>
      <w:r>
        <w:rPr>
          <w:rFonts w:ascii="Times New Roman" w:hAnsi="Times New Roman" w:cs="Times New Roman"/>
          <w:snapToGrid w:val="0"/>
          <w:kern w:val="0"/>
          <w:sz w:val="24"/>
          <w:szCs w:val="24"/>
        </w:rPr>
        <w:t>]</w:t>
      </w:r>
      <w:r>
        <w:rPr>
          <w:rFonts w:hint="eastAsia" w:ascii="Times New Roman" w:hAnsi="Times New Roman" w:cs="Times New Roman"/>
          <w:snapToGrid w:val="0"/>
          <w:kern w:val="0"/>
          <w:sz w:val="24"/>
          <w:szCs w:val="24"/>
        </w:rPr>
        <w:t>荧蒽、䓛、二苯并</w:t>
      </w:r>
      <w:r>
        <w:rPr>
          <w:rFonts w:ascii="Times New Roman" w:hAnsi="Times New Roman" w:cs="Times New Roman"/>
          <w:snapToGrid w:val="0"/>
          <w:kern w:val="0"/>
          <w:sz w:val="24"/>
          <w:szCs w:val="24"/>
        </w:rPr>
        <w:t>[a</w:t>
      </w:r>
      <w:r>
        <w:rPr>
          <w:rFonts w:hint="eastAsia" w:ascii="Times New Roman" w:hAnsi="Times New Roman" w:cs="Times New Roman"/>
          <w:snapToGrid w:val="0"/>
          <w:kern w:val="0"/>
          <w:sz w:val="24"/>
          <w:szCs w:val="24"/>
        </w:rPr>
        <w:t>，</w:t>
      </w:r>
      <w:r>
        <w:rPr>
          <w:rFonts w:ascii="Times New Roman" w:hAnsi="Times New Roman" w:cs="Times New Roman"/>
          <w:snapToGrid w:val="0"/>
          <w:kern w:val="0"/>
          <w:sz w:val="24"/>
          <w:szCs w:val="24"/>
        </w:rPr>
        <w:t>h]</w:t>
      </w:r>
      <w:r>
        <w:rPr>
          <w:rFonts w:hint="eastAsia" w:ascii="Times New Roman" w:hAnsi="Times New Roman" w:cs="Times New Roman"/>
          <w:snapToGrid w:val="0"/>
          <w:kern w:val="0"/>
          <w:sz w:val="24"/>
          <w:szCs w:val="24"/>
        </w:rPr>
        <w:t>蒽、茚并</w:t>
      </w:r>
      <w:r>
        <w:rPr>
          <w:rFonts w:ascii="Times New Roman" w:hAnsi="Times New Roman" w:cs="Times New Roman"/>
          <w:snapToGrid w:val="0"/>
          <w:kern w:val="0"/>
          <w:sz w:val="24"/>
          <w:szCs w:val="24"/>
        </w:rPr>
        <w:t>[1,2,3-cd]</w:t>
      </w:r>
      <w:r>
        <w:rPr>
          <w:rFonts w:hint="eastAsia" w:ascii="Times New Roman" w:hAnsi="Times New Roman" w:cs="Times New Roman"/>
          <w:snapToGrid w:val="0"/>
          <w:kern w:val="0"/>
          <w:sz w:val="24"/>
          <w:szCs w:val="24"/>
        </w:rPr>
        <w:t>芘、萘，</w:t>
      </w:r>
      <w:r>
        <w:rPr>
          <w:rFonts w:ascii="Times New Roman" w:hAnsi="Times New Roman" w:cs="Times New Roman"/>
          <w:snapToGrid w:val="0"/>
          <w:kern w:val="0"/>
          <w:sz w:val="24"/>
          <w:szCs w:val="24"/>
        </w:rPr>
        <w:t>共计</w:t>
      </w:r>
      <w:r>
        <w:rPr>
          <w:rFonts w:hint="eastAsia" w:ascii="Times New Roman" w:hAnsi="Times New Roman" w:cs="Times New Roman"/>
          <w:snapToGrid w:val="0"/>
          <w:kern w:val="0"/>
          <w:sz w:val="24"/>
          <w:szCs w:val="24"/>
        </w:rPr>
        <w:t>45项；</w:t>
      </w:r>
      <w:r>
        <w:rPr>
          <w:rFonts w:ascii="Times New Roman" w:hAnsi="Times New Roman" w:cs="Times New Roman"/>
          <w:b/>
          <w:snapToGrid w:val="0"/>
          <w:kern w:val="0"/>
          <w:sz w:val="24"/>
          <w:szCs w:val="24"/>
        </w:rPr>
        <w:t>农用地基本因子：</w:t>
      </w:r>
      <w:r>
        <w:rPr>
          <w:rFonts w:hint="eastAsia" w:ascii="Times New Roman" w:hAnsi="Times New Roman" w:cs="Times New Roman"/>
          <w:bCs/>
          <w:snapToGrid w:val="0"/>
          <w:kern w:val="0"/>
          <w:sz w:val="24"/>
          <w:szCs w:val="24"/>
        </w:rPr>
        <w:t>PH、砷</w:t>
      </w:r>
      <w:r>
        <w:rPr>
          <w:rFonts w:hint="eastAsia" w:ascii="Times New Roman" w:hAnsi="Times New Roman" w:cs="Times New Roman"/>
          <w:snapToGrid w:val="0"/>
          <w:kern w:val="0"/>
          <w:sz w:val="24"/>
          <w:szCs w:val="24"/>
        </w:rPr>
        <w:t>、镉、铬、铜、铅、汞、镍、</w:t>
      </w:r>
      <w:r>
        <w:rPr>
          <w:rFonts w:ascii="Times New Roman" w:hAnsi="Times New Roman" w:cs="Times New Roman"/>
          <w:snapToGrid w:val="0"/>
          <w:kern w:val="0"/>
          <w:sz w:val="24"/>
          <w:szCs w:val="24"/>
        </w:rPr>
        <w:t>锌，共计</w:t>
      </w:r>
      <w:r>
        <w:rPr>
          <w:rFonts w:hint="eastAsia" w:ascii="Times New Roman" w:hAnsi="Times New Roman" w:cs="Times New Roman"/>
          <w:snapToGrid w:val="0"/>
          <w:kern w:val="0"/>
          <w:sz w:val="24"/>
          <w:szCs w:val="24"/>
        </w:rPr>
        <w:t>9项</w:t>
      </w:r>
      <w:r>
        <w:rPr>
          <w:rFonts w:ascii="Times New Roman" w:hAnsi="Times New Roman" w:cs="Times New Roman"/>
          <w:snapToGrid w:val="0"/>
          <w:kern w:val="0"/>
          <w:sz w:val="24"/>
          <w:szCs w:val="24"/>
        </w:rPr>
        <w:t>。</w:t>
      </w:r>
    </w:p>
    <w:p>
      <w:pPr>
        <w:spacing w:line="500" w:lineRule="exact"/>
        <w:ind w:firstLine="496" w:firstLineChars="200"/>
        <w:rPr>
          <w:spacing w:val="4"/>
          <w:sz w:val="24"/>
          <w:lang w:val="zh-CN"/>
        </w:rPr>
      </w:pPr>
      <w:r>
        <w:rPr>
          <w:rFonts w:hint="eastAsia"/>
          <w:spacing w:val="4"/>
          <w:sz w:val="24"/>
          <w:lang w:val="zh-CN"/>
        </w:rPr>
        <w:t>（2）环境影响预测因子</w:t>
      </w:r>
    </w:p>
    <w:p>
      <w:pPr>
        <w:spacing w:line="500" w:lineRule="exact"/>
        <w:ind w:firstLine="496" w:firstLineChars="200"/>
        <w:rPr>
          <w:spacing w:val="4"/>
          <w:sz w:val="24"/>
          <w:lang w:val="zh-CN"/>
        </w:rPr>
      </w:pPr>
      <w:r>
        <w:rPr>
          <w:rFonts w:hint="eastAsia"/>
          <w:spacing w:val="4"/>
          <w:sz w:val="24"/>
          <w:lang w:val="zh-CN"/>
        </w:rPr>
        <w:t>大气环境：</w:t>
      </w:r>
      <w:r>
        <w:rPr>
          <w:sz w:val="24"/>
        </w:rPr>
        <w:t>H</w:t>
      </w:r>
      <w:r>
        <w:rPr>
          <w:sz w:val="24"/>
          <w:vertAlign w:val="subscript"/>
        </w:rPr>
        <w:t>2</w:t>
      </w:r>
      <w:r>
        <w:rPr>
          <w:sz w:val="24"/>
        </w:rPr>
        <w:t>S、NH</w:t>
      </w:r>
      <w:r>
        <w:rPr>
          <w:sz w:val="24"/>
          <w:vertAlign w:val="subscript"/>
        </w:rPr>
        <w:t>3</w:t>
      </w:r>
      <w:r>
        <w:rPr>
          <w:rFonts w:hint="eastAsia"/>
          <w:sz w:val="24"/>
        </w:rPr>
        <w:t>、</w:t>
      </w:r>
      <w:r>
        <w:rPr>
          <w:rFonts w:hint="eastAsia"/>
          <w:spacing w:val="4"/>
          <w:sz w:val="24"/>
          <w:lang w:val="zh-CN"/>
        </w:rPr>
        <w:t>TSP。</w:t>
      </w:r>
    </w:p>
    <w:p>
      <w:pPr>
        <w:spacing w:line="500" w:lineRule="exact"/>
        <w:ind w:firstLine="496" w:firstLineChars="200"/>
        <w:rPr>
          <w:spacing w:val="4"/>
          <w:sz w:val="24"/>
          <w:lang w:val="zh-CN"/>
        </w:rPr>
      </w:pPr>
      <w:r>
        <w:rPr>
          <w:rFonts w:hint="eastAsia"/>
          <w:spacing w:val="4"/>
          <w:sz w:val="24"/>
          <w:lang w:val="zh-CN"/>
        </w:rPr>
        <w:t>地下水环境：氨氮。</w:t>
      </w:r>
    </w:p>
    <w:p>
      <w:pPr>
        <w:spacing w:line="500" w:lineRule="exact"/>
        <w:ind w:firstLine="496" w:firstLineChars="200"/>
        <w:rPr>
          <w:sz w:val="24"/>
          <w:lang w:val="zh-CN"/>
        </w:rPr>
      </w:pPr>
      <w:r>
        <w:rPr>
          <w:rFonts w:hint="eastAsia"/>
          <w:spacing w:val="4"/>
          <w:sz w:val="24"/>
          <w:lang w:val="zh-CN"/>
        </w:rPr>
        <w:t>声环境：</w:t>
      </w:r>
      <w:r>
        <w:rPr>
          <w:rFonts w:hint="eastAsia"/>
          <w:sz w:val="24"/>
          <w:lang w:val="zh-CN"/>
        </w:rPr>
        <w:t>场界噪声。</w:t>
      </w:r>
    </w:p>
    <w:p>
      <w:pPr>
        <w:pStyle w:val="2"/>
        <w:spacing w:line="500" w:lineRule="exact"/>
        <w:ind w:firstLine="480" w:firstLineChars="200"/>
        <w:rPr>
          <w:color w:val="auto"/>
          <w:lang w:val="zh-CN"/>
        </w:rPr>
      </w:pPr>
      <w:r>
        <w:rPr>
          <w:rFonts w:hint="eastAsia"/>
          <w:color w:val="auto"/>
          <w:lang w:val="zh-CN"/>
        </w:rPr>
        <w:t>土壤环境：六价铬。</w:t>
      </w:r>
    </w:p>
    <w:p>
      <w:pPr>
        <w:pStyle w:val="5"/>
        <w:spacing w:beforeLines="0" w:after="120" w:line="500" w:lineRule="exact"/>
        <w:rPr>
          <w:rFonts w:eastAsia="宋体"/>
          <w:b/>
          <w:bCs w:val="0"/>
          <w:color w:val="auto"/>
          <w:szCs w:val="30"/>
        </w:rPr>
      </w:pPr>
      <w:bookmarkStart w:id="73" w:name="_Toc1210508428"/>
      <w:bookmarkStart w:id="74" w:name="_Toc21898"/>
      <w:bookmarkStart w:id="75" w:name="_Toc187052177"/>
      <w:bookmarkStart w:id="76" w:name="_Toc193795608"/>
      <w:bookmarkStart w:id="77" w:name="_Toc187052933"/>
      <w:bookmarkStart w:id="78" w:name="_Toc187052554"/>
      <w:bookmarkStart w:id="79" w:name="_Toc193795244"/>
      <w:bookmarkStart w:id="80" w:name="_Toc112678014"/>
      <w:bookmarkStart w:id="81" w:name="_Toc268624285"/>
      <w:bookmarkStart w:id="82" w:name="_Toc267583711"/>
      <w:bookmarkStart w:id="83" w:name="_Toc267301227"/>
      <w:bookmarkStart w:id="84" w:name="_Toc113078357"/>
      <w:bookmarkStart w:id="85" w:name="_Toc112685764"/>
      <w:bookmarkStart w:id="86" w:name="_Toc267582873"/>
      <w:r>
        <w:rPr>
          <w:rFonts w:eastAsia="宋体"/>
          <w:b/>
          <w:bCs w:val="0"/>
          <w:color w:val="auto"/>
          <w:szCs w:val="30"/>
        </w:rPr>
        <w:t>2.3 评价标准</w:t>
      </w:r>
      <w:bookmarkEnd w:id="73"/>
      <w:bookmarkEnd w:id="74"/>
    </w:p>
    <w:bookmarkEnd w:id="75"/>
    <w:bookmarkEnd w:id="76"/>
    <w:bookmarkEnd w:id="77"/>
    <w:bookmarkEnd w:id="78"/>
    <w:bookmarkEnd w:id="79"/>
    <w:bookmarkEnd w:id="80"/>
    <w:bookmarkEnd w:id="81"/>
    <w:bookmarkEnd w:id="82"/>
    <w:bookmarkEnd w:id="83"/>
    <w:bookmarkEnd w:id="84"/>
    <w:bookmarkEnd w:id="85"/>
    <w:bookmarkEnd w:id="86"/>
    <w:p>
      <w:pPr>
        <w:pStyle w:val="6"/>
      </w:pPr>
      <w:r>
        <w:rPr>
          <w:rFonts w:hint="eastAsia"/>
        </w:rPr>
        <w:t>2</w:t>
      </w:r>
      <w:r>
        <w:t>.3.1 环境质量标准</w:t>
      </w:r>
    </w:p>
    <w:p>
      <w:pPr>
        <w:spacing w:line="500" w:lineRule="exact"/>
        <w:ind w:left="494"/>
        <w:rPr>
          <w:sz w:val="24"/>
        </w:rPr>
      </w:pPr>
      <w:r>
        <w:rPr>
          <w:rFonts w:hint="eastAsia"/>
          <w:sz w:val="24"/>
        </w:rPr>
        <w:t>1、</w:t>
      </w:r>
      <w:r>
        <w:rPr>
          <w:sz w:val="24"/>
        </w:rPr>
        <w:t>环境空气质量标准</w:t>
      </w:r>
    </w:p>
    <w:p>
      <w:pPr>
        <w:adjustRightInd w:val="0"/>
        <w:snapToGrid w:val="0"/>
        <w:spacing w:line="500" w:lineRule="exact"/>
        <w:ind w:firstLine="480" w:firstLineChars="200"/>
        <w:jc w:val="left"/>
        <w:rPr>
          <w:sz w:val="24"/>
        </w:rPr>
      </w:pPr>
      <w:r>
        <w:rPr>
          <w:sz w:val="24"/>
        </w:rPr>
        <w:t>TSP、PM</w:t>
      </w:r>
      <w:r>
        <w:rPr>
          <w:sz w:val="24"/>
          <w:vertAlign w:val="subscript"/>
        </w:rPr>
        <w:t>10</w:t>
      </w:r>
      <w:r>
        <w:rPr>
          <w:sz w:val="24"/>
        </w:rPr>
        <w:t>、PM</w:t>
      </w:r>
      <w:r>
        <w:rPr>
          <w:sz w:val="24"/>
          <w:vertAlign w:val="subscript"/>
        </w:rPr>
        <w:t>2.5</w:t>
      </w:r>
      <w:r>
        <w:rPr>
          <w:sz w:val="24"/>
        </w:rPr>
        <w:t>、SO</w:t>
      </w:r>
      <w:r>
        <w:rPr>
          <w:sz w:val="24"/>
          <w:vertAlign w:val="subscript"/>
        </w:rPr>
        <w:t>2</w:t>
      </w:r>
      <w:r>
        <w:rPr>
          <w:sz w:val="24"/>
        </w:rPr>
        <w:t>、NO</w:t>
      </w:r>
      <w:r>
        <w:rPr>
          <w:sz w:val="24"/>
          <w:vertAlign w:val="subscript"/>
        </w:rPr>
        <w:t>2</w:t>
      </w:r>
      <w:r>
        <w:rPr>
          <w:sz w:val="24"/>
        </w:rPr>
        <w:t>、CO、O</w:t>
      </w:r>
      <w:r>
        <w:rPr>
          <w:sz w:val="24"/>
          <w:vertAlign w:val="subscript"/>
        </w:rPr>
        <w:t>3</w:t>
      </w:r>
      <w:r>
        <w:rPr>
          <w:sz w:val="24"/>
        </w:rPr>
        <w:t>执行《环境空气质量标准》（GB3095-2012）中二级标准，</w:t>
      </w:r>
      <w:r>
        <w:rPr>
          <w:rStyle w:val="47"/>
          <w:rFonts w:ascii="Times New Roman" w:hAnsi="Times New Roman" w:eastAsia="宋体" w:cs="Times New Roman"/>
          <w:color w:val="auto"/>
          <w:sz w:val="24"/>
          <w:szCs w:val="24"/>
        </w:rPr>
        <w:t>H</w:t>
      </w:r>
      <w:r>
        <w:rPr>
          <w:rStyle w:val="47"/>
          <w:rFonts w:ascii="Times New Roman" w:hAnsi="Times New Roman" w:eastAsia="宋体" w:cs="Times New Roman"/>
          <w:color w:val="auto"/>
          <w:sz w:val="24"/>
          <w:szCs w:val="24"/>
          <w:vertAlign w:val="subscript"/>
        </w:rPr>
        <w:t>2</w:t>
      </w:r>
      <w:r>
        <w:rPr>
          <w:rStyle w:val="47"/>
          <w:rFonts w:ascii="Times New Roman" w:hAnsi="Times New Roman" w:eastAsia="宋体" w:cs="Times New Roman"/>
          <w:color w:val="auto"/>
          <w:sz w:val="24"/>
          <w:szCs w:val="24"/>
        </w:rPr>
        <w:t>S、NH</w:t>
      </w:r>
      <w:r>
        <w:rPr>
          <w:rStyle w:val="47"/>
          <w:rFonts w:ascii="Times New Roman" w:hAnsi="Times New Roman" w:eastAsia="宋体" w:cs="Times New Roman"/>
          <w:color w:val="auto"/>
          <w:sz w:val="24"/>
          <w:szCs w:val="24"/>
          <w:vertAlign w:val="subscript"/>
        </w:rPr>
        <w:t>3</w:t>
      </w:r>
      <w:r>
        <w:rPr>
          <w:rStyle w:val="47"/>
          <w:rFonts w:hint="eastAsia" w:ascii="Times New Roman" w:hAnsi="Times New Roman" w:eastAsia="宋体" w:cs="Times New Roman"/>
          <w:color w:val="auto"/>
          <w:sz w:val="24"/>
          <w:szCs w:val="24"/>
        </w:rPr>
        <w:t>参照执行《环境影响评价技术导则  大气环境》（HJ2.2-2018）附录</w:t>
      </w:r>
      <w:r>
        <w:rPr>
          <w:rStyle w:val="47"/>
          <w:rFonts w:ascii="Times New Roman" w:hAnsi="Times New Roman" w:eastAsia="宋体" w:cs="Times New Roman"/>
          <w:color w:val="auto"/>
          <w:sz w:val="24"/>
          <w:szCs w:val="24"/>
        </w:rPr>
        <w:t>D</w:t>
      </w:r>
      <w:r>
        <w:rPr>
          <w:rStyle w:val="47"/>
          <w:rFonts w:hint="eastAsia" w:ascii="Times New Roman" w:hAnsi="Times New Roman" w:eastAsia="宋体" w:cs="Times New Roman"/>
          <w:color w:val="auto"/>
          <w:sz w:val="24"/>
          <w:szCs w:val="24"/>
        </w:rPr>
        <w:t>中的浓度限值</w:t>
      </w:r>
      <w:r>
        <w:rPr>
          <w:rFonts w:hint="eastAsia"/>
          <w:sz w:val="24"/>
        </w:rPr>
        <w:t>，</w:t>
      </w:r>
      <w:r>
        <w:rPr>
          <w:sz w:val="24"/>
        </w:rPr>
        <w:t>甲硫醇执行《居住区大气中甲硫醇卫生标准》（GB18056-2000）一次最高容许浓度限值</w:t>
      </w:r>
      <w:r>
        <w:rPr>
          <w:rFonts w:hint="eastAsia"/>
          <w:sz w:val="24"/>
        </w:rPr>
        <w:t>，非甲烷总烃参照执行河北省地方标准</w:t>
      </w:r>
      <w:r>
        <w:rPr>
          <w:sz w:val="24"/>
        </w:rPr>
        <w:t>《环境空气质量</w:t>
      </w:r>
      <w:r>
        <w:rPr>
          <w:rFonts w:hint="eastAsia"/>
          <w:sz w:val="24"/>
        </w:rPr>
        <w:t>非甲烷总烃限值</w:t>
      </w:r>
      <w:r>
        <w:rPr>
          <w:sz w:val="24"/>
        </w:rPr>
        <w:t>》（</w:t>
      </w:r>
      <w:r>
        <w:rPr>
          <w:rFonts w:hint="eastAsia"/>
          <w:sz w:val="24"/>
        </w:rPr>
        <w:t>D</w:t>
      </w:r>
      <w:r>
        <w:rPr>
          <w:sz w:val="24"/>
        </w:rPr>
        <w:t>B</w:t>
      </w:r>
      <w:r>
        <w:rPr>
          <w:rFonts w:hint="eastAsia"/>
          <w:sz w:val="24"/>
        </w:rPr>
        <w:t>13/1577</w:t>
      </w:r>
      <w:r>
        <w:rPr>
          <w:sz w:val="24"/>
        </w:rPr>
        <w:t>-2012）中二级标准</w:t>
      </w:r>
      <w:r>
        <w:rPr>
          <w:rFonts w:hint="eastAsia"/>
          <w:sz w:val="24"/>
        </w:rPr>
        <w:t>，具体详见下表。</w:t>
      </w:r>
    </w:p>
    <w:p>
      <w:pPr>
        <w:spacing w:line="500" w:lineRule="exact"/>
        <w:ind w:left="540" w:leftChars="257"/>
        <w:jc w:val="center"/>
        <w:rPr>
          <w:szCs w:val="21"/>
        </w:rPr>
      </w:pPr>
      <w:r>
        <w:rPr>
          <w:b/>
          <w:bCs/>
          <w:sz w:val="24"/>
        </w:rPr>
        <w:t>表2.3-1 环境空气质量评价标准</w:t>
      </w:r>
      <w:r>
        <w:rPr>
          <w:szCs w:val="21"/>
        </w:rPr>
        <w:t xml:space="preserve">   单位：μg/m</w:t>
      </w:r>
      <w:r>
        <w:rPr>
          <w:szCs w:val="21"/>
          <w:vertAlign w:val="superscript"/>
        </w:rPr>
        <w:t>3</w:t>
      </w:r>
      <w:r>
        <w:rPr>
          <w:rFonts w:hint="eastAsia"/>
          <w:szCs w:val="21"/>
        </w:rPr>
        <w:t>（CO除外）</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30"/>
        <w:gridCol w:w="2336"/>
        <w:gridCol w:w="2175"/>
        <w:gridCol w:w="18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6" w:hRule="exact"/>
        </w:trPr>
        <w:tc>
          <w:tcPr>
            <w:tcW w:w="2130" w:type="dxa"/>
            <w:tcBorders>
              <w:tl2br w:val="nil"/>
              <w:tr2bl w:val="nil"/>
            </w:tcBorders>
          </w:tcPr>
          <w:p>
            <w:pPr>
              <w:spacing w:line="300" w:lineRule="exact"/>
              <w:jc w:val="center"/>
              <w:rPr>
                <w:b/>
                <w:szCs w:val="21"/>
              </w:rPr>
            </w:pPr>
            <w:r>
              <w:rPr>
                <w:b/>
                <w:szCs w:val="21"/>
              </w:rPr>
              <w:t>项目</w:t>
            </w:r>
          </w:p>
        </w:tc>
        <w:tc>
          <w:tcPr>
            <w:tcW w:w="2336" w:type="dxa"/>
            <w:tcBorders>
              <w:tl2br w:val="nil"/>
              <w:tr2bl w:val="nil"/>
            </w:tcBorders>
          </w:tcPr>
          <w:p>
            <w:pPr>
              <w:spacing w:line="300" w:lineRule="exact"/>
              <w:jc w:val="center"/>
              <w:rPr>
                <w:b/>
                <w:szCs w:val="21"/>
              </w:rPr>
            </w:pPr>
            <w:r>
              <w:rPr>
                <w:b/>
                <w:szCs w:val="21"/>
              </w:rPr>
              <w:t>1小时平均</w:t>
            </w:r>
          </w:p>
        </w:tc>
        <w:tc>
          <w:tcPr>
            <w:tcW w:w="2175" w:type="dxa"/>
            <w:tcBorders>
              <w:tl2br w:val="nil"/>
              <w:tr2bl w:val="nil"/>
            </w:tcBorders>
          </w:tcPr>
          <w:p>
            <w:pPr>
              <w:spacing w:line="300" w:lineRule="exact"/>
              <w:jc w:val="center"/>
              <w:rPr>
                <w:b/>
                <w:szCs w:val="21"/>
              </w:rPr>
            </w:pPr>
            <w:r>
              <w:rPr>
                <w:b/>
                <w:szCs w:val="21"/>
              </w:rPr>
              <w:t>日平均</w:t>
            </w:r>
          </w:p>
        </w:tc>
        <w:tc>
          <w:tcPr>
            <w:tcW w:w="1881" w:type="dxa"/>
            <w:tcBorders>
              <w:tl2br w:val="nil"/>
              <w:tr2bl w:val="nil"/>
            </w:tcBorders>
          </w:tcPr>
          <w:p>
            <w:pPr>
              <w:spacing w:line="300" w:lineRule="exact"/>
              <w:jc w:val="center"/>
              <w:rPr>
                <w:b/>
                <w:szCs w:val="21"/>
              </w:rPr>
            </w:pPr>
            <w:r>
              <w:rPr>
                <w:b/>
                <w:szCs w:val="21"/>
              </w:rPr>
              <w:t>年平均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bCs/>
                <w:szCs w:val="21"/>
              </w:rPr>
              <w:t>SO</w:t>
            </w:r>
            <w:r>
              <w:rPr>
                <w:bCs/>
                <w:szCs w:val="21"/>
                <w:vertAlign w:val="subscript"/>
              </w:rPr>
              <w:t>2</w:t>
            </w:r>
          </w:p>
        </w:tc>
        <w:tc>
          <w:tcPr>
            <w:tcW w:w="2336" w:type="dxa"/>
            <w:tcBorders>
              <w:tl2br w:val="nil"/>
              <w:tr2bl w:val="nil"/>
            </w:tcBorders>
          </w:tcPr>
          <w:p>
            <w:pPr>
              <w:spacing w:line="300" w:lineRule="exact"/>
              <w:jc w:val="center"/>
              <w:rPr>
                <w:szCs w:val="21"/>
              </w:rPr>
            </w:pPr>
            <w:r>
              <w:rPr>
                <w:szCs w:val="21"/>
              </w:rPr>
              <w:t>500</w:t>
            </w:r>
          </w:p>
        </w:tc>
        <w:tc>
          <w:tcPr>
            <w:tcW w:w="2175" w:type="dxa"/>
            <w:tcBorders>
              <w:tl2br w:val="nil"/>
              <w:tr2bl w:val="nil"/>
            </w:tcBorders>
          </w:tcPr>
          <w:p>
            <w:pPr>
              <w:spacing w:line="300" w:lineRule="exact"/>
              <w:jc w:val="center"/>
              <w:rPr>
                <w:szCs w:val="21"/>
              </w:rPr>
            </w:pPr>
            <w:r>
              <w:rPr>
                <w:szCs w:val="21"/>
              </w:rPr>
              <w:t>150</w:t>
            </w:r>
          </w:p>
        </w:tc>
        <w:tc>
          <w:tcPr>
            <w:tcW w:w="1881" w:type="dxa"/>
            <w:tcBorders>
              <w:tl2br w:val="nil"/>
              <w:tr2bl w:val="nil"/>
            </w:tcBorders>
          </w:tcPr>
          <w:p>
            <w:pPr>
              <w:spacing w:line="300" w:lineRule="exact"/>
              <w:jc w:val="center"/>
              <w:rPr>
                <w:szCs w:val="21"/>
              </w:rPr>
            </w:pPr>
            <w:r>
              <w:rPr>
                <w:szCs w:val="21"/>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bCs/>
                <w:szCs w:val="21"/>
              </w:rPr>
              <w:t>NO</w:t>
            </w:r>
            <w:r>
              <w:rPr>
                <w:bCs/>
                <w:szCs w:val="21"/>
                <w:vertAlign w:val="subscript"/>
              </w:rPr>
              <w:t>2</w:t>
            </w:r>
          </w:p>
        </w:tc>
        <w:tc>
          <w:tcPr>
            <w:tcW w:w="2336" w:type="dxa"/>
            <w:tcBorders>
              <w:tl2br w:val="nil"/>
              <w:tr2bl w:val="nil"/>
            </w:tcBorders>
          </w:tcPr>
          <w:p>
            <w:pPr>
              <w:spacing w:line="300" w:lineRule="exact"/>
              <w:jc w:val="center"/>
              <w:rPr>
                <w:szCs w:val="21"/>
              </w:rPr>
            </w:pPr>
            <w:r>
              <w:rPr>
                <w:szCs w:val="21"/>
              </w:rPr>
              <w:t>200</w:t>
            </w:r>
          </w:p>
        </w:tc>
        <w:tc>
          <w:tcPr>
            <w:tcW w:w="2175" w:type="dxa"/>
            <w:tcBorders>
              <w:tl2br w:val="nil"/>
              <w:tr2bl w:val="nil"/>
            </w:tcBorders>
          </w:tcPr>
          <w:p>
            <w:pPr>
              <w:spacing w:line="300" w:lineRule="exact"/>
              <w:jc w:val="center"/>
              <w:rPr>
                <w:szCs w:val="21"/>
              </w:rPr>
            </w:pPr>
            <w:r>
              <w:rPr>
                <w:szCs w:val="21"/>
              </w:rPr>
              <w:t>80</w:t>
            </w:r>
          </w:p>
        </w:tc>
        <w:tc>
          <w:tcPr>
            <w:tcW w:w="1881" w:type="dxa"/>
            <w:tcBorders>
              <w:tl2br w:val="nil"/>
              <w:tr2bl w:val="nil"/>
            </w:tcBorders>
          </w:tcPr>
          <w:p>
            <w:pPr>
              <w:spacing w:line="300" w:lineRule="exact"/>
              <w:jc w:val="center"/>
              <w:rPr>
                <w:szCs w:val="21"/>
              </w:rPr>
            </w:pPr>
            <w:r>
              <w:rPr>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bCs/>
                <w:szCs w:val="21"/>
              </w:rPr>
              <w:t>PM</w:t>
            </w:r>
            <w:r>
              <w:rPr>
                <w:bCs/>
                <w:szCs w:val="21"/>
                <w:vertAlign w:val="subscript"/>
              </w:rPr>
              <w:t>10</w:t>
            </w:r>
          </w:p>
        </w:tc>
        <w:tc>
          <w:tcPr>
            <w:tcW w:w="2336" w:type="dxa"/>
            <w:tcBorders>
              <w:tl2br w:val="nil"/>
              <w:tr2bl w:val="nil"/>
            </w:tcBorders>
          </w:tcPr>
          <w:p>
            <w:pPr>
              <w:spacing w:line="300" w:lineRule="exact"/>
              <w:jc w:val="center"/>
              <w:rPr>
                <w:szCs w:val="21"/>
              </w:rPr>
            </w:pPr>
          </w:p>
        </w:tc>
        <w:tc>
          <w:tcPr>
            <w:tcW w:w="2175" w:type="dxa"/>
            <w:tcBorders>
              <w:tl2br w:val="nil"/>
              <w:tr2bl w:val="nil"/>
            </w:tcBorders>
          </w:tcPr>
          <w:p>
            <w:pPr>
              <w:spacing w:line="300" w:lineRule="exact"/>
              <w:jc w:val="center"/>
              <w:rPr>
                <w:szCs w:val="21"/>
              </w:rPr>
            </w:pPr>
            <w:r>
              <w:rPr>
                <w:szCs w:val="21"/>
              </w:rPr>
              <w:t>150</w:t>
            </w:r>
          </w:p>
        </w:tc>
        <w:tc>
          <w:tcPr>
            <w:tcW w:w="1881" w:type="dxa"/>
            <w:tcBorders>
              <w:tl2br w:val="nil"/>
              <w:tr2bl w:val="nil"/>
            </w:tcBorders>
          </w:tcPr>
          <w:p>
            <w:pPr>
              <w:spacing w:line="300" w:lineRule="exact"/>
              <w:jc w:val="center"/>
              <w:rPr>
                <w:szCs w:val="21"/>
              </w:rPr>
            </w:pPr>
            <w:r>
              <w:rPr>
                <w:szCs w:val="21"/>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bCs/>
                <w:szCs w:val="21"/>
              </w:rPr>
              <w:t>PM</w:t>
            </w:r>
            <w:r>
              <w:rPr>
                <w:rFonts w:hint="eastAsia"/>
                <w:bCs/>
                <w:szCs w:val="21"/>
                <w:vertAlign w:val="subscript"/>
              </w:rPr>
              <w:t>2.5</w:t>
            </w:r>
          </w:p>
        </w:tc>
        <w:tc>
          <w:tcPr>
            <w:tcW w:w="2336" w:type="dxa"/>
            <w:tcBorders>
              <w:tl2br w:val="nil"/>
              <w:tr2bl w:val="nil"/>
            </w:tcBorders>
          </w:tcPr>
          <w:p>
            <w:pPr>
              <w:spacing w:line="300" w:lineRule="exact"/>
              <w:jc w:val="center"/>
              <w:rPr>
                <w:szCs w:val="21"/>
              </w:rPr>
            </w:pPr>
          </w:p>
        </w:tc>
        <w:tc>
          <w:tcPr>
            <w:tcW w:w="2175" w:type="dxa"/>
            <w:tcBorders>
              <w:tl2br w:val="nil"/>
              <w:tr2bl w:val="nil"/>
            </w:tcBorders>
          </w:tcPr>
          <w:p>
            <w:pPr>
              <w:spacing w:line="300" w:lineRule="exact"/>
              <w:jc w:val="center"/>
              <w:rPr>
                <w:szCs w:val="21"/>
              </w:rPr>
            </w:pPr>
            <w:r>
              <w:rPr>
                <w:rFonts w:hint="eastAsia"/>
                <w:szCs w:val="21"/>
              </w:rPr>
              <w:t>75</w:t>
            </w:r>
          </w:p>
        </w:tc>
        <w:tc>
          <w:tcPr>
            <w:tcW w:w="1881" w:type="dxa"/>
            <w:tcBorders>
              <w:tl2br w:val="nil"/>
              <w:tr2bl w:val="nil"/>
            </w:tcBorders>
          </w:tcPr>
          <w:p>
            <w:pPr>
              <w:spacing w:line="300" w:lineRule="exact"/>
              <w:jc w:val="center"/>
              <w:rPr>
                <w:szCs w:val="21"/>
              </w:rPr>
            </w:pPr>
            <w:r>
              <w:rPr>
                <w:rFonts w:hint="eastAsia"/>
                <w:szCs w:val="21"/>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6" w:hRule="exact"/>
        </w:trPr>
        <w:tc>
          <w:tcPr>
            <w:tcW w:w="2130" w:type="dxa"/>
            <w:tcBorders>
              <w:tl2br w:val="nil"/>
              <w:tr2bl w:val="nil"/>
            </w:tcBorders>
          </w:tcPr>
          <w:p>
            <w:pPr>
              <w:spacing w:line="300" w:lineRule="exact"/>
              <w:jc w:val="center"/>
              <w:rPr>
                <w:bCs/>
                <w:szCs w:val="21"/>
              </w:rPr>
            </w:pPr>
            <w:r>
              <w:rPr>
                <w:rFonts w:hint="eastAsia"/>
                <w:bCs/>
                <w:szCs w:val="21"/>
              </w:rPr>
              <w:t>CO</w:t>
            </w:r>
          </w:p>
        </w:tc>
        <w:tc>
          <w:tcPr>
            <w:tcW w:w="2336" w:type="dxa"/>
            <w:tcBorders>
              <w:tl2br w:val="nil"/>
              <w:tr2bl w:val="nil"/>
            </w:tcBorders>
          </w:tcPr>
          <w:p>
            <w:pPr>
              <w:spacing w:line="300" w:lineRule="exact"/>
              <w:jc w:val="center"/>
              <w:rPr>
                <w:szCs w:val="21"/>
              </w:rPr>
            </w:pPr>
            <w:r>
              <w:rPr>
                <w:rFonts w:hint="eastAsia"/>
                <w:szCs w:val="21"/>
              </w:rPr>
              <w:t>10m</w:t>
            </w:r>
            <w:r>
              <w:rPr>
                <w:szCs w:val="21"/>
              </w:rPr>
              <w:t>g/m</w:t>
            </w:r>
            <w:r>
              <w:rPr>
                <w:szCs w:val="21"/>
                <w:vertAlign w:val="superscript"/>
              </w:rPr>
              <w:t>3</w:t>
            </w:r>
          </w:p>
        </w:tc>
        <w:tc>
          <w:tcPr>
            <w:tcW w:w="2175" w:type="dxa"/>
            <w:tcBorders>
              <w:tl2br w:val="nil"/>
              <w:tr2bl w:val="nil"/>
            </w:tcBorders>
          </w:tcPr>
          <w:p>
            <w:pPr>
              <w:spacing w:line="300" w:lineRule="exact"/>
              <w:jc w:val="center"/>
              <w:rPr>
                <w:szCs w:val="21"/>
              </w:rPr>
            </w:pPr>
            <w:r>
              <w:rPr>
                <w:rFonts w:hint="eastAsia"/>
                <w:szCs w:val="21"/>
              </w:rPr>
              <w:t>4m</w:t>
            </w:r>
            <w:r>
              <w:rPr>
                <w:szCs w:val="21"/>
              </w:rPr>
              <w:t>g/m</w:t>
            </w:r>
            <w:r>
              <w:rPr>
                <w:szCs w:val="21"/>
                <w:vertAlign w:val="superscript"/>
              </w:rPr>
              <w:t>3</w:t>
            </w:r>
          </w:p>
        </w:tc>
        <w:tc>
          <w:tcPr>
            <w:tcW w:w="1881" w:type="dxa"/>
            <w:tcBorders>
              <w:tl2br w:val="nil"/>
              <w:tr2bl w:val="nil"/>
            </w:tcBorders>
          </w:tcPr>
          <w:p>
            <w:pPr>
              <w:spacing w:line="30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bCs/>
                <w:szCs w:val="21"/>
              </w:rPr>
              <w:t>TSP</w:t>
            </w:r>
          </w:p>
        </w:tc>
        <w:tc>
          <w:tcPr>
            <w:tcW w:w="2336" w:type="dxa"/>
            <w:tcBorders>
              <w:tl2br w:val="nil"/>
              <w:tr2bl w:val="nil"/>
            </w:tcBorders>
          </w:tcPr>
          <w:p>
            <w:pPr>
              <w:spacing w:line="300" w:lineRule="exact"/>
              <w:jc w:val="center"/>
              <w:rPr>
                <w:szCs w:val="21"/>
              </w:rPr>
            </w:pPr>
          </w:p>
        </w:tc>
        <w:tc>
          <w:tcPr>
            <w:tcW w:w="2175" w:type="dxa"/>
            <w:tcBorders>
              <w:tl2br w:val="nil"/>
              <w:tr2bl w:val="nil"/>
            </w:tcBorders>
          </w:tcPr>
          <w:p>
            <w:pPr>
              <w:spacing w:line="300" w:lineRule="exact"/>
              <w:jc w:val="center"/>
              <w:rPr>
                <w:szCs w:val="21"/>
              </w:rPr>
            </w:pPr>
            <w:r>
              <w:rPr>
                <w:szCs w:val="21"/>
              </w:rPr>
              <w:t>300</w:t>
            </w:r>
          </w:p>
        </w:tc>
        <w:tc>
          <w:tcPr>
            <w:tcW w:w="1881" w:type="dxa"/>
            <w:tcBorders>
              <w:tl2br w:val="nil"/>
              <w:tr2bl w:val="nil"/>
            </w:tcBorders>
          </w:tcPr>
          <w:p>
            <w:pPr>
              <w:spacing w:line="300" w:lineRule="exact"/>
              <w:jc w:val="center"/>
              <w:rPr>
                <w:szCs w:val="21"/>
              </w:rPr>
            </w:pPr>
            <w:r>
              <w:rPr>
                <w:szCs w:val="21"/>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6" w:hRule="exact"/>
        </w:trPr>
        <w:tc>
          <w:tcPr>
            <w:tcW w:w="2130" w:type="dxa"/>
            <w:tcBorders>
              <w:tl2br w:val="nil"/>
              <w:tr2bl w:val="nil"/>
            </w:tcBorders>
          </w:tcPr>
          <w:p>
            <w:pPr>
              <w:spacing w:line="300" w:lineRule="exact"/>
              <w:jc w:val="center"/>
              <w:rPr>
                <w:b/>
                <w:szCs w:val="21"/>
              </w:rPr>
            </w:pPr>
            <w:r>
              <w:rPr>
                <w:rFonts w:hint="eastAsia"/>
                <w:b/>
                <w:szCs w:val="21"/>
              </w:rPr>
              <w:t>项目</w:t>
            </w:r>
          </w:p>
        </w:tc>
        <w:tc>
          <w:tcPr>
            <w:tcW w:w="2336" w:type="dxa"/>
            <w:tcBorders>
              <w:tl2br w:val="nil"/>
              <w:tr2bl w:val="nil"/>
            </w:tcBorders>
          </w:tcPr>
          <w:p>
            <w:pPr>
              <w:spacing w:line="300" w:lineRule="exact"/>
              <w:jc w:val="center"/>
              <w:rPr>
                <w:b/>
                <w:szCs w:val="21"/>
              </w:rPr>
            </w:pPr>
            <w:r>
              <w:rPr>
                <w:b/>
                <w:szCs w:val="21"/>
              </w:rPr>
              <w:t>1小时平均</w:t>
            </w:r>
          </w:p>
        </w:tc>
        <w:tc>
          <w:tcPr>
            <w:tcW w:w="2175" w:type="dxa"/>
            <w:tcBorders>
              <w:tl2br w:val="nil"/>
              <w:tr2bl w:val="nil"/>
            </w:tcBorders>
          </w:tcPr>
          <w:p>
            <w:pPr>
              <w:spacing w:line="300" w:lineRule="exact"/>
              <w:jc w:val="center"/>
              <w:rPr>
                <w:b/>
                <w:szCs w:val="21"/>
              </w:rPr>
            </w:pPr>
            <w:r>
              <w:rPr>
                <w:rFonts w:hint="eastAsia"/>
                <w:b/>
                <w:szCs w:val="21"/>
              </w:rPr>
              <w:t>日最大8小时平均</w:t>
            </w:r>
          </w:p>
        </w:tc>
        <w:tc>
          <w:tcPr>
            <w:tcW w:w="1881" w:type="dxa"/>
            <w:tcBorders>
              <w:tl2br w:val="nil"/>
              <w:tr2bl w:val="nil"/>
            </w:tcBorders>
          </w:tcPr>
          <w:p>
            <w:pPr>
              <w:spacing w:line="30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szCs w:val="21"/>
              </w:rPr>
            </w:pPr>
            <w:r>
              <w:rPr>
                <w:rFonts w:hint="eastAsia"/>
                <w:bCs/>
                <w:szCs w:val="21"/>
              </w:rPr>
              <w:t>O</w:t>
            </w:r>
            <w:r>
              <w:rPr>
                <w:rFonts w:hint="eastAsia"/>
                <w:bCs/>
                <w:szCs w:val="21"/>
                <w:vertAlign w:val="subscript"/>
              </w:rPr>
              <w:t>3</w:t>
            </w:r>
          </w:p>
        </w:tc>
        <w:tc>
          <w:tcPr>
            <w:tcW w:w="2336" w:type="dxa"/>
            <w:tcBorders>
              <w:tl2br w:val="nil"/>
              <w:tr2bl w:val="nil"/>
            </w:tcBorders>
          </w:tcPr>
          <w:p>
            <w:pPr>
              <w:spacing w:line="300" w:lineRule="exact"/>
              <w:jc w:val="center"/>
              <w:rPr>
                <w:szCs w:val="21"/>
              </w:rPr>
            </w:pPr>
            <w:r>
              <w:rPr>
                <w:rFonts w:hint="eastAsia"/>
                <w:szCs w:val="21"/>
              </w:rPr>
              <w:t>200</w:t>
            </w:r>
          </w:p>
        </w:tc>
        <w:tc>
          <w:tcPr>
            <w:tcW w:w="2175" w:type="dxa"/>
            <w:tcBorders>
              <w:tl2br w:val="nil"/>
              <w:tr2bl w:val="nil"/>
            </w:tcBorders>
          </w:tcPr>
          <w:p>
            <w:pPr>
              <w:spacing w:line="300" w:lineRule="exact"/>
              <w:jc w:val="center"/>
              <w:rPr>
                <w:szCs w:val="21"/>
              </w:rPr>
            </w:pPr>
            <w:r>
              <w:rPr>
                <w:rFonts w:hint="eastAsia"/>
                <w:szCs w:val="21"/>
              </w:rPr>
              <w:t>160</w:t>
            </w:r>
          </w:p>
        </w:tc>
        <w:tc>
          <w:tcPr>
            <w:tcW w:w="1881" w:type="dxa"/>
            <w:tcBorders>
              <w:tl2br w:val="nil"/>
              <w:tr2bl w:val="nil"/>
            </w:tcBorders>
          </w:tcPr>
          <w:p>
            <w:pPr>
              <w:spacing w:line="30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
                <w:szCs w:val="21"/>
              </w:rPr>
            </w:pPr>
            <w:r>
              <w:rPr>
                <w:rFonts w:hint="eastAsia"/>
                <w:b/>
                <w:szCs w:val="21"/>
              </w:rPr>
              <w:t>项目</w:t>
            </w:r>
          </w:p>
        </w:tc>
        <w:tc>
          <w:tcPr>
            <w:tcW w:w="2336" w:type="dxa"/>
            <w:tcBorders>
              <w:tl2br w:val="nil"/>
              <w:tr2bl w:val="nil"/>
            </w:tcBorders>
          </w:tcPr>
          <w:p>
            <w:pPr>
              <w:spacing w:line="300" w:lineRule="exact"/>
              <w:jc w:val="center"/>
              <w:rPr>
                <w:b/>
                <w:szCs w:val="21"/>
              </w:rPr>
            </w:pPr>
            <w:r>
              <w:rPr>
                <w:rFonts w:hint="eastAsia"/>
                <w:b/>
                <w:szCs w:val="21"/>
              </w:rPr>
              <w:t>一次最高容许浓度限值</w:t>
            </w:r>
          </w:p>
        </w:tc>
        <w:tc>
          <w:tcPr>
            <w:tcW w:w="2175" w:type="dxa"/>
            <w:tcBorders>
              <w:tl2br w:val="nil"/>
              <w:tr2bl w:val="nil"/>
            </w:tcBorders>
          </w:tcPr>
          <w:p>
            <w:pPr>
              <w:spacing w:line="300" w:lineRule="exact"/>
              <w:jc w:val="center"/>
              <w:rPr>
                <w:szCs w:val="21"/>
              </w:rPr>
            </w:pPr>
          </w:p>
        </w:tc>
        <w:tc>
          <w:tcPr>
            <w:tcW w:w="1881" w:type="dxa"/>
            <w:tcBorders>
              <w:tl2br w:val="nil"/>
              <w:tr2bl w:val="nil"/>
            </w:tcBorders>
          </w:tcPr>
          <w:p>
            <w:pPr>
              <w:spacing w:line="30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rStyle w:val="47"/>
                <w:rFonts w:ascii="Times New Roman" w:hAnsi="Times New Roman" w:eastAsia="宋体" w:cs="Times New Roman"/>
                <w:bCs/>
                <w:color w:val="auto"/>
                <w:sz w:val="21"/>
                <w:szCs w:val="21"/>
              </w:rPr>
              <w:t>H</w:t>
            </w:r>
            <w:r>
              <w:rPr>
                <w:rStyle w:val="47"/>
                <w:rFonts w:ascii="Times New Roman" w:hAnsi="Times New Roman" w:eastAsia="宋体" w:cs="Times New Roman"/>
                <w:bCs/>
                <w:color w:val="auto"/>
                <w:sz w:val="21"/>
                <w:szCs w:val="21"/>
                <w:vertAlign w:val="subscript"/>
              </w:rPr>
              <w:t>2</w:t>
            </w:r>
            <w:r>
              <w:rPr>
                <w:rStyle w:val="47"/>
                <w:rFonts w:ascii="Times New Roman" w:hAnsi="Times New Roman" w:eastAsia="宋体" w:cs="Times New Roman"/>
                <w:bCs/>
                <w:color w:val="auto"/>
                <w:sz w:val="21"/>
                <w:szCs w:val="21"/>
              </w:rPr>
              <w:t>S</w:t>
            </w:r>
          </w:p>
        </w:tc>
        <w:tc>
          <w:tcPr>
            <w:tcW w:w="2336" w:type="dxa"/>
            <w:tcBorders>
              <w:tl2br w:val="nil"/>
              <w:tr2bl w:val="nil"/>
            </w:tcBorders>
          </w:tcPr>
          <w:p>
            <w:pPr>
              <w:spacing w:line="300" w:lineRule="exact"/>
              <w:jc w:val="center"/>
              <w:rPr>
                <w:szCs w:val="21"/>
              </w:rPr>
            </w:pPr>
            <w:r>
              <w:rPr>
                <w:rFonts w:hint="eastAsia"/>
                <w:szCs w:val="21"/>
              </w:rPr>
              <w:t>10</w:t>
            </w:r>
          </w:p>
        </w:tc>
        <w:tc>
          <w:tcPr>
            <w:tcW w:w="2175" w:type="dxa"/>
            <w:tcBorders>
              <w:tl2br w:val="nil"/>
              <w:tr2bl w:val="nil"/>
            </w:tcBorders>
          </w:tcPr>
          <w:p>
            <w:pPr>
              <w:spacing w:line="300" w:lineRule="exact"/>
              <w:jc w:val="center"/>
              <w:rPr>
                <w:szCs w:val="21"/>
              </w:rPr>
            </w:pPr>
          </w:p>
        </w:tc>
        <w:tc>
          <w:tcPr>
            <w:tcW w:w="1881" w:type="dxa"/>
            <w:tcBorders>
              <w:tl2br w:val="nil"/>
              <w:tr2bl w:val="nil"/>
            </w:tcBorders>
          </w:tcPr>
          <w:p>
            <w:pPr>
              <w:spacing w:line="30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Cs/>
                <w:szCs w:val="21"/>
              </w:rPr>
            </w:pPr>
            <w:r>
              <w:rPr>
                <w:rStyle w:val="47"/>
                <w:rFonts w:ascii="Times New Roman" w:hAnsi="Times New Roman" w:eastAsia="宋体" w:cs="Times New Roman"/>
                <w:bCs/>
                <w:color w:val="auto"/>
                <w:sz w:val="21"/>
                <w:szCs w:val="21"/>
              </w:rPr>
              <w:t>NH</w:t>
            </w:r>
            <w:r>
              <w:rPr>
                <w:rStyle w:val="47"/>
                <w:rFonts w:ascii="Times New Roman" w:hAnsi="Times New Roman" w:eastAsia="宋体" w:cs="Times New Roman"/>
                <w:bCs/>
                <w:color w:val="auto"/>
                <w:sz w:val="21"/>
                <w:szCs w:val="21"/>
                <w:vertAlign w:val="subscript"/>
              </w:rPr>
              <w:t>3</w:t>
            </w:r>
          </w:p>
        </w:tc>
        <w:tc>
          <w:tcPr>
            <w:tcW w:w="2336" w:type="dxa"/>
            <w:tcBorders>
              <w:tl2br w:val="nil"/>
              <w:tr2bl w:val="nil"/>
            </w:tcBorders>
          </w:tcPr>
          <w:p>
            <w:pPr>
              <w:spacing w:line="300" w:lineRule="exact"/>
              <w:jc w:val="center"/>
              <w:rPr>
                <w:szCs w:val="21"/>
              </w:rPr>
            </w:pPr>
            <w:r>
              <w:rPr>
                <w:rFonts w:hint="eastAsia"/>
                <w:szCs w:val="21"/>
              </w:rPr>
              <w:t>200</w:t>
            </w:r>
          </w:p>
        </w:tc>
        <w:tc>
          <w:tcPr>
            <w:tcW w:w="2175" w:type="dxa"/>
            <w:tcBorders>
              <w:tl2br w:val="nil"/>
              <w:tr2bl w:val="nil"/>
            </w:tcBorders>
          </w:tcPr>
          <w:p>
            <w:pPr>
              <w:spacing w:line="300" w:lineRule="exact"/>
              <w:jc w:val="center"/>
              <w:rPr>
                <w:szCs w:val="21"/>
              </w:rPr>
            </w:pPr>
          </w:p>
        </w:tc>
        <w:tc>
          <w:tcPr>
            <w:tcW w:w="1881" w:type="dxa"/>
            <w:tcBorders>
              <w:tl2br w:val="nil"/>
              <w:tr2bl w:val="nil"/>
            </w:tcBorders>
          </w:tcPr>
          <w:p>
            <w:pPr>
              <w:spacing w:line="30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szCs w:val="21"/>
              </w:rPr>
            </w:pPr>
            <w:r>
              <w:rPr>
                <w:bCs/>
                <w:szCs w:val="21"/>
              </w:rPr>
              <w:t>甲硫醇</w:t>
            </w:r>
          </w:p>
        </w:tc>
        <w:tc>
          <w:tcPr>
            <w:tcW w:w="2336" w:type="dxa"/>
            <w:tcBorders>
              <w:tl2br w:val="nil"/>
              <w:tr2bl w:val="nil"/>
            </w:tcBorders>
          </w:tcPr>
          <w:p>
            <w:pPr>
              <w:spacing w:line="300" w:lineRule="exact"/>
              <w:jc w:val="center"/>
              <w:rPr>
                <w:szCs w:val="21"/>
              </w:rPr>
            </w:pPr>
            <w:r>
              <w:rPr>
                <w:rFonts w:hint="eastAsia"/>
                <w:szCs w:val="21"/>
              </w:rPr>
              <w:t>0.7</w:t>
            </w:r>
          </w:p>
        </w:tc>
        <w:tc>
          <w:tcPr>
            <w:tcW w:w="2175" w:type="dxa"/>
            <w:tcBorders>
              <w:tl2br w:val="nil"/>
              <w:tr2bl w:val="nil"/>
            </w:tcBorders>
          </w:tcPr>
          <w:p>
            <w:pPr>
              <w:spacing w:line="360" w:lineRule="exact"/>
              <w:jc w:val="center"/>
              <w:rPr>
                <w:szCs w:val="21"/>
              </w:rPr>
            </w:pPr>
          </w:p>
        </w:tc>
        <w:tc>
          <w:tcPr>
            <w:tcW w:w="1881" w:type="dxa"/>
            <w:tcBorders>
              <w:tl2br w:val="nil"/>
              <w:tr2bl w:val="nil"/>
            </w:tcBorders>
          </w:tcPr>
          <w:p>
            <w:pPr>
              <w:spacing w:line="36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b/>
                <w:szCs w:val="21"/>
              </w:rPr>
            </w:pPr>
            <w:r>
              <w:rPr>
                <w:rFonts w:hint="eastAsia"/>
                <w:b/>
                <w:szCs w:val="21"/>
              </w:rPr>
              <w:t>项目</w:t>
            </w:r>
          </w:p>
        </w:tc>
        <w:tc>
          <w:tcPr>
            <w:tcW w:w="2336" w:type="dxa"/>
            <w:tcBorders>
              <w:tl2br w:val="nil"/>
              <w:tr2bl w:val="nil"/>
            </w:tcBorders>
          </w:tcPr>
          <w:p>
            <w:pPr>
              <w:spacing w:line="300" w:lineRule="exact"/>
              <w:jc w:val="center"/>
              <w:rPr>
                <w:b/>
                <w:szCs w:val="21"/>
              </w:rPr>
            </w:pPr>
            <w:r>
              <w:rPr>
                <w:b/>
                <w:szCs w:val="21"/>
              </w:rPr>
              <w:t>1小时平均</w:t>
            </w:r>
          </w:p>
        </w:tc>
        <w:tc>
          <w:tcPr>
            <w:tcW w:w="2175" w:type="dxa"/>
            <w:tcBorders>
              <w:tl2br w:val="nil"/>
              <w:tr2bl w:val="nil"/>
            </w:tcBorders>
          </w:tcPr>
          <w:p>
            <w:pPr>
              <w:spacing w:line="360" w:lineRule="exact"/>
              <w:jc w:val="center"/>
              <w:rPr>
                <w:szCs w:val="21"/>
              </w:rPr>
            </w:pPr>
          </w:p>
        </w:tc>
        <w:tc>
          <w:tcPr>
            <w:tcW w:w="1881" w:type="dxa"/>
            <w:tcBorders>
              <w:tl2br w:val="nil"/>
              <w:tr2bl w:val="nil"/>
            </w:tcBorders>
          </w:tcPr>
          <w:p>
            <w:pPr>
              <w:spacing w:line="36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trPr>
        <w:tc>
          <w:tcPr>
            <w:tcW w:w="2130" w:type="dxa"/>
            <w:tcBorders>
              <w:tl2br w:val="nil"/>
              <w:tr2bl w:val="nil"/>
            </w:tcBorders>
          </w:tcPr>
          <w:p>
            <w:pPr>
              <w:spacing w:line="300" w:lineRule="exact"/>
              <w:jc w:val="center"/>
              <w:rPr>
                <w:szCs w:val="21"/>
              </w:rPr>
            </w:pPr>
            <w:r>
              <w:rPr>
                <w:rFonts w:hint="eastAsia"/>
                <w:bCs/>
                <w:szCs w:val="21"/>
              </w:rPr>
              <w:t>非甲烷总烃</w:t>
            </w:r>
          </w:p>
        </w:tc>
        <w:tc>
          <w:tcPr>
            <w:tcW w:w="2336" w:type="dxa"/>
            <w:tcBorders>
              <w:tl2br w:val="nil"/>
              <w:tr2bl w:val="nil"/>
            </w:tcBorders>
          </w:tcPr>
          <w:p>
            <w:pPr>
              <w:spacing w:line="300" w:lineRule="exact"/>
              <w:jc w:val="center"/>
              <w:rPr>
                <w:szCs w:val="21"/>
              </w:rPr>
            </w:pPr>
            <w:r>
              <w:rPr>
                <w:rFonts w:hint="eastAsia"/>
                <w:szCs w:val="21"/>
              </w:rPr>
              <w:t>2000</w:t>
            </w:r>
          </w:p>
        </w:tc>
        <w:tc>
          <w:tcPr>
            <w:tcW w:w="2175" w:type="dxa"/>
            <w:tcBorders>
              <w:tl2br w:val="nil"/>
              <w:tr2bl w:val="nil"/>
            </w:tcBorders>
          </w:tcPr>
          <w:p>
            <w:pPr>
              <w:spacing w:line="360" w:lineRule="exact"/>
              <w:jc w:val="center"/>
              <w:rPr>
                <w:szCs w:val="21"/>
              </w:rPr>
            </w:pPr>
          </w:p>
        </w:tc>
        <w:tc>
          <w:tcPr>
            <w:tcW w:w="1881" w:type="dxa"/>
            <w:tcBorders>
              <w:tl2br w:val="nil"/>
              <w:tr2bl w:val="nil"/>
            </w:tcBorders>
          </w:tcPr>
          <w:p>
            <w:pPr>
              <w:spacing w:line="360" w:lineRule="exact"/>
              <w:jc w:val="center"/>
              <w:rPr>
                <w:szCs w:val="21"/>
              </w:rPr>
            </w:pPr>
          </w:p>
        </w:tc>
      </w:tr>
    </w:tbl>
    <w:p>
      <w:pPr>
        <w:spacing w:line="500" w:lineRule="exact"/>
        <w:ind w:left="630"/>
        <w:rPr>
          <w:sz w:val="24"/>
        </w:rPr>
      </w:pPr>
      <w:r>
        <w:rPr>
          <w:rFonts w:hint="eastAsia"/>
          <w:sz w:val="24"/>
        </w:rPr>
        <w:t>2、</w:t>
      </w:r>
      <w:r>
        <w:rPr>
          <w:sz w:val="24"/>
        </w:rPr>
        <w:t>地表水质量标准</w:t>
      </w:r>
    </w:p>
    <w:p>
      <w:pPr>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距</w:t>
      </w:r>
      <w:r>
        <w:rPr>
          <w:rFonts w:hint="eastAsia"/>
          <w:color w:val="000000" w:themeColor="text1"/>
          <w:sz w:val="24"/>
          <w14:textFill>
            <w14:solidFill>
              <w14:schemeClr w14:val="tx1"/>
            </w14:solidFill>
          </w14:textFill>
        </w:rPr>
        <w:t>项目场地</w:t>
      </w:r>
      <w:r>
        <w:rPr>
          <w:color w:val="000000" w:themeColor="text1"/>
          <w:sz w:val="24"/>
          <w14:textFill>
            <w14:solidFill>
              <w14:schemeClr w14:val="tx1"/>
            </w14:solidFill>
          </w14:textFill>
        </w:rPr>
        <w:t>最近的地表水体为场址以东</w:t>
      </w:r>
      <w:r>
        <w:rPr>
          <w:rFonts w:hint="eastAsia"/>
          <w:color w:val="000000" w:themeColor="text1"/>
          <w:sz w:val="24"/>
          <w14:textFill>
            <w14:solidFill>
              <w14:schemeClr w14:val="tx1"/>
            </w14:solidFill>
          </w14:textFill>
        </w:rPr>
        <w:t>20m处的南大河河道，南大河为浊漳南源一级支流平顺河的支流，平顺河在辛安村附近汇入浊漳河。根据《山西省地表水环境功能区划》（DB14/67-2019），项目所在区域属浊漳河实会断面，水环境功能为保留区水源保护，水质目标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ROMAN</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类，应执行《</w:t>
      </w:r>
      <w:r>
        <w:rPr>
          <w:rFonts w:hint="eastAsia"/>
          <w:color w:val="000000" w:themeColor="text1"/>
          <w:sz w:val="24"/>
          <w14:textFill>
            <w14:solidFill>
              <w14:schemeClr w14:val="tx1"/>
            </w14:solidFill>
          </w14:textFill>
        </w:rPr>
        <w:t>地表水</w:t>
      </w:r>
      <w:r>
        <w:rPr>
          <w:color w:val="000000" w:themeColor="text1"/>
          <w:sz w:val="24"/>
          <w14:textFill>
            <w14:solidFill>
              <w14:schemeClr w14:val="tx1"/>
            </w14:solidFill>
          </w14:textFill>
        </w:rPr>
        <w:t>环境质量标准》（GB3838-2002）中Ⅲ类标准。其主要指标值详见下表。</w:t>
      </w:r>
    </w:p>
    <w:p>
      <w:pPr>
        <w:spacing w:line="500" w:lineRule="exact"/>
        <w:ind w:left="540" w:leftChars="257"/>
        <w:jc w:val="center"/>
        <w:rPr>
          <w:color w:val="000000" w:themeColor="text1"/>
          <w:szCs w:val="21"/>
          <w14:textFill>
            <w14:solidFill>
              <w14:schemeClr w14:val="tx1"/>
            </w14:solidFill>
          </w14:textFill>
        </w:rPr>
      </w:pPr>
      <w:r>
        <w:rPr>
          <w:b/>
          <w:bCs/>
          <w:color w:val="000000" w:themeColor="text1"/>
          <w:sz w:val="24"/>
          <w14:textFill>
            <w14:solidFill>
              <w14:schemeClr w14:val="tx1"/>
            </w14:solidFill>
          </w14:textFill>
        </w:rPr>
        <w:t>表2.3-2 地表水环境质量主要评价指标</w:t>
      </w:r>
      <w:r>
        <w:rPr>
          <w:color w:val="000000" w:themeColor="text1"/>
          <w:szCs w:val="21"/>
          <w14:textFill>
            <w14:solidFill>
              <w14:schemeClr w14:val="tx1"/>
            </w14:solidFill>
          </w14:textFill>
        </w:rPr>
        <w:t xml:space="preserve">   单位：mg/L</w:t>
      </w:r>
    </w:p>
    <w:tbl>
      <w:tblPr>
        <w:tblStyle w:val="29"/>
        <w:tblW w:w="850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42"/>
        <w:gridCol w:w="851"/>
        <w:gridCol w:w="992"/>
        <w:gridCol w:w="992"/>
        <w:gridCol w:w="993"/>
        <w:gridCol w:w="992"/>
        <w:gridCol w:w="850"/>
        <w:gridCol w:w="15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exact"/>
        </w:trPr>
        <w:tc>
          <w:tcPr>
            <w:tcW w:w="124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标准类别</w:t>
            </w:r>
          </w:p>
        </w:tc>
        <w:tc>
          <w:tcPr>
            <w:tcW w:w="851"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993"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溶解氧</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850" w:type="dxa"/>
          </w:tcPr>
          <w:p>
            <w:pPr>
              <w:spacing w:line="300" w:lineRule="exact"/>
              <w:jc w:val="center"/>
              <w:rPr>
                <w:color w:val="000000" w:themeColor="text1"/>
                <w:szCs w:val="21"/>
                <w14:textFill>
                  <w14:solidFill>
                    <w14:schemeClr w14:val="tx1"/>
                  </w14:solidFill>
                </w14:textFill>
              </w:rPr>
            </w:pPr>
            <w:r>
              <w:rPr>
                <w:color w:val="000000" w:themeColor="text1"/>
                <w:w w:val="90"/>
                <w:szCs w:val="21"/>
                <w14:textFill>
                  <w14:solidFill>
                    <w14:schemeClr w14:val="tx1"/>
                  </w14:solidFill>
                </w14:textFill>
              </w:rPr>
              <w:t>氰化物</w:t>
            </w:r>
          </w:p>
        </w:tc>
        <w:tc>
          <w:tcPr>
            <w:tcW w:w="1596" w:type="dxa"/>
            <w:vAlign w:val="center"/>
          </w:tcPr>
          <w:p>
            <w:pPr>
              <w:pStyle w:val="3"/>
              <w:spacing w:before="24" w:after="24" w:line="300" w:lineRule="exact"/>
              <w:rPr>
                <w:bCs w:val="0"/>
                <w:color w:val="000000" w:themeColor="text1"/>
                <w:w w:val="90"/>
                <w:szCs w:val="21"/>
                <w14:textFill>
                  <w14:solidFill>
                    <w14:schemeClr w14:val="tx1"/>
                  </w14:solidFill>
                </w14:textFill>
              </w:rPr>
            </w:pPr>
            <w:r>
              <w:rPr>
                <w:bCs w:val="0"/>
                <w:color w:val="000000" w:themeColor="text1"/>
                <w:szCs w:val="21"/>
                <w14:textFill>
                  <w14:solidFill>
                    <w14:schemeClr w14:val="tx1"/>
                  </w14:solidFill>
                </w14:textFill>
              </w:rPr>
              <w:t>硫化物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exact"/>
        </w:trPr>
        <w:tc>
          <w:tcPr>
            <w:tcW w:w="124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w:instrText>
            </w:r>
            <w:r>
              <w:rPr>
                <w:rFonts w:hint="eastAsia"/>
                <w:color w:val="000000" w:themeColor="text1"/>
                <w:szCs w:val="21"/>
                <w14:textFill>
                  <w14:solidFill>
                    <w14:schemeClr w14:val="tx1"/>
                  </w14:solidFill>
                </w14:textFill>
              </w:rPr>
              <w:instrText xml:space="preserve">= 3 \* ROMAN</w:instrText>
            </w:r>
            <w:r>
              <w:rPr>
                <w:color w:val="000000" w:themeColor="text1"/>
                <w:szCs w:val="21"/>
                <w14:textFill>
                  <w14:solidFill>
                    <w14:schemeClr w14:val="tx1"/>
                  </w14:solidFill>
                </w14:textFill>
              </w:rPr>
              <w:instrText xml:space="preserve">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t>III</w: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t>类</w:t>
            </w:r>
          </w:p>
        </w:tc>
        <w:tc>
          <w:tcPr>
            <w:tcW w:w="851"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20</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p>
        </w:tc>
        <w:tc>
          <w:tcPr>
            <w:tcW w:w="993"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850"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1596"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exact"/>
        </w:trPr>
        <w:tc>
          <w:tcPr>
            <w:tcW w:w="124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标准类别</w:t>
            </w:r>
          </w:p>
        </w:tc>
        <w:tc>
          <w:tcPr>
            <w:tcW w:w="851" w:type="dxa"/>
            <w:vAlign w:val="center"/>
          </w:tcPr>
          <w:p>
            <w:pPr>
              <w:pStyle w:val="3"/>
              <w:spacing w:before="24" w:after="24" w:line="300" w:lineRule="exact"/>
              <w:rPr>
                <w:bCs w:val="0"/>
                <w:color w:val="000000" w:themeColor="text1"/>
                <w:szCs w:val="21"/>
                <w14:textFill>
                  <w14:solidFill>
                    <w14:schemeClr w14:val="tx1"/>
                  </w14:solidFill>
                </w14:textFill>
              </w:rPr>
            </w:pPr>
            <w:r>
              <w:rPr>
                <w:bCs w:val="0"/>
                <w:color w:val="000000" w:themeColor="text1"/>
                <w:w w:val="90"/>
                <w:szCs w:val="21"/>
                <w14:textFill>
                  <w14:solidFill>
                    <w14:schemeClr w14:val="tx1"/>
                  </w14:solidFill>
                </w14:textFill>
              </w:rPr>
              <w:t>挥发酚</w:t>
            </w:r>
          </w:p>
        </w:tc>
        <w:tc>
          <w:tcPr>
            <w:tcW w:w="992" w:type="dxa"/>
            <w:vAlign w:val="center"/>
          </w:tcPr>
          <w:p>
            <w:pPr>
              <w:pStyle w:val="3"/>
              <w:spacing w:before="24" w:after="24" w:line="300" w:lineRule="exact"/>
              <w:rPr>
                <w:bCs w:val="0"/>
                <w:color w:val="000000" w:themeColor="text1"/>
                <w:szCs w:val="21"/>
                <w14:textFill>
                  <w14:solidFill>
                    <w14:schemeClr w14:val="tx1"/>
                  </w14:solidFill>
                </w14:textFill>
              </w:rPr>
            </w:pPr>
            <w:r>
              <w:rPr>
                <w:bCs w:val="0"/>
                <w:color w:val="000000" w:themeColor="text1"/>
                <w:w w:val="90"/>
                <w:szCs w:val="21"/>
                <w14:textFill>
                  <w14:solidFill>
                    <w14:schemeClr w14:val="tx1"/>
                  </w14:solidFill>
                </w14:textFill>
              </w:rPr>
              <w:t>氟化物</w:t>
            </w:r>
          </w:p>
        </w:tc>
        <w:tc>
          <w:tcPr>
            <w:tcW w:w="992" w:type="dxa"/>
            <w:vAlign w:val="center"/>
          </w:tcPr>
          <w:p>
            <w:pPr>
              <w:pStyle w:val="3"/>
              <w:spacing w:before="24" w:after="24" w:line="300" w:lineRule="exact"/>
              <w:rPr>
                <w:bCs w:val="0"/>
                <w:color w:val="000000" w:themeColor="text1"/>
                <w:szCs w:val="21"/>
                <w14:textFill>
                  <w14:solidFill>
                    <w14:schemeClr w14:val="tx1"/>
                  </w14:solidFill>
                </w14:textFill>
              </w:rPr>
            </w:pPr>
            <w:r>
              <w:rPr>
                <w:bCs w:val="0"/>
                <w:color w:val="000000" w:themeColor="text1"/>
                <w:w w:val="90"/>
                <w:szCs w:val="21"/>
                <w14:textFill>
                  <w14:solidFill>
                    <w14:schemeClr w14:val="tx1"/>
                  </w14:solidFill>
                </w14:textFill>
              </w:rPr>
              <w:t>砷</w:t>
            </w:r>
          </w:p>
        </w:tc>
        <w:tc>
          <w:tcPr>
            <w:tcW w:w="993" w:type="dxa"/>
            <w:vAlign w:val="center"/>
          </w:tcPr>
          <w:p>
            <w:pPr>
              <w:pStyle w:val="3"/>
              <w:spacing w:before="24" w:after="24" w:line="300" w:lineRule="exact"/>
              <w:rPr>
                <w:bCs w:val="0"/>
                <w:color w:val="000000" w:themeColor="text1"/>
                <w:szCs w:val="21"/>
                <w14:textFill>
                  <w14:solidFill>
                    <w14:schemeClr w14:val="tx1"/>
                  </w14:solidFill>
                </w14:textFill>
              </w:rPr>
            </w:pPr>
            <w:r>
              <w:rPr>
                <w:bCs w:val="0"/>
                <w:color w:val="000000" w:themeColor="text1"/>
                <w:w w:val="90"/>
                <w:szCs w:val="21"/>
                <w14:textFill>
                  <w14:solidFill>
                    <w14:schemeClr w14:val="tx1"/>
                  </w14:solidFill>
                </w14:textFill>
              </w:rPr>
              <w:t>汞</w:t>
            </w:r>
          </w:p>
        </w:tc>
        <w:tc>
          <w:tcPr>
            <w:tcW w:w="992" w:type="dxa"/>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六价铬</w:t>
            </w:r>
          </w:p>
        </w:tc>
        <w:tc>
          <w:tcPr>
            <w:tcW w:w="850" w:type="dxa"/>
            <w:vAlign w:val="center"/>
          </w:tcPr>
          <w:p>
            <w:pPr>
              <w:pStyle w:val="3"/>
              <w:spacing w:before="24" w:after="24" w:line="300" w:lineRule="exact"/>
              <w:rPr>
                <w:bCs w:val="0"/>
                <w:color w:val="000000" w:themeColor="text1"/>
                <w:szCs w:val="21"/>
                <w14:textFill>
                  <w14:solidFill>
                    <w14:schemeClr w14:val="tx1"/>
                  </w14:solidFill>
                </w14:textFill>
              </w:rPr>
            </w:pPr>
            <w:r>
              <w:rPr>
                <w:bCs w:val="0"/>
                <w:color w:val="000000" w:themeColor="text1"/>
                <w:szCs w:val="21"/>
                <w14:textFill>
                  <w14:solidFill>
                    <w14:schemeClr w14:val="tx1"/>
                  </w14:solidFill>
                </w14:textFill>
              </w:rPr>
              <w:t>总磷</w:t>
            </w:r>
          </w:p>
        </w:tc>
        <w:tc>
          <w:tcPr>
            <w:tcW w:w="1596" w:type="dxa"/>
            <w:vAlign w:val="center"/>
          </w:tcPr>
          <w:p>
            <w:pPr>
              <w:pStyle w:val="3"/>
              <w:spacing w:before="24" w:after="24" w:line="300" w:lineRule="exact"/>
              <w:rPr>
                <w:bCs w:val="0"/>
                <w:color w:val="000000" w:themeColor="text1"/>
                <w:szCs w:val="21"/>
                <w14:textFill>
                  <w14:solidFill>
                    <w14:schemeClr w14:val="tx1"/>
                  </w14:solidFill>
                </w14:textFill>
              </w:rPr>
            </w:pPr>
            <w:r>
              <w:rPr>
                <w:bCs w:val="0"/>
                <w:color w:val="000000" w:themeColor="text1"/>
                <w:szCs w:val="21"/>
                <w14:textFill>
                  <w14:solidFill>
                    <w14:schemeClr w14:val="tx1"/>
                  </w14:solidFill>
                </w14:textFill>
              </w:rPr>
              <w:t>高锰酸盐指数</w:t>
            </w:r>
          </w:p>
          <w:p>
            <w:pPr>
              <w:pStyle w:val="3"/>
              <w:spacing w:before="24" w:after="24" w:line="300" w:lineRule="exact"/>
              <w:rPr>
                <w:bC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exact"/>
        </w:trPr>
        <w:tc>
          <w:tcPr>
            <w:tcW w:w="124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w:instrText>
            </w:r>
            <w:r>
              <w:rPr>
                <w:rFonts w:hint="eastAsia"/>
                <w:color w:val="000000" w:themeColor="text1"/>
                <w:szCs w:val="21"/>
                <w14:textFill>
                  <w14:solidFill>
                    <w14:schemeClr w14:val="tx1"/>
                  </w14:solidFill>
                </w14:textFill>
              </w:rPr>
              <w:instrText xml:space="preserve">= 3 \* ROMAN</w:instrText>
            </w:r>
            <w:r>
              <w:rPr>
                <w:color w:val="000000" w:themeColor="text1"/>
                <w:szCs w:val="21"/>
                <w14:textFill>
                  <w14:solidFill>
                    <w14:schemeClr w14:val="tx1"/>
                  </w14:solidFill>
                </w14:textFill>
              </w:rPr>
              <w:instrText xml:space="preserve">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t>III</w: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t>类</w:t>
            </w:r>
          </w:p>
        </w:tc>
        <w:tc>
          <w:tcPr>
            <w:tcW w:w="851"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005</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0</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05</w:t>
            </w:r>
          </w:p>
        </w:tc>
        <w:tc>
          <w:tcPr>
            <w:tcW w:w="993"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01</w:t>
            </w:r>
          </w:p>
        </w:tc>
        <w:tc>
          <w:tcPr>
            <w:tcW w:w="992"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05</w:t>
            </w:r>
          </w:p>
        </w:tc>
        <w:tc>
          <w:tcPr>
            <w:tcW w:w="850"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w:t>
            </w:r>
          </w:p>
        </w:tc>
        <w:tc>
          <w:tcPr>
            <w:tcW w:w="1596" w:type="dxa"/>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w:t>
            </w:r>
          </w:p>
          <w:p>
            <w:pPr>
              <w:spacing w:line="300" w:lineRule="exact"/>
              <w:jc w:val="center"/>
              <w:rPr>
                <w:color w:val="000000" w:themeColor="text1"/>
                <w:szCs w:val="21"/>
                <w14:textFill>
                  <w14:solidFill>
                    <w14:schemeClr w14:val="tx1"/>
                  </w14:solidFill>
                </w14:textFill>
              </w:rPr>
            </w:pPr>
          </w:p>
        </w:tc>
      </w:tr>
    </w:tbl>
    <w:p>
      <w:pPr>
        <w:spacing w:line="500" w:lineRule="exact"/>
        <w:ind w:left="494"/>
        <w:rPr>
          <w:sz w:val="24"/>
        </w:rPr>
      </w:pPr>
      <w:r>
        <w:rPr>
          <w:rFonts w:hint="eastAsia"/>
          <w:sz w:val="24"/>
        </w:rPr>
        <w:t>3、</w:t>
      </w:r>
      <w:r>
        <w:rPr>
          <w:sz w:val="24"/>
        </w:rPr>
        <w:t>地下水质量标准</w:t>
      </w:r>
    </w:p>
    <w:p>
      <w:pPr>
        <w:spacing w:line="500" w:lineRule="exact"/>
        <w:ind w:firstLine="480" w:firstLineChars="200"/>
        <w:rPr>
          <w:sz w:val="24"/>
        </w:rPr>
      </w:pPr>
      <w:r>
        <w:rPr>
          <w:sz w:val="24"/>
        </w:rPr>
        <w:t>区域地下水质量评价执行《地下水质量标准》（GB/T14848-2017）中Ⅲ类标准</w:t>
      </w:r>
      <w:r>
        <w:rPr>
          <w:rFonts w:hint="eastAsia"/>
          <w:sz w:val="24"/>
        </w:rPr>
        <w:t>。</w:t>
      </w:r>
    </w:p>
    <w:p>
      <w:pPr>
        <w:spacing w:line="500" w:lineRule="exact"/>
        <w:ind w:firstLine="602" w:firstLineChars="250"/>
        <w:jc w:val="center"/>
        <w:rPr>
          <w:szCs w:val="21"/>
        </w:rPr>
      </w:pPr>
      <w:r>
        <w:rPr>
          <w:b/>
          <w:bCs/>
          <w:sz w:val="24"/>
        </w:rPr>
        <w:t>表2.3-3 地下水环境质量评价标准</w:t>
      </w:r>
      <w:r>
        <w:rPr>
          <w:szCs w:val="21"/>
        </w:rPr>
        <w:t xml:space="preserve">  单位：mg/L</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17"/>
        <w:gridCol w:w="1218"/>
        <w:gridCol w:w="1217"/>
        <w:gridCol w:w="1217"/>
        <w:gridCol w:w="1217"/>
        <w:gridCol w:w="1295"/>
        <w:gridCol w:w="1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17" w:type="dxa"/>
            <w:tcBorders>
              <w:tl2br w:val="nil"/>
              <w:tr2bl w:val="nil"/>
            </w:tcBorders>
            <w:vAlign w:val="center"/>
          </w:tcPr>
          <w:p>
            <w:pPr>
              <w:spacing w:line="360" w:lineRule="exact"/>
              <w:jc w:val="center"/>
              <w:rPr>
                <w:szCs w:val="21"/>
              </w:rPr>
            </w:pPr>
            <w:r>
              <w:rPr>
                <w:szCs w:val="21"/>
              </w:rPr>
              <w:t>污染物</w:t>
            </w:r>
          </w:p>
        </w:tc>
        <w:tc>
          <w:tcPr>
            <w:tcW w:w="1218" w:type="dxa"/>
            <w:tcBorders>
              <w:tl2br w:val="nil"/>
              <w:tr2bl w:val="nil"/>
            </w:tcBorders>
            <w:vAlign w:val="center"/>
          </w:tcPr>
          <w:p>
            <w:pPr>
              <w:widowControl/>
              <w:spacing w:line="280" w:lineRule="exact"/>
              <w:ind w:left="-108" w:right="-108"/>
              <w:jc w:val="center"/>
              <w:rPr>
                <w:color w:val="000000"/>
                <w:kern w:val="0"/>
                <w:szCs w:val="21"/>
              </w:rPr>
            </w:pPr>
            <w:r>
              <w:rPr>
                <w:color w:val="000000"/>
                <w:kern w:val="0"/>
                <w:szCs w:val="21"/>
              </w:rPr>
              <w:t>PH</w:t>
            </w:r>
          </w:p>
          <w:p>
            <w:pPr>
              <w:widowControl/>
              <w:spacing w:line="280" w:lineRule="exact"/>
              <w:ind w:left="-108" w:right="-108"/>
              <w:jc w:val="center"/>
              <w:rPr>
                <w:szCs w:val="21"/>
              </w:rPr>
            </w:pPr>
            <w:r>
              <w:rPr>
                <w:color w:val="000000"/>
                <w:kern w:val="0"/>
                <w:szCs w:val="21"/>
              </w:rPr>
              <w:t>(无量纲)</w:t>
            </w:r>
          </w:p>
        </w:tc>
        <w:tc>
          <w:tcPr>
            <w:tcW w:w="1217" w:type="dxa"/>
            <w:tcBorders>
              <w:tl2br w:val="nil"/>
              <w:tr2bl w:val="nil"/>
            </w:tcBorders>
            <w:vAlign w:val="center"/>
          </w:tcPr>
          <w:p>
            <w:pPr>
              <w:widowControl/>
              <w:spacing w:line="280" w:lineRule="exact"/>
              <w:ind w:left="-108" w:right="-108"/>
              <w:jc w:val="center"/>
              <w:rPr>
                <w:szCs w:val="21"/>
              </w:rPr>
            </w:pPr>
            <w:r>
              <w:rPr>
                <w:color w:val="000000"/>
                <w:kern w:val="0"/>
                <w:szCs w:val="21"/>
              </w:rPr>
              <w:t>总硬度</w:t>
            </w:r>
          </w:p>
        </w:tc>
        <w:tc>
          <w:tcPr>
            <w:tcW w:w="1217" w:type="dxa"/>
            <w:tcBorders>
              <w:tl2br w:val="nil"/>
              <w:tr2bl w:val="nil"/>
            </w:tcBorders>
            <w:vAlign w:val="center"/>
          </w:tcPr>
          <w:p>
            <w:pPr>
              <w:widowControl/>
              <w:spacing w:line="280" w:lineRule="exact"/>
              <w:ind w:left="-108" w:right="-108"/>
              <w:jc w:val="center"/>
              <w:rPr>
                <w:color w:val="000000"/>
                <w:kern w:val="0"/>
                <w:szCs w:val="21"/>
              </w:rPr>
            </w:pPr>
            <w:r>
              <w:rPr>
                <w:color w:val="000000"/>
                <w:kern w:val="0"/>
                <w:szCs w:val="21"/>
              </w:rPr>
              <w:t>溶解性</w:t>
            </w:r>
          </w:p>
          <w:p>
            <w:pPr>
              <w:widowControl/>
              <w:spacing w:line="280" w:lineRule="exact"/>
              <w:ind w:left="-108" w:right="-108"/>
              <w:jc w:val="center"/>
              <w:rPr>
                <w:szCs w:val="21"/>
              </w:rPr>
            </w:pPr>
            <w:r>
              <w:rPr>
                <w:color w:val="000000"/>
                <w:kern w:val="0"/>
                <w:szCs w:val="21"/>
              </w:rPr>
              <w:t>总固体</w:t>
            </w:r>
          </w:p>
        </w:tc>
        <w:tc>
          <w:tcPr>
            <w:tcW w:w="1217" w:type="dxa"/>
            <w:tcBorders>
              <w:tl2br w:val="nil"/>
              <w:tr2bl w:val="nil"/>
            </w:tcBorders>
            <w:vAlign w:val="center"/>
          </w:tcPr>
          <w:p>
            <w:pPr>
              <w:widowControl/>
              <w:spacing w:line="280" w:lineRule="exact"/>
              <w:ind w:left="-105" w:right="-108"/>
              <w:jc w:val="center"/>
              <w:rPr>
                <w:color w:val="000000"/>
                <w:kern w:val="0"/>
                <w:szCs w:val="21"/>
              </w:rPr>
            </w:pPr>
            <w:r>
              <w:rPr>
                <w:rFonts w:hint="eastAsia"/>
                <w:color w:val="000000"/>
                <w:kern w:val="0"/>
                <w:szCs w:val="21"/>
              </w:rPr>
              <w:t>菌落</w:t>
            </w:r>
            <w:r>
              <w:rPr>
                <w:color w:val="000000"/>
                <w:kern w:val="0"/>
                <w:szCs w:val="21"/>
              </w:rPr>
              <w:t>总数</w:t>
            </w:r>
          </w:p>
          <w:p>
            <w:pPr>
              <w:widowControl/>
              <w:spacing w:line="280" w:lineRule="exact"/>
              <w:ind w:left="-105" w:right="-108"/>
              <w:jc w:val="center"/>
              <w:rPr>
                <w:szCs w:val="21"/>
              </w:rPr>
            </w:pPr>
            <w:r>
              <w:rPr>
                <w:color w:val="000000"/>
                <w:kern w:val="0"/>
                <w:szCs w:val="21"/>
              </w:rPr>
              <w:t>(</w:t>
            </w:r>
            <w:r>
              <w:rPr>
                <w:rFonts w:hint="eastAsia"/>
                <w:color w:val="000000"/>
                <w:kern w:val="0"/>
                <w:szCs w:val="21"/>
              </w:rPr>
              <w:t>CFU</w:t>
            </w:r>
            <w:r>
              <w:rPr>
                <w:color w:val="000000"/>
                <w:kern w:val="0"/>
                <w:szCs w:val="21"/>
              </w:rPr>
              <w:t>/mL)</w:t>
            </w:r>
          </w:p>
        </w:tc>
        <w:tc>
          <w:tcPr>
            <w:tcW w:w="1295" w:type="dxa"/>
            <w:tcBorders>
              <w:tl2br w:val="nil"/>
              <w:tr2bl w:val="nil"/>
            </w:tcBorders>
            <w:vAlign w:val="center"/>
          </w:tcPr>
          <w:p>
            <w:pPr>
              <w:widowControl/>
              <w:spacing w:line="280" w:lineRule="exact"/>
              <w:ind w:left="-105" w:right="-108"/>
              <w:jc w:val="center"/>
              <w:rPr>
                <w:color w:val="000000"/>
                <w:kern w:val="0"/>
                <w:szCs w:val="21"/>
              </w:rPr>
            </w:pPr>
            <w:r>
              <w:rPr>
                <w:color w:val="000000"/>
                <w:kern w:val="0"/>
                <w:szCs w:val="21"/>
              </w:rPr>
              <w:t>总大肠菌群</w:t>
            </w:r>
          </w:p>
          <w:p>
            <w:pPr>
              <w:widowControl/>
              <w:spacing w:line="280" w:lineRule="exact"/>
              <w:ind w:left="-105" w:right="-108"/>
              <w:jc w:val="center"/>
              <w:rPr>
                <w:szCs w:val="21"/>
              </w:rPr>
            </w:pPr>
            <w:r>
              <w:rPr>
                <w:color w:val="000000"/>
                <w:kern w:val="0"/>
                <w:szCs w:val="21"/>
              </w:rPr>
              <w:t>(MPN/100m</w:t>
            </w:r>
            <w:r>
              <w:rPr>
                <w:rFonts w:hint="eastAsia"/>
                <w:color w:val="000000"/>
                <w:kern w:val="0"/>
                <w:szCs w:val="21"/>
              </w:rPr>
              <w:t>L</w:t>
            </w:r>
            <w:r>
              <w:rPr>
                <w:color w:val="000000"/>
                <w:kern w:val="0"/>
                <w:szCs w:val="21"/>
              </w:rPr>
              <w:t>)</w:t>
            </w:r>
          </w:p>
        </w:tc>
        <w:tc>
          <w:tcPr>
            <w:tcW w:w="1141" w:type="dxa"/>
            <w:tcBorders>
              <w:tl2br w:val="nil"/>
              <w:tr2bl w:val="nil"/>
            </w:tcBorders>
            <w:vAlign w:val="center"/>
          </w:tcPr>
          <w:p>
            <w:pPr>
              <w:widowControl/>
              <w:spacing w:line="280" w:lineRule="exact"/>
              <w:ind w:left="-105" w:right="-108"/>
              <w:jc w:val="center"/>
              <w:rPr>
                <w:szCs w:val="21"/>
              </w:rPr>
            </w:pPr>
            <w:r>
              <w:rPr>
                <w:color w:val="000000"/>
                <w:kern w:val="0"/>
                <w:szCs w:val="21"/>
              </w:rPr>
              <w:t>硝酸盐氮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1217" w:type="dxa"/>
            <w:tcBorders>
              <w:tl2br w:val="nil"/>
              <w:tr2bl w:val="nil"/>
            </w:tcBorders>
            <w:vAlign w:val="center"/>
          </w:tcPr>
          <w:p>
            <w:pPr>
              <w:spacing w:line="280" w:lineRule="exact"/>
              <w:jc w:val="center"/>
              <w:rPr>
                <w:szCs w:val="21"/>
              </w:rPr>
            </w:pPr>
            <w:r>
              <w:rPr>
                <w:szCs w:val="21"/>
              </w:rPr>
              <w:t>浓度值</w:t>
            </w:r>
          </w:p>
        </w:tc>
        <w:tc>
          <w:tcPr>
            <w:tcW w:w="1218" w:type="dxa"/>
            <w:tcBorders>
              <w:tl2br w:val="nil"/>
              <w:tr2bl w:val="nil"/>
            </w:tcBorders>
            <w:vAlign w:val="center"/>
          </w:tcPr>
          <w:p>
            <w:pPr>
              <w:spacing w:line="280" w:lineRule="exact"/>
              <w:ind w:left="-105" w:right="-105"/>
              <w:jc w:val="center"/>
              <w:rPr>
                <w:szCs w:val="21"/>
              </w:rPr>
            </w:pPr>
            <w:r>
              <w:rPr>
                <w:spacing w:val="-20"/>
                <w:kern w:val="0"/>
                <w:szCs w:val="21"/>
              </w:rPr>
              <w:t>6.5～8.5</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≤450</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≤1000</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≤100</w:t>
            </w:r>
          </w:p>
        </w:tc>
        <w:tc>
          <w:tcPr>
            <w:tcW w:w="1295" w:type="dxa"/>
            <w:tcBorders>
              <w:tl2br w:val="nil"/>
              <w:tr2bl w:val="nil"/>
            </w:tcBorders>
            <w:vAlign w:val="center"/>
          </w:tcPr>
          <w:p>
            <w:pPr>
              <w:spacing w:line="280" w:lineRule="exact"/>
              <w:ind w:left="-105" w:right="-105"/>
              <w:jc w:val="center"/>
              <w:rPr>
                <w:szCs w:val="21"/>
              </w:rPr>
            </w:pPr>
            <w:r>
              <w:rPr>
                <w:spacing w:val="-20"/>
                <w:kern w:val="0"/>
                <w:szCs w:val="21"/>
              </w:rPr>
              <w:t>≤3.0</w:t>
            </w:r>
          </w:p>
        </w:tc>
        <w:tc>
          <w:tcPr>
            <w:tcW w:w="1141" w:type="dxa"/>
            <w:tcBorders>
              <w:tl2br w:val="nil"/>
              <w:tr2bl w:val="nil"/>
            </w:tcBorders>
            <w:vAlign w:val="center"/>
          </w:tcPr>
          <w:p>
            <w:pPr>
              <w:spacing w:line="280" w:lineRule="exact"/>
              <w:ind w:left="-105" w:right="-105"/>
              <w:jc w:val="center"/>
              <w:rPr>
                <w:szCs w:val="21"/>
              </w:rPr>
            </w:pPr>
            <w:r>
              <w:rPr>
                <w:spacing w:val="-20"/>
                <w:kern w:val="0"/>
                <w:szCs w:val="21"/>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1217" w:type="dxa"/>
            <w:tcBorders>
              <w:tl2br w:val="nil"/>
              <w:tr2bl w:val="nil"/>
            </w:tcBorders>
            <w:vAlign w:val="center"/>
          </w:tcPr>
          <w:p>
            <w:pPr>
              <w:spacing w:line="280" w:lineRule="exact"/>
              <w:ind w:right="-108"/>
              <w:jc w:val="center"/>
              <w:rPr>
                <w:color w:val="000000"/>
                <w:kern w:val="0"/>
                <w:szCs w:val="21"/>
              </w:rPr>
            </w:pPr>
            <w:r>
              <w:rPr>
                <w:color w:val="000000"/>
                <w:kern w:val="0"/>
                <w:szCs w:val="21"/>
              </w:rPr>
              <w:t>六价铬</w:t>
            </w:r>
          </w:p>
        </w:tc>
        <w:tc>
          <w:tcPr>
            <w:tcW w:w="1218" w:type="dxa"/>
            <w:tcBorders>
              <w:tl2br w:val="nil"/>
              <w:tr2bl w:val="nil"/>
            </w:tcBorders>
            <w:vAlign w:val="center"/>
          </w:tcPr>
          <w:p>
            <w:pPr>
              <w:spacing w:line="280" w:lineRule="exact"/>
              <w:ind w:right="-108"/>
              <w:jc w:val="center"/>
              <w:rPr>
                <w:szCs w:val="21"/>
              </w:rPr>
            </w:pPr>
            <w:r>
              <w:rPr>
                <w:color w:val="000000"/>
                <w:kern w:val="0"/>
                <w:szCs w:val="21"/>
              </w:rPr>
              <w:t>氰化物</w:t>
            </w:r>
          </w:p>
        </w:tc>
        <w:tc>
          <w:tcPr>
            <w:tcW w:w="1217" w:type="dxa"/>
            <w:tcBorders>
              <w:tl2br w:val="nil"/>
              <w:tr2bl w:val="nil"/>
            </w:tcBorders>
            <w:vAlign w:val="center"/>
          </w:tcPr>
          <w:p>
            <w:pPr>
              <w:widowControl/>
              <w:spacing w:line="280" w:lineRule="exact"/>
              <w:ind w:left="-105" w:right="-108"/>
              <w:jc w:val="center"/>
              <w:rPr>
                <w:szCs w:val="21"/>
              </w:rPr>
            </w:pPr>
            <w:r>
              <w:rPr>
                <w:color w:val="000000"/>
                <w:kern w:val="0"/>
                <w:szCs w:val="21"/>
              </w:rPr>
              <w:t>砷</w:t>
            </w:r>
          </w:p>
        </w:tc>
        <w:tc>
          <w:tcPr>
            <w:tcW w:w="1217" w:type="dxa"/>
            <w:tcBorders>
              <w:tl2br w:val="nil"/>
              <w:tr2bl w:val="nil"/>
            </w:tcBorders>
            <w:vAlign w:val="center"/>
          </w:tcPr>
          <w:p>
            <w:pPr>
              <w:widowControl/>
              <w:spacing w:line="280" w:lineRule="exact"/>
              <w:ind w:left="-105" w:right="-108"/>
              <w:jc w:val="center"/>
              <w:rPr>
                <w:szCs w:val="21"/>
              </w:rPr>
            </w:pPr>
            <w:r>
              <w:rPr>
                <w:color w:val="000000"/>
                <w:kern w:val="0"/>
                <w:szCs w:val="21"/>
              </w:rPr>
              <w:t>汞</w:t>
            </w:r>
          </w:p>
        </w:tc>
        <w:tc>
          <w:tcPr>
            <w:tcW w:w="1217" w:type="dxa"/>
            <w:tcBorders>
              <w:tl2br w:val="nil"/>
              <w:tr2bl w:val="nil"/>
            </w:tcBorders>
            <w:vAlign w:val="center"/>
          </w:tcPr>
          <w:p>
            <w:pPr>
              <w:widowControl/>
              <w:spacing w:line="280" w:lineRule="exact"/>
              <w:ind w:left="-108" w:right="-108"/>
              <w:jc w:val="center"/>
              <w:rPr>
                <w:szCs w:val="21"/>
              </w:rPr>
            </w:pPr>
            <w:r>
              <w:rPr>
                <w:color w:val="000000"/>
                <w:kern w:val="0"/>
                <w:szCs w:val="21"/>
              </w:rPr>
              <w:t>挥发酚</w:t>
            </w:r>
          </w:p>
        </w:tc>
        <w:tc>
          <w:tcPr>
            <w:tcW w:w="1295" w:type="dxa"/>
            <w:tcBorders>
              <w:tl2br w:val="nil"/>
              <w:tr2bl w:val="nil"/>
            </w:tcBorders>
            <w:vAlign w:val="center"/>
          </w:tcPr>
          <w:p>
            <w:pPr>
              <w:widowControl/>
              <w:spacing w:line="280" w:lineRule="exact"/>
              <w:ind w:left="-108" w:right="-108"/>
              <w:jc w:val="center"/>
              <w:rPr>
                <w:szCs w:val="21"/>
              </w:rPr>
            </w:pPr>
            <w:r>
              <w:rPr>
                <w:color w:val="000000"/>
                <w:kern w:val="0"/>
                <w:szCs w:val="21"/>
              </w:rPr>
              <w:t>亚硝酸盐氮</w:t>
            </w:r>
          </w:p>
        </w:tc>
        <w:tc>
          <w:tcPr>
            <w:tcW w:w="1141" w:type="dxa"/>
            <w:tcBorders>
              <w:tl2br w:val="nil"/>
              <w:tr2bl w:val="nil"/>
            </w:tcBorders>
            <w:vAlign w:val="center"/>
          </w:tcPr>
          <w:p>
            <w:pPr>
              <w:widowControl/>
              <w:spacing w:line="280" w:lineRule="exact"/>
              <w:ind w:left="-105" w:right="-105"/>
              <w:jc w:val="center"/>
              <w:rPr>
                <w:szCs w:val="21"/>
              </w:rPr>
            </w:pPr>
            <w:r>
              <w:rPr>
                <w:color w:val="000000"/>
                <w:kern w:val="0"/>
                <w:szCs w:val="21"/>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1217" w:type="dxa"/>
            <w:tcBorders>
              <w:tl2br w:val="nil"/>
              <w:tr2bl w:val="nil"/>
            </w:tcBorders>
            <w:vAlign w:val="center"/>
          </w:tcPr>
          <w:p>
            <w:pPr>
              <w:spacing w:line="280" w:lineRule="exact"/>
              <w:ind w:left="-105" w:right="-105"/>
              <w:jc w:val="center"/>
              <w:rPr>
                <w:szCs w:val="21"/>
              </w:rPr>
            </w:pPr>
            <w:r>
              <w:rPr>
                <w:spacing w:val="-20"/>
                <w:kern w:val="0"/>
                <w:szCs w:val="21"/>
              </w:rPr>
              <w:t>≤0.05</w:t>
            </w:r>
          </w:p>
        </w:tc>
        <w:tc>
          <w:tcPr>
            <w:tcW w:w="1218" w:type="dxa"/>
            <w:tcBorders>
              <w:tl2br w:val="nil"/>
              <w:tr2bl w:val="nil"/>
            </w:tcBorders>
            <w:vAlign w:val="center"/>
          </w:tcPr>
          <w:p>
            <w:pPr>
              <w:spacing w:line="280" w:lineRule="exact"/>
              <w:ind w:left="-105" w:right="-105"/>
              <w:jc w:val="center"/>
              <w:rPr>
                <w:szCs w:val="21"/>
              </w:rPr>
            </w:pPr>
            <w:r>
              <w:rPr>
                <w:spacing w:val="-20"/>
                <w:kern w:val="0"/>
                <w:szCs w:val="21"/>
              </w:rPr>
              <w:t>≤0.05</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≤0.01</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≤0.001</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≤0.002</w:t>
            </w:r>
          </w:p>
        </w:tc>
        <w:tc>
          <w:tcPr>
            <w:tcW w:w="1295" w:type="dxa"/>
            <w:tcBorders>
              <w:tl2br w:val="nil"/>
              <w:tr2bl w:val="nil"/>
            </w:tcBorders>
            <w:vAlign w:val="center"/>
          </w:tcPr>
          <w:p>
            <w:pPr>
              <w:spacing w:line="280" w:lineRule="exact"/>
              <w:ind w:left="-105" w:right="-105"/>
              <w:jc w:val="center"/>
              <w:rPr>
                <w:szCs w:val="21"/>
              </w:rPr>
            </w:pPr>
            <w:r>
              <w:rPr>
                <w:spacing w:val="-20"/>
                <w:kern w:val="0"/>
                <w:szCs w:val="21"/>
              </w:rPr>
              <w:t>≤1.00</w:t>
            </w:r>
          </w:p>
        </w:tc>
        <w:tc>
          <w:tcPr>
            <w:tcW w:w="1141" w:type="dxa"/>
            <w:tcBorders>
              <w:tl2br w:val="nil"/>
              <w:tr2bl w:val="nil"/>
            </w:tcBorders>
            <w:vAlign w:val="center"/>
          </w:tcPr>
          <w:p>
            <w:pPr>
              <w:spacing w:line="280" w:lineRule="exact"/>
              <w:ind w:left="-105" w:right="-105"/>
              <w:jc w:val="center"/>
              <w:rPr>
                <w:szCs w:val="21"/>
              </w:rPr>
            </w:pPr>
            <w:r>
              <w:rPr>
                <w:spacing w:val="-20"/>
                <w:kern w:val="0"/>
                <w:szCs w:val="21"/>
              </w:rPr>
              <w:t>≤0.50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1217" w:type="dxa"/>
            <w:tcBorders>
              <w:tl2br w:val="nil"/>
              <w:tr2bl w:val="nil"/>
            </w:tcBorders>
            <w:vAlign w:val="center"/>
          </w:tcPr>
          <w:p>
            <w:pPr>
              <w:spacing w:line="280" w:lineRule="exact"/>
              <w:ind w:left="-105" w:right="-108"/>
              <w:jc w:val="center"/>
              <w:rPr>
                <w:color w:val="FF0000"/>
                <w:szCs w:val="21"/>
              </w:rPr>
            </w:pPr>
            <w:r>
              <w:rPr>
                <w:kern w:val="0"/>
                <w:szCs w:val="21"/>
              </w:rPr>
              <w:t>铁</w:t>
            </w:r>
          </w:p>
        </w:tc>
        <w:tc>
          <w:tcPr>
            <w:tcW w:w="1218" w:type="dxa"/>
            <w:tcBorders>
              <w:tl2br w:val="nil"/>
              <w:tr2bl w:val="nil"/>
            </w:tcBorders>
            <w:vAlign w:val="center"/>
          </w:tcPr>
          <w:p>
            <w:pPr>
              <w:spacing w:line="280" w:lineRule="exact"/>
              <w:ind w:left="-105" w:right="-108"/>
              <w:jc w:val="center"/>
              <w:rPr>
                <w:szCs w:val="21"/>
              </w:rPr>
            </w:pPr>
            <w:r>
              <w:rPr>
                <w:kern w:val="0"/>
                <w:szCs w:val="21"/>
              </w:rPr>
              <w:t>锰</w:t>
            </w:r>
          </w:p>
        </w:tc>
        <w:tc>
          <w:tcPr>
            <w:tcW w:w="1217" w:type="dxa"/>
            <w:tcBorders>
              <w:tl2br w:val="nil"/>
              <w:tr2bl w:val="nil"/>
            </w:tcBorders>
            <w:vAlign w:val="center"/>
          </w:tcPr>
          <w:p>
            <w:pPr>
              <w:widowControl/>
              <w:spacing w:line="280" w:lineRule="exact"/>
              <w:ind w:left="-105" w:right="-108"/>
              <w:jc w:val="center"/>
              <w:rPr>
                <w:szCs w:val="21"/>
              </w:rPr>
            </w:pPr>
            <w:r>
              <w:rPr>
                <w:color w:val="000000"/>
                <w:kern w:val="0"/>
                <w:szCs w:val="21"/>
              </w:rPr>
              <w:t>镉</w:t>
            </w:r>
          </w:p>
        </w:tc>
        <w:tc>
          <w:tcPr>
            <w:tcW w:w="1217" w:type="dxa"/>
            <w:tcBorders>
              <w:tl2br w:val="nil"/>
              <w:tr2bl w:val="nil"/>
            </w:tcBorders>
            <w:vAlign w:val="center"/>
          </w:tcPr>
          <w:p>
            <w:pPr>
              <w:widowControl/>
              <w:spacing w:line="280" w:lineRule="exact"/>
              <w:ind w:left="-105" w:right="-108"/>
              <w:jc w:val="center"/>
              <w:rPr>
                <w:szCs w:val="21"/>
              </w:rPr>
            </w:pPr>
            <w:r>
              <w:rPr>
                <w:color w:val="000000"/>
                <w:kern w:val="0"/>
                <w:szCs w:val="21"/>
              </w:rPr>
              <w:t>铅</w:t>
            </w:r>
          </w:p>
        </w:tc>
        <w:tc>
          <w:tcPr>
            <w:tcW w:w="1217" w:type="dxa"/>
            <w:tcBorders>
              <w:tl2br w:val="nil"/>
              <w:tr2bl w:val="nil"/>
            </w:tcBorders>
            <w:vAlign w:val="center"/>
          </w:tcPr>
          <w:p>
            <w:pPr>
              <w:spacing w:line="280" w:lineRule="exact"/>
              <w:ind w:left="-105" w:right="-108"/>
              <w:jc w:val="center"/>
              <w:rPr>
                <w:szCs w:val="21"/>
              </w:rPr>
            </w:pPr>
            <w:r>
              <w:rPr>
                <w:szCs w:val="21"/>
              </w:rPr>
              <w:t>氯化物</w:t>
            </w:r>
          </w:p>
        </w:tc>
        <w:tc>
          <w:tcPr>
            <w:tcW w:w="1295" w:type="dxa"/>
            <w:tcBorders>
              <w:tl2br w:val="nil"/>
              <w:tr2bl w:val="nil"/>
            </w:tcBorders>
            <w:vAlign w:val="center"/>
          </w:tcPr>
          <w:p>
            <w:pPr>
              <w:spacing w:line="280" w:lineRule="exact"/>
              <w:ind w:right="-108"/>
              <w:jc w:val="center"/>
              <w:rPr>
                <w:szCs w:val="21"/>
              </w:rPr>
            </w:pPr>
            <w:r>
              <w:rPr>
                <w:szCs w:val="21"/>
              </w:rPr>
              <w:t>硫酸盐</w:t>
            </w:r>
          </w:p>
        </w:tc>
        <w:tc>
          <w:tcPr>
            <w:tcW w:w="1141" w:type="dxa"/>
            <w:tcBorders>
              <w:tl2br w:val="nil"/>
              <w:tr2bl w:val="nil"/>
            </w:tcBorders>
            <w:vAlign w:val="center"/>
          </w:tcPr>
          <w:p>
            <w:pPr>
              <w:spacing w:line="280" w:lineRule="exact"/>
              <w:ind w:left="-105" w:right="-108"/>
              <w:jc w:val="center"/>
              <w:rPr>
                <w:szCs w:val="21"/>
              </w:rPr>
            </w:pPr>
            <w:r>
              <w:rPr>
                <w:kern w:val="0"/>
                <w:szCs w:val="21"/>
              </w:rPr>
              <w:t>氟化物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1217" w:type="dxa"/>
            <w:tcBorders>
              <w:tl2br w:val="nil"/>
              <w:tr2bl w:val="nil"/>
            </w:tcBorders>
            <w:vAlign w:val="center"/>
          </w:tcPr>
          <w:p>
            <w:pPr>
              <w:spacing w:line="280" w:lineRule="exact"/>
              <w:ind w:left="-105" w:right="-105"/>
              <w:jc w:val="center"/>
              <w:rPr>
                <w:color w:val="FF0000"/>
                <w:szCs w:val="21"/>
              </w:rPr>
            </w:pPr>
            <w:r>
              <w:rPr>
                <w:spacing w:val="-20"/>
                <w:kern w:val="0"/>
                <w:szCs w:val="21"/>
              </w:rPr>
              <w:t>≤0.3</w:t>
            </w:r>
          </w:p>
        </w:tc>
        <w:tc>
          <w:tcPr>
            <w:tcW w:w="1218" w:type="dxa"/>
            <w:tcBorders>
              <w:tl2br w:val="nil"/>
              <w:tr2bl w:val="nil"/>
            </w:tcBorders>
            <w:vAlign w:val="center"/>
          </w:tcPr>
          <w:p>
            <w:pPr>
              <w:spacing w:line="280" w:lineRule="exact"/>
              <w:ind w:left="-105" w:right="-105"/>
              <w:jc w:val="center"/>
              <w:rPr>
                <w:szCs w:val="21"/>
              </w:rPr>
            </w:pPr>
            <w:r>
              <w:rPr>
                <w:spacing w:val="-20"/>
                <w:kern w:val="0"/>
                <w:szCs w:val="21"/>
              </w:rPr>
              <w:t>≤0.10</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≤0.005</w:t>
            </w:r>
          </w:p>
        </w:tc>
        <w:tc>
          <w:tcPr>
            <w:tcW w:w="1217" w:type="dxa"/>
            <w:tcBorders>
              <w:tl2br w:val="nil"/>
              <w:tr2bl w:val="nil"/>
            </w:tcBorders>
            <w:vAlign w:val="center"/>
          </w:tcPr>
          <w:p>
            <w:pPr>
              <w:spacing w:line="280" w:lineRule="exact"/>
              <w:ind w:left="-105" w:right="-105"/>
              <w:jc w:val="center"/>
              <w:rPr>
                <w:szCs w:val="21"/>
              </w:rPr>
            </w:pPr>
            <w:r>
              <w:rPr>
                <w:spacing w:val="-20"/>
                <w:kern w:val="0"/>
                <w:szCs w:val="21"/>
              </w:rPr>
              <w:t>≤0.01</w:t>
            </w:r>
          </w:p>
        </w:tc>
        <w:tc>
          <w:tcPr>
            <w:tcW w:w="1217" w:type="dxa"/>
            <w:tcBorders>
              <w:tl2br w:val="nil"/>
              <w:tr2bl w:val="nil"/>
            </w:tcBorders>
            <w:vAlign w:val="center"/>
          </w:tcPr>
          <w:p>
            <w:pPr>
              <w:spacing w:line="280" w:lineRule="exact"/>
              <w:ind w:left="-105" w:right="-105"/>
              <w:jc w:val="center"/>
              <w:rPr>
                <w:szCs w:val="21"/>
              </w:rPr>
            </w:pPr>
            <w:r>
              <w:rPr>
                <w:kern w:val="0"/>
                <w:szCs w:val="21"/>
              </w:rPr>
              <w:t>≤250</w:t>
            </w:r>
          </w:p>
        </w:tc>
        <w:tc>
          <w:tcPr>
            <w:tcW w:w="1295" w:type="dxa"/>
            <w:tcBorders>
              <w:tl2br w:val="nil"/>
              <w:tr2bl w:val="nil"/>
            </w:tcBorders>
            <w:vAlign w:val="center"/>
          </w:tcPr>
          <w:p>
            <w:pPr>
              <w:spacing w:line="280" w:lineRule="exact"/>
              <w:ind w:left="-105" w:right="-105"/>
              <w:jc w:val="center"/>
              <w:rPr>
                <w:szCs w:val="21"/>
              </w:rPr>
            </w:pPr>
            <w:r>
              <w:rPr>
                <w:kern w:val="0"/>
                <w:szCs w:val="21"/>
              </w:rPr>
              <w:t>≤250</w:t>
            </w:r>
          </w:p>
        </w:tc>
        <w:tc>
          <w:tcPr>
            <w:tcW w:w="1141" w:type="dxa"/>
            <w:tcBorders>
              <w:tl2br w:val="nil"/>
              <w:tr2bl w:val="nil"/>
            </w:tcBorders>
            <w:vAlign w:val="center"/>
          </w:tcPr>
          <w:p>
            <w:pPr>
              <w:spacing w:line="280" w:lineRule="exact"/>
              <w:ind w:left="-105" w:right="-105"/>
              <w:jc w:val="center"/>
              <w:rPr>
                <w:szCs w:val="21"/>
              </w:rPr>
            </w:pPr>
            <w:r>
              <w:rPr>
                <w:kern w:val="0"/>
                <w:szCs w:val="21"/>
              </w:rPr>
              <w:t>≤1.0</w:t>
            </w:r>
          </w:p>
        </w:tc>
      </w:tr>
    </w:tbl>
    <w:p>
      <w:pPr>
        <w:spacing w:line="480" w:lineRule="exact"/>
        <w:ind w:firstLine="480" w:firstLineChars="200"/>
        <w:rPr>
          <w:sz w:val="24"/>
        </w:rPr>
      </w:pPr>
      <w:r>
        <w:rPr>
          <w:sz w:val="24"/>
        </w:rPr>
        <w:t>4、声环境质量标准</w:t>
      </w:r>
    </w:p>
    <w:p>
      <w:pPr>
        <w:spacing w:line="480" w:lineRule="exact"/>
        <w:ind w:firstLine="480" w:firstLineChars="200"/>
        <w:rPr>
          <w:sz w:val="24"/>
          <w:szCs w:val="22"/>
        </w:rPr>
      </w:pPr>
      <w:r>
        <w:rPr>
          <w:sz w:val="24"/>
          <w:szCs w:val="22"/>
        </w:rPr>
        <w:t>项目区域属于农村地区，声环境执行《声环境质量标准》（GB3096-2008）中1类标准，具体标准值详见下表。</w:t>
      </w:r>
    </w:p>
    <w:p>
      <w:pPr>
        <w:spacing w:line="500" w:lineRule="exact"/>
        <w:ind w:firstLine="482" w:firstLineChars="200"/>
        <w:jc w:val="center"/>
        <w:rPr>
          <w:szCs w:val="21"/>
        </w:rPr>
      </w:pPr>
      <w:r>
        <w:rPr>
          <w:b/>
          <w:bCs/>
          <w:sz w:val="24"/>
        </w:rPr>
        <w:t xml:space="preserve">表2.3-4 区域声环境质量标准 </w:t>
      </w:r>
      <w:r>
        <w:rPr>
          <w:szCs w:val="21"/>
        </w:rPr>
        <w:t xml:space="preserve">      单位dB（A）</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840" w:type="dxa"/>
            <w:tcBorders>
              <w:tl2br w:val="nil"/>
              <w:tr2bl w:val="nil"/>
            </w:tcBorders>
          </w:tcPr>
          <w:p>
            <w:pPr>
              <w:spacing w:line="300" w:lineRule="exact"/>
              <w:jc w:val="center"/>
              <w:rPr>
                <w:szCs w:val="21"/>
              </w:rPr>
            </w:pPr>
            <w:r>
              <w:rPr>
                <w:szCs w:val="21"/>
              </w:rPr>
              <w:t>类别</w:t>
            </w:r>
          </w:p>
        </w:tc>
        <w:tc>
          <w:tcPr>
            <w:tcW w:w="2841" w:type="dxa"/>
            <w:tcBorders>
              <w:tl2br w:val="nil"/>
              <w:tr2bl w:val="nil"/>
            </w:tcBorders>
          </w:tcPr>
          <w:p>
            <w:pPr>
              <w:spacing w:line="300" w:lineRule="exact"/>
              <w:jc w:val="center"/>
              <w:rPr>
                <w:szCs w:val="21"/>
              </w:rPr>
            </w:pPr>
            <w:r>
              <w:rPr>
                <w:szCs w:val="21"/>
              </w:rPr>
              <w:t>昼间dB（A）</w:t>
            </w:r>
          </w:p>
        </w:tc>
        <w:tc>
          <w:tcPr>
            <w:tcW w:w="2841" w:type="dxa"/>
            <w:tcBorders>
              <w:tl2br w:val="nil"/>
              <w:tr2bl w:val="nil"/>
            </w:tcBorders>
          </w:tcPr>
          <w:p>
            <w:pPr>
              <w:spacing w:line="300" w:lineRule="exact"/>
              <w:jc w:val="center"/>
              <w:rPr>
                <w:szCs w:val="21"/>
              </w:rPr>
            </w:pPr>
            <w:r>
              <w:rPr>
                <w:szCs w:val="21"/>
              </w:rPr>
              <w:t>夜间dB（A）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840" w:type="dxa"/>
            <w:tcBorders>
              <w:tl2br w:val="nil"/>
              <w:tr2bl w:val="nil"/>
            </w:tcBorders>
          </w:tcPr>
          <w:p>
            <w:pPr>
              <w:spacing w:line="300" w:lineRule="exact"/>
              <w:jc w:val="center"/>
              <w:rPr>
                <w:szCs w:val="21"/>
              </w:rPr>
            </w:pPr>
            <w:r>
              <w:rPr>
                <w:szCs w:val="21"/>
              </w:rPr>
              <w:t>1</w:t>
            </w:r>
          </w:p>
        </w:tc>
        <w:tc>
          <w:tcPr>
            <w:tcW w:w="2841" w:type="dxa"/>
            <w:tcBorders>
              <w:tl2br w:val="nil"/>
              <w:tr2bl w:val="nil"/>
            </w:tcBorders>
          </w:tcPr>
          <w:p>
            <w:pPr>
              <w:spacing w:line="300" w:lineRule="exact"/>
              <w:jc w:val="center"/>
              <w:rPr>
                <w:szCs w:val="21"/>
              </w:rPr>
            </w:pPr>
            <w:r>
              <w:rPr>
                <w:szCs w:val="21"/>
              </w:rPr>
              <w:t>55</w:t>
            </w:r>
          </w:p>
        </w:tc>
        <w:tc>
          <w:tcPr>
            <w:tcW w:w="2841" w:type="dxa"/>
            <w:tcBorders>
              <w:tl2br w:val="nil"/>
              <w:tr2bl w:val="nil"/>
            </w:tcBorders>
          </w:tcPr>
          <w:p>
            <w:pPr>
              <w:spacing w:line="300" w:lineRule="exact"/>
              <w:jc w:val="center"/>
              <w:rPr>
                <w:szCs w:val="21"/>
              </w:rPr>
            </w:pPr>
            <w:r>
              <w:rPr>
                <w:szCs w:val="21"/>
              </w:rPr>
              <w:t>45</w:t>
            </w:r>
          </w:p>
        </w:tc>
      </w:tr>
    </w:tbl>
    <w:p>
      <w:pPr>
        <w:spacing w:line="480" w:lineRule="exact"/>
        <w:ind w:firstLine="480" w:firstLineChars="200"/>
        <w:rPr>
          <w:sz w:val="24"/>
        </w:rPr>
      </w:pPr>
      <w:r>
        <w:rPr>
          <w:rFonts w:hint="eastAsia"/>
          <w:sz w:val="24"/>
        </w:rPr>
        <w:t>5</w:t>
      </w:r>
      <w:r>
        <w:rPr>
          <w:sz w:val="24"/>
        </w:rPr>
        <w:t>、</w:t>
      </w:r>
      <w:r>
        <w:rPr>
          <w:rFonts w:hint="eastAsia"/>
          <w:sz w:val="24"/>
        </w:rPr>
        <w:t>土壤</w:t>
      </w:r>
      <w:r>
        <w:rPr>
          <w:sz w:val="24"/>
        </w:rPr>
        <w:t>环境质量标准</w:t>
      </w:r>
    </w:p>
    <w:p>
      <w:pPr>
        <w:spacing w:line="500" w:lineRule="exact"/>
        <w:ind w:firstLine="480" w:firstLineChars="200"/>
        <w:rPr>
          <w:sz w:val="24"/>
          <w:szCs w:val="22"/>
        </w:rPr>
      </w:pPr>
      <w:r>
        <w:rPr>
          <w:sz w:val="24"/>
          <w:szCs w:val="22"/>
        </w:rPr>
        <w:t>土壤执行《土壤环境质量农用地土壤污染风险管控标准（试行）》（GB/15618-2018）和《土壤环境质量建设用地土壤污染风险管控标准（试行）》（GB/36600-2018）中的风险筛选值，具体详见下表。</w:t>
      </w:r>
    </w:p>
    <w:p>
      <w:pPr>
        <w:spacing w:line="500" w:lineRule="exact"/>
        <w:jc w:val="center"/>
        <w:rPr>
          <w:b/>
          <w:bCs/>
          <w:sz w:val="24"/>
        </w:rPr>
      </w:pPr>
      <w:r>
        <w:rPr>
          <w:b/>
          <w:bCs/>
          <w:sz w:val="24"/>
        </w:rPr>
        <w:t>表</w:t>
      </w:r>
      <w:r>
        <w:rPr>
          <w:rFonts w:hint="eastAsia"/>
          <w:b/>
          <w:bCs/>
          <w:sz w:val="24"/>
        </w:rPr>
        <w:t>2.3-5</w:t>
      </w:r>
      <w:r>
        <w:rPr>
          <w:b/>
          <w:bCs/>
          <w:sz w:val="24"/>
        </w:rPr>
        <w:t xml:space="preserve"> 《土壤环境质量农用地土壤污染风险管控标准（试行）》</w:t>
      </w:r>
    </w:p>
    <w:tbl>
      <w:tblPr>
        <w:tblStyle w:val="29"/>
        <w:tblW w:w="850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7"/>
        <w:gridCol w:w="1410"/>
        <w:gridCol w:w="990"/>
        <w:gridCol w:w="1487"/>
        <w:gridCol w:w="1314"/>
        <w:gridCol w:w="1314"/>
        <w:gridCol w:w="13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vMerge w:val="restart"/>
            <w:tcBorders>
              <w:tl2br w:val="nil"/>
              <w:tr2bl w:val="nil"/>
            </w:tcBorders>
            <w:shd w:val="clear" w:color="auto" w:fill="FFFFFF"/>
            <w:vAlign w:val="center"/>
          </w:tcPr>
          <w:p>
            <w:pPr>
              <w:pStyle w:val="3"/>
              <w:spacing w:before="31" w:after="31"/>
              <w:rPr>
                <w:b/>
                <w:snapToGrid w:val="0"/>
              </w:rPr>
            </w:pPr>
            <w:r>
              <w:rPr>
                <w:color w:val="auto"/>
              </w:rPr>
              <w:t>序号</w:t>
            </w:r>
          </w:p>
        </w:tc>
        <w:tc>
          <w:tcPr>
            <w:tcW w:w="1410" w:type="dxa"/>
            <w:vMerge w:val="restart"/>
            <w:tcBorders>
              <w:tl2br w:val="nil"/>
              <w:tr2bl w:val="nil"/>
            </w:tcBorders>
            <w:shd w:val="clear" w:color="auto" w:fill="FFFFFF"/>
            <w:vAlign w:val="center"/>
          </w:tcPr>
          <w:p>
            <w:pPr>
              <w:pStyle w:val="3"/>
              <w:spacing w:before="31" w:after="31"/>
              <w:rPr>
                <w:snapToGrid w:val="0"/>
                <w:szCs w:val="21"/>
              </w:rPr>
            </w:pPr>
            <w:r>
              <w:rPr>
                <w:color w:val="auto"/>
              </w:rPr>
              <w:t>污染物项目</w:t>
            </w:r>
          </w:p>
        </w:tc>
        <w:tc>
          <w:tcPr>
            <w:tcW w:w="990" w:type="dxa"/>
            <w:vMerge w:val="restart"/>
            <w:tcBorders>
              <w:tl2br w:val="nil"/>
              <w:tr2bl w:val="nil"/>
            </w:tcBorders>
            <w:shd w:val="clear" w:color="auto" w:fill="FFFFFF"/>
            <w:vAlign w:val="center"/>
          </w:tcPr>
          <w:p>
            <w:pPr>
              <w:pStyle w:val="3"/>
              <w:spacing w:before="31" w:after="31"/>
              <w:rPr>
                <w:color w:val="auto"/>
              </w:rPr>
            </w:pPr>
            <w:r>
              <w:rPr>
                <w:rFonts w:hint="eastAsia"/>
                <w:color w:val="auto"/>
              </w:rPr>
              <w:t>单位</w:t>
            </w:r>
          </w:p>
        </w:tc>
        <w:tc>
          <w:tcPr>
            <w:tcW w:w="5430" w:type="dxa"/>
            <w:gridSpan w:val="4"/>
            <w:tcBorders>
              <w:tl2br w:val="nil"/>
              <w:tr2bl w:val="nil"/>
            </w:tcBorders>
            <w:shd w:val="clear" w:color="auto" w:fill="FFFFFF"/>
            <w:vAlign w:val="center"/>
          </w:tcPr>
          <w:p>
            <w:pPr>
              <w:pStyle w:val="3"/>
              <w:spacing w:before="31" w:after="31"/>
              <w:rPr>
                <w:b/>
                <w:snapToGrid w:val="0"/>
              </w:rPr>
            </w:pPr>
            <w:r>
              <w:rPr>
                <w:rFonts w:hint="eastAsia"/>
                <w:color w:val="auto"/>
              </w:rPr>
              <w:t>标准值</w:t>
            </w:r>
            <w:r>
              <w:rPr>
                <w:rFonts w:hint="eastAsia"/>
                <w:b/>
                <w:snapToGrid w:val="0"/>
              </w:rPr>
              <w:t>（取</w:t>
            </w:r>
            <w:r>
              <w:rPr>
                <w:b/>
                <w:snapToGrid w:val="0"/>
              </w:rPr>
              <w:t>风险筛选值</w:t>
            </w:r>
            <w:r>
              <w:rPr>
                <w:rFonts w:hint="eastAsia"/>
                <w:b/>
                <w:snapToGrid w:val="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vMerge w:val="continue"/>
            <w:tcBorders>
              <w:tl2br w:val="nil"/>
              <w:tr2bl w:val="nil"/>
            </w:tcBorders>
            <w:vAlign w:val="center"/>
          </w:tcPr>
          <w:p>
            <w:pPr>
              <w:snapToGrid w:val="0"/>
              <w:jc w:val="center"/>
              <w:rPr>
                <w:bCs/>
                <w:snapToGrid w:val="0"/>
                <w:kern w:val="0"/>
                <w:szCs w:val="21"/>
              </w:rPr>
            </w:pPr>
          </w:p>
        </w:tc>
        <w:tc>
          <w:tcPr>
            <w:tcW w:w="1410" w:type="dxa"/>
            <w:vMerge w:val="continue"/>
            <w:tcBorders>
              <w:tl2br w:val="nil"/>
              <w:tr2bl w:val="nil"/>
            </w:tcBorders>
            <w:vAlign w:val="center"/>
          </w:tcPr>
          <w:p>
            <w:pPr>
              <w:pStyle w:val="3"/>
              <w:spacing w:before="31" w:after="31"/>
              <w:rPr>
                <w:snapToGrid w:val="0"/>
                <w:szCs w:val="21"/>
              </w:rPr>
            </w:pPr>
          </w:p>
        </w:tc>
        <w:tc>
          <w:tcPr>
            <w:tcW w:w="990" w:type="dxa"/>
            <w:vMerge w:val="continue"/>
            <w:tcBorders>
              <w:tl2br w:val="nil"/>
              <w:tr2bl w:val="nil"/>
            </w:tcBorders>
            <w:vAlign w:val="center"/>
          </w:tcPr>
          <w:p>
            <w:pPr>
              <w:snapToGrid w:val="0"/>
              <w:jc w:val="center"/>
              <w:rPr>
                <w:bCs/>
                <w:snapToGrid w:val="0"/>
                <w:kern w:val="0"/>
                <w:szCs w:val="21"/>
              </w:rPr>
            </w:pPr>
          </w:p>
        </w:tc>
        <w:tc>
          <w:tcPr>
            <w:tcW w:w="1487" w:type="dxa"/>
            <w:tcBorders>
              <w:tl2br w:val="nil"/>
              <w:tr2bl w:val="nil"/>
            </w:tcBorders>
            <w:vAlign w:val="center"/>
          </w:tcPr>
          <w:p>
            <w:pPr>
              <w:pStyle w:val="3"/>
              <w:spacing w:before="31" w:after="31"/>
              <w:rPr>
                <w:snapToGrid w:val="0"/>
                <w:szCs w:val="21"/>
              </w:rPr>
            </w:pPr>
            <w:r>
              <w:rPr>
                <w:snapToGrid w:val="0"/>
                <w:szCs w:val="21"/>
              </w:rPr>
              <w:t>PH</w:t>
            </w:r>
            <w:r>
              <w:rPr>
                <w:snapToGrid w:val="0"/>
                <w:color w:val="auto"/>
                <w:szCs w:val="21"/>
              </w:rPr>
              <w:t>≤5.5</w:t>
            </w:r>
          </w:p>
        </w:tc>
        <w:tc>
          <w:tcPr>
            <w:tcW w:w="1314" w:type="dxa"/>
            <w:tcBorders>
              <w:tl2br w:val="nil"/>
              <w:tr2bl w:val="nil"/>
            </w:tcBorders>
            <w:vAlign w:val="center"/>
          </w:tcPr>
          <w:p>
            <w:pPr>
              <w:pStyle w:val="3"/>
              <w:spacing w:before="31" w:after="31"/>
              <w:rPr>
                <w:snapToGrid w:val="0"/>
                <w:szCs w:val="21"/>
              </w:rPr>
            </w:pPr>
            <w:r>
              <w:rPr>
                <w:snapToGrid w:val="0"/>
                <w:szCs w:val="21"/>
              </w:rPr>
              <w:t>5.5&lt;PH</w:t>
            </w:r>
            <w:r>
              <w:rPr>
                <w:snapToGrid w:val="0"/>
                <w:color w:val="auto"/>
                <w:szCs w:val="21"/>
              </w:rPr>
              <w:t>≤6.5</w:t>
            </w:r>
          </w:p>
        </w:tc>
        <w:tc>
          <w:tcPr>
            <w:tcW w:w="1314" w:type="dxa"/>
            <w:tcBorders>
              <w:tl2br w:val="nil"/>
              <w:tr2bl w:val="nil"/>
            </w:tcBorders>
            <w:vAlign w:val="center"/>
          </w:tcPr>
          <w:p>
            <w:pPr>
              <w:pStyle w:val="3"/>
              <w:spacing w:before="31" w:after="31"/>
              <w:rPr>
                <w:snapToGrid w:val="0"/>
                <w:szCs w:val="21"/>
              </w:rPr>
            </w:pPr>
            <w:r>
              <w:rPr>
                <w:snapToGrid w:val="0"/>
                <w:szCs w:val="21"/>
              </w:rPr>
              <w:t>6.5&lt;PH</w:t>
            </w:r>
            <w:r>
              <w:rPr>
                <w:snapToGrid w:val="0"/>
                <w:color w:val="auto"/>
                <w:szCs w:val="21"/>
              </w:rPr>
              <w:t>≤7.5</w:t>
            </w:r>
          </w:p>
        </w:tc>
        <w:tc>
          <w:tcPr>
            <w:tcW w:w="1315" w:type="dxa"/>
            <w:tcBorders>
              <w:tl2br w:val="nil"/>
              <w:tr2bl w:val="nil"/>
            </w:tcBorders>
            <w:vAlign w:val="center"/>
          </w:tcPr>
          <w:p>
            <w:pPr>
              <w:pStyle w:val="3"/>
              <w:spacing w:before="31" w:after="31"/>
              <w:rPr>
                <w:snapToGrid w:val="0"/>
                <w:szCs w:val="21"/>
              </w:rPr>
            </w:pPr>
            <w:r>
              <w:rPr>
                <w:snapToGrid w:val="0"/>
                <w:szCs w:val="21"/>
              </w:rPr>
              <w:t>PH&gt;</w:t>
            </w:r>
            <w:r>
              <w:rPr>
                <w:snapToGrid w:val="0"/>
                <w:color w:val="auto"/>
                <w:szCs w:val="21"/>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1</w:t>
            </w:r>
          </w:p>
        </w:tc>
        <w:tc>
          <w:tcPr>
            <w:tcW w:w="1410" w:type="dxa"/>
            <w:tcBorders>
              <w:tl2br w:val="nil"/>
              <w:tr2bl w:val="nil"/>
            </w:tcBorders>
            <w:vAlign w:val="center"/>
          </w:tcPr>
          <w:p>
            <w:pPr>
              <w:pStyle w:val="3"/>
              <w:spacing w:before="31" w:after="31"/>
              <w:rPr>
                <w:snapToGrid w:val="0"/>
                <w:color w:val="auto"/>
                <w:szCs w:val="21"/>
              </w:rPr>
            </w:pPr>
            <w:r>
              <w:rPr>
                <w:snapToGrid w:val="0"/>
                <w:color w:val="auto"/>
                <w:szCs w:val="21"/>
              </w:rPr>
              <w:t>镉</w:t>
            </w:r>
          </w:p>
        </w:tc>
        <w:tc>
          <w:tcPr>
            <w:tcW w:w="990" w:type="dxa"/>
            <w:tcBorders>
              <w:tl2br w:val="nil"/>
              <w:tr2bl w:val="nil"/>
            </w:tcBorders>
            <w:vAlign w:val="center"/>
          </w:tcPr>
          <w:p>
            <w:pPr>
              <w:pStyle w:val="3"/>
              <w:spacing w:before="31" w:after="31"/>
              <w:rPr>
                <w:snapToGrid w:val="0"/>
                <w:color w:val="auto"/>
                <w:szCs w:val="21"/>
              </w:rPr>
            </w:pPr>
            <w:r>
              <w:rPr>
                <w:bCs w:val="0"/>
                <w:szCs w:val="21"/>
              </w:rPr>
              <w:t>mg/kg</w:t>
            </w:r>
          </w:p>
        </w:tc>
        <w:tc>
          <w:tcPr>
            <w:tcW w:w="1487" w:type="dxa"/>
            <w:tcBorders>
              <w:tl2br w:val="nil"/>
              <w:tr2bl w:val="nil"/>
            </w:tcBorders>
            <w:vAlign w:val="center"/>
          </w:tcPr>
          <w:p>
            <w:pPr>
              <w:pStyle w:val="3"/>
              <w:spacing w:before="31" w:after="31"/>
              <w:rPr>
                <w:snapToGrid w:val="0"/>
                <w:color w:val="auto"/>
                <w:szCs w:val="21"/>
              </w:rPr>
            </w:pPr>
            <w:r>
              <w:rPr>
                <w:snapToGrid w:val="0"/>
                <w:color w:val="auto"/>
                <w:szCs w:val="21"/>
              </w:rPr>
              <w:t>0.3</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0.3</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0.3</w:t>
            </w:r>
          </w:p>
        </w:tc>
        <w:tc>
          <w:tcPr>
            <w:tcW w:w="1315" w:type="dxa"/>
            <w:tcBorders>
              <w:tl2br w:val="nil"/>
              <w:tr2bl w:val="nil"/>
            </w:tcBorders>
            <w:vAlign w:val="center"/>
          </w:tcPr>
          <w:p>
            <w:pPr>
              <w:pStyle w:val="3"/>
              <w:spacing w:before="31" w:after="31"/>
              <w:rPr>
                <w:b/>
                <w:bCs w:val="0"/>
                <w:snapToGrid w:val="0"/>
                <w:color w:val="auto"/>
                <w:szCs w:val="21"/>
              </w:rPr>
            </w:pPr>
            <w:r>
              <w:rPr>
                <w:b/>
                <w:bCs w:val="0"/>
                <w:snapToGrid w:val="0"/>
                <w:color w:val="auto"/>
                <w:szCs w:val="21"/>
              </w:rPr>
              <w:t>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2</w:t>
            </w:r>
          </w:p>
        </w:tc>
        <w:tc>
          <w:tcPr>
            <w:tcW w:w="1410" w:type="dxa"/>
            <w:tcBorders>
              <w:tl2br w:val="nil"/>
              <w:tr2bl w:val="nil"/>
            </w:tcBorders>
            <w:vAlign w:val="center"/>
          </w:tcPr>
          <w:p>
            <w:pPr>
              <w:pStyle w:val="3"/>
              <w:spacing w:before="31" w:after="31"/>
              <w:rPr>
                <w:snapToGrid w:val="0"/>
                <w:color w:val="auto"/>
                <w:szCs w:val="21"/>
              </w:rPr>
            </w:pPr>
            <w:r>
              <w:rPr>
                <w:snapToGrid w:val="0"/>
                <w:color w:val="auto"/>
                <w:szCs w:val="21"/>
              </w:rPr>
              <w:t>汞</w:t>
            </w:r>
          </w:p>
        </w:tc>
        <w:tc>
          <w:tcPr>
            <w:tcW w:w="990" w:type="dxa"/>
            <w:tcBorders>
              <w:tl2br w:val="nil"/>
              <w:tr2bl w:val="nil"/>
            </w:tcBorders>
            <w:vAlign w:val="center"/>
          </w:tcPr>
          <w:p>
            <w:pPr>
              <w:pStyle w:val="3"/>
              <w:spacing w:before="31" w:after="31"/>
              <w:rPr>
                <w:snapToGrid w:val="0"/>
                <w:color w:val="auto"/>
                <w:szCs w:val="21"/>
              </w:rPr>
            </w:pPr>
            <w:r>
              <w:rPr>
                <w:bCs w:val="0"/>
                <w:szCs w:val="21"/>
              </w:rPr>
              <w:t>mg/kg</w:t>
            </w:r>
          </w:p>
        </w:tc>
        <w:tc>
          <w:tcPr>
            <w:tcW w:w="1487" w:type="dxa"/>
            <w:tcBorders>
              <w:tl2br w:val="nil"/>
              <w:tr2bl w:val="nil"/>
            </w:tcBorders>
            <w:vAlign w:val="center"/>
          </w:tcPr>
          <w:p>
            <w:pPr>
              <w:pStyle w:val="3"/>
              <w:spacing w:before="31" w:after="31"/>
              <w:rPr>
                <w:snapToGrid w:val="0"/>
                <w:color w:val="auto"/>
                <w:szCs w:val="21"/>
              </w:rPr>
            </w:pPr>
            <w:r>
              <w:rPr>
                <w:snapToGrid w:val="0"/>
                <w:color w:val="auto"/>
                <w:szCs w:val="21"/>
              </w:rPr>
              <w:t>1.3</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1.8</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2.4</w:t>
            </w:r>
          </w:p>
        </w:tc>
        <w:tc>
          <w:tcPr>
            <w:tcW w:w="1315" w:type="dxa"/>
            <w:tcBorders>
              <w:tl2br w:val="nil"/>
              <w:tr2bl w:val="nil"/>
            </w:tcBorders>
            <w:vAlign w:val="center"/>
          </w:tcPr>
          <w:p>
            <w:pPr>
              <w:pStyle w:val="3"/>
              <w:spacing w:before="31" w:after="31"/>
              <w:rPr>
                <w:b/>
                <w:bCs w:val="0"/>
                <w:snapToGrid w:val="0"/>
                <w:color w:val="auto"/>
                <w:szCs w:val="21"/>
              </w:rPr>
            </w:pPr>
            <w:r>
              <w:rPr>
                <w:b/>
                <w:bCs w:val="0"/>
                <w:snapToGrid w:val="0"/>
                <w:color w:val="auto"/>
                <w:szCs w:val="21"/>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3</w:t>
            </w:r>
          </w:p>
        </w:tc>
        <w:tc>
          <w:tcPr>
            <w:tcW w:w="1410" w:type="dxa"/>
            <w:tcBorders>
              <w:tl2br w:val="nil"/>
              <w:tr2bl w:val="nil"/>
            </w:tcBorders>
            <w:vAlign w:val="center"/>
          </w:tcPr>
          <w:p>
            <w:pPr>
              <w:pStyle w:val="3"/>
              <w:spacing w:before="31" w:after="31"/>
              <w:rPr>
                <w:snapToGrid w:val="0"/>
                <w:color w:val="auto"/>
                <w:szCs w:val="21"/>
              </w:rPr>
            </w:pPr>
            <w:r>
              <w:rPr>
                <w:snapToGrid w:val="0"/>
                <w:color w:val="auto"/>
                <w:szCs w:val="21"/>
              </w:rPr>
              <w:t>砷</w:t>
            </w:r>
          </w:p>
        </w:tc>
        <w:tc>
          <w:tcPr>
            <w:tcW w:w="990" w:type="dxa"/>
            <w:tcBorders>
              <w:tl2br w:val="nil"/>
              <w:tr2bl w:val="nil"/>
            </w:tcBorders>
            <w:vAlign w:val="center"/>
          </w:tcPr>
          <w:p>
            <w:pPr>
              <w:pStyle w:val="3"/>
              <w:spacing w:before="31" w:after="31"/>
              <w:rPr>
                <w:snapToGrid w:val="0"/>
                <w:color w:val="auto"/>
                <w:szCs w:val="21"/>
              </w:rPr>
            </w:pPr>
            <w:r>
              <w:rPr>
                <w:bCs w:val="0"/>
                <w:szCs w:val="21"/>
              </w:rPr>
              <w:t>mg/kg</w:t>
            </w:r>
          </w:p>
        </w:tc>
        <w:tc>
          <w:tcPr>
            <w:tcW w:w="1487" w:type="dxa"/>
            <w:tcBorders>
              <w:tl2br w:val="nil"/>
              <w:tr2bl w:val="nil"/>
            </w:tcBorders>
            <w:vAlign w:val="center"/>
          </w:tcPr>
          <w:p>
            <w:pPr>
              <w:pStyle w:val="3"/>
              <w:spacing w:before="31" w:after="31"/>
              <w:rPr>
                <w:snapToGrid w:val="0"/>
                <w:color w:val="auto"/>
                <w:szCs w:val="21"/>
              </w:rPr>
            </w:pPr>
            <w:r>
              <w:rPr>
                <w:snapToGrid w:val="0"/>
                <w:color w:val="auto"/>
                <w:szCs w:val="21"/>
              </w:rPr>
              <w:t>40</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40</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30</w:t>
            </w:r>
          </w:p>
        </w:tc>
        <w:tc>
          <w:tcPr>
            <w:tcW w:w="1315" w:type="dxa"/>
            <w:tcBorders>
              <w:tl2br w:val="nil"/>
              <w:tr2bl w:val="nil"/>
            </w:tcBorders>
            <w:vAlign w:val="center"/>
          </w:tcPr>
          <w:p>
            <w:pPr>
              <w:pStyle w:val="3"/>
              <w:spacing w:before="31" w:after="31"/>
              <w:rPr>
                <w:b/>
                <w:bCs w:val="0"/>
                <w:snapToGrid w:val="0"/>
                <w:color w:val="auto"/>
                <w:szCs w:val="21"/>
              </w:rPr>
            </w:pPr>
            <w:r>
              <w:rPr>
                <w:b/>
                <w:bCs w:val="0"/>
                <w:snapToGrid w:val="0"/>
                <w:color w:val="auto"/>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4</w:t>
            </w:r>
          </w:p>
        </w:tc>
        <w:tc>
          <w:tcPr>
            <w:tcW w:w="1410" w:type="dxa"/>
            <w:tcBorders>
              <w:tl2br w:val="nil"/>
              <w:tr2bl w:val="nil"/>
            </w:tcBorders>
            <w:vAlign w:val="center"/>
          </w:tcPr>
          <w:p>
            <w:pPr>
              <w:pStyle w:val="3"/>
              <w:spacing w:before="31" w:after="31"/>
              <w:rPr>
                <w:snapToGrid w:val="0"/>
                <w:color w:val="auto"/>
                <w:szCs w:val="21"/>
              </w:rPr>
            </w:pPr>
            <w:r>
              <w:rPr>
                <w:snapToGrid w:val="0"/>
                <w:color w:val="auto"/>
                <w:szCs w:val="21"/>
              </w:rPr>
              <w:t>铅</w:t>
            </w:r>
          </w:p>
        </w:tc>
        <w:tc>
          <w:tcPr>
            <w:tcW w:w="990" w:type="dxa"/>
            <w:tcBorders>
              <w:tl2br w:val="nil"/>
              <w:tr2bl w:val="nil"/>
            </w:tcBorders>
            <w:vAlign w:val="center"/>
          </w:tcPr>
          <w:p>
            <w:pPr>
              <w:pStyle w:val="3"/>
              <w:spacing w:before="31" w:after="31"/>
              <w:rPr>
                <w:snapToGrid w:val="0"/>
                <w:color w:val="auto"/>
                <w:szCs w:val="21"/>
              </w:rPr>
            </w:pPr>
            <w:r>
              <w:rPr>
                <w:bCs w:val="0"/>
                <w:szCs w:val="21"/>
              </w:rPr>
              <w:t>mg/kg</w:t>
            </w:r>
          </w:p>
        </w:tc>
        <w:tc>
          <w:tcPr>
            <w:tcW w:w="1487" w:type="dxa"/>
            <w:tcBorders>
              <w:tl2br w:val="nil"/>
              <w:tr2bl w:val="nil"/>
            </w:tcBorders>
            <w:vAlign w:val="center"/>
          </w:tcPr>
          <w:p>
            <w:pPr>
              <w:pStyle w:val="3"/>
              <w:spacing w:before="31" w:after="31"/>
              <w:rPr>
                <w:snapToGrid w:val="0"/>
                <w:color w:val="auto"/>
                <w:szCs w:val="21"/>
              </w:rPr>
            </w:pPr>
            <w:r>
              <w:rPr>
                <w:snapToGrid w:val="0"/>
                <w:color w:val="auto"/>
                <w:szCs w:val="21"/>
              </w:rPr>
              <w:t>70</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90</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120</w:t>
            </w:r>
          </w:p>
        </w:tc>
        <w:tc>
          <w:tcPr>
            <w:tcW w:w="1315" w:type="dxa"/>
            <w:tcBorders>
              <w:tl2br w:val="nil"/>
              <w:tr2bl w:val="nil"/>
            </w:tcBorders>
            <w:vAlign w:val="center"/>
          </w:tcPr>
          <w:p>
            <w:pPr>
              <w:pStyle w:val="3"/>
              <w:spacing w:before="31" w:after="31"/>
              <w:rPr>
                <w:b/>
                <w:bCs w:val="0"/>
                <w:snapToGrid w:val="0"/>
                <w:color w:val="auto"/>
                <w:szCs w:val="21"/>
              </w:rPr>
            </w:pPr>
            <w:r>
              <w:rPr>
                <w:b/>
                <w:bCs w:val="0"/>
                <w:snapToGrid w:val="0"/>
                <w:color w:val="auto"/>
                <w:szCs w:val="21"/>
              </w:rPr>
              <w:t>170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5</w:t>
            </w:r>
          </w:p>
        </w:tc>
        <w:tc>
          <w:tcPr>
            <w:tcW w:w="1410" w:type="dxa"/>
            <w:tcBorders>
              <w:tl2br w:val="nil"/>
              <w:tr2bl w:val="nil"/>
            </w:tcBorders>
            <w:vAlign w:val="center"/>
          </w:tcPr>
          <w:p>
            <w:pPr>
              <w:pStyle w:val="3"/>
              <w:spacing w:before="31" w:after="31"/>
              <w:rPr>
                <w:snapToGrid w:val="0"/>
                <w:color w:val="auto"/>
                <w:szCs w:val="21"/>
              </w:rPr>
            </w:pPr>
            <w:r>
              <w:rPr>
                <w:snapToGrid w:val="0"/>
                <w:color w:val="auto"/>
                <w:szCs w:val="21"/>
              </w:rPr>
              <w:t>铬</w:t>
            </w:r>
          </w:p>
        </w:tc>
        <w:tc>
          <w:tcPr>
            <w:tcW w:w="990" w:type="dxa"/>
            <w:tcBorders>
              <w:tl2br w:val="nil"/>
              <w:tr2bl w:val="nil"/>
            </w:tcBorders>
            <w:vAlign w:val="center"/>
          </w:tcPr>
          <w:p>
            <w:pPr>
              <w:pStyle w:val="3"/>
              <w:spacing w:before="31" w:after="31"/>
              <w:rPr>
                <w:snapToGrid w:val="0"/>
                <w:color w:val="auto"/>
                <w:szCs w:val="21"/>
              </w:rPr>
            </w:pPr>
            <w:r>
              <w:rPr>
                <w:bCs w:val="0"/>
                <w:szCs w:val="21"/>
              </w:rPr>
              <w:t>mg/kg</w:t>
            </w:r>
          </w:p>
        </w:tc>
        <w:tc>
          <w:tcPr>
            <w:tcW w:w="1487" w:type="dxa"/>
            <w:tcBorders>
              <w:tl2br w:val="nil"/>
              <w:tr2bl w:val="nil"/>
            </w:tcBorders>
            <w:vAlign w:val="center"/>
          </w:tcPr>
          <w:p>
            <w:pPr>
              <w:pStyle w:val="3"/>
              <w:spacing w:before="31" w:after="31"/>
              <w:rPr>
                <w:snapToGrid w:val="0"/>
                <w:color w:val="auto"/>
                <w:szCs w:val="21"/>
              </w:rPr>
            </w:pPr>
            <w:r>
              <w:rPr>
                <w:snapToGrid w:val="0"/>
                <w:color w:val="auto"/>
                <w:szCs w:val="21"/>
              </w:rPr>
              <w:t>150</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150</w:t>
            </w:r>
          </w:p>
        </w:tc>
        <w:tc>
          <w:tcPr>
            <w:tcW w:w="1314" w:type="dxa"/>
            <w:tcBorders>
              <w:tl2br w:val="nil"/>
              <w:tr2bl w:val="nil"/>
            </w:tcBorders>
            <w:vAlign w:val="center"/>
          </w:tcPr>
          <w:p>
            <w:pPr>
              <w:pStyle w:val="3"/>
              <w:spacing w:before="31" w:after="31"/>
              <w:rPr>
                <w:snapToGrid w:val="0"/>
                <w:color w:val="auto"/>
                <w:szCs w:val="21"/>
              </w:rPr>
            </w:pPr>
            <w:r>
              <w:rPr>
                <w:snapToGrid w:val="0"/>
                <w:color w:val="auto"/>
                <w:szCs w:val="21"/>
              </w:rPr>
              <w:t>200</w:t>
            </w:r>
          </w:p>
        </w:tc>
        <w:tc>
          <w:tcPr>
            <w:tcW w:w="1315" w:type="dxa"/>
            <w:tcBorders>
              <w:tl2br w:val="nil"/>
              <w:tr2bl w:val="nil"/>
            </w:tcBorders>
            <w:vAlign w:val="center"/>
          </w:tcPr>
          <w:p>
            <w:pPr>
              <w:pStyle w:val="3"/>
              <w:spacing w:before="31" w:after="31"/>
              <w:rPr>
                <w:b/>
                <w:bCs w:val="0"/>
                <w:snapToGrid w:val="0"/>
                <w:color w:val="auto"/>
                <w:szCs w:val="21"/>
              </w:rPr>
            </w:pPr>
            <w:r>
              <w:rPr>
                <w:b/>
                <w:bCs w:val="0"/>
                <w:snapToGrid w:val="0"/>
                <w:color w:val="auto"/>
                <w:szCs w:val="21"/>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6</w:t>
            </w:r>
          </w:p>
        </w:tc>
        <w:tc>
          <w:tcPr>
            <w:tcW w:w="1410" w:type="dxa"/>
            <w:tcBorders>
              <w:tl2br w:val="nil"/>
              <w:tr2bl w:val="nil"/>
            </w:tcBorders>
            <w:vAlign w:val="center"/>
          </w:tcPr>
          <w:p>
            <w:pPr>
              <w:pStyle w:val="3"/>
              <w:spacing w:before="31" w:after="31"/>
              <w:rPr>
                <w:snapToGrid w:val="0"/>
                <w:szCs w:val="21"/>
              </w:rPr>
            </w:pPr>
            <w:r>
              <w:rPr>
                <w:snapToGrid w:val="0"/>
                <w:szCs w:val="21"/>
              </w:rPr>
              <w:t>铜</w:t>
            </w:r>
          </w:p>
        </w:tc>
        <w:tc>
          <w:tcPr>
            <w:tcW w:w="990" w:type="dxa"/>
            <w:tcBorders>
              <w:tl2br w:val="nil"/>
              <w:tr2bl w:val="nil"/>
            </w:tcBorders>
            <w:vAlign w:val="center"/>
          </w:tcPr>
          <w:p>
            <w:pPr>
              <w:pStyle w:val="3"/>
              <w:spacing w:before="31" w:after="31"/>
              <w:rPr>
                <w:snapToGrid w:val="0"/>
                <w:szCs w:val="21"/>
              </w:rPr>
            </w:pPr>
            <w:r>
              <w:rPr>
                <w:bCs w:val="0"/>
                <w:szCs w:val="21"/>
              </w:rPr>
              <w:t>mg/kg</w:t>
            </w:r>
          </w:p>
        </w:tc>
        <w:tc>
          <w:tcPr>
            <w:tcW w:w="1487" w:type="dxa"/>
            <w:tcBorders>
              <w:tl2br w:val="nil"/>
              <w:tr2bl w:val="nil"/>
            </w:tcBorders>
            <w:vAlign w:val="center"/>
          </w:tcPr>
          <w:p>
            <w:pPr>
              <w:pStyle w:val="3"/>
              <w:spacing w:before="31" w:after="31"/>
              <w:rPr>
                <w:snapToGrid w:val="0"/>
                <w:szCs w:val="21"/>
              </w:rPr>
            </w:pPr>
            <w:r>
              <w:rPr>
                <w:rFonts w:hint="eastAsia"/>
                <w:snapToGrid w:val="0"/>
                <w:szCs w:val="21"/>
              </w:rPr>
              <w:t>50</w:t>
            </w:r>
          </w:p>
        </w:tc>
        <w:tc>
          <w:tcPr>
            <w:tcW w:w="1314" w:type="dxa"/>
            <w:tcBorders>
              <w:tl2br w:val="nil"/>
              <w:tr2bl w:val="nil"/>
            </w:tcBorders>
            <w:vAlign w:val="center"/>
          </w:tcPr>
          <w:p>
            <w:pPr>
              <w:pStyle w:val="3"/>
              <w:spacing w:before="31" w:after="31"/>
              <w:rPr>
                <w:snapToGrid w:val="0"/>
                <w:szCs w:val="21"/>
              </w:rPr>
            </w:pPr>
            <w:r>
              <w:rPr>
                <w:rFonts w:hint="eastAsia"/>
                <w:snapToGrid w:val="0"/>
                <w:szCs w:val="21"/>
              </w:rPr>
              <w:t>50</w:t>
            </w:r>
          </w:p>
        </w:tc>
        <w:tc>
          <w:tcPr>
            <w:tcW w:w="1314" w:type="dxa"/>
            <w:tcBorders>
              <w:tl2br w:val="nil"/>
              <w:tr2bl w:val="nil"/>
            </w:tcBorders>
            <w:vAlign w:val="center"/>
          </w:tcPr>
          <w:p>
            <w:pPr>
              <w:pStyle w:val="3"/>
              <w:spacing w:before="31" w:after="31"/>
              <w:rPr>
                <w:snapToGrid w:val="0"/>
                <w:szCs w:val="21"/>
              </w:rPr>
            </w:pPr>
            <w:r>
              <w:rPr>
                <w:rFonts w:hint="eastAsia"/>
                <w:snapToGrid w:val="0"/>
                <w:szCs w:val="21"/>
              </w:rPr>
              <w:t>100</w:t>
            </w:r>
          </w:p>
        </w:tc>
        <w:tc>
          <w:tcPr>
            <w:tcW w:w="1315" w:type="dxa"/>
            <w:tcBorders>
              <w:tl2br w:val="nil"/>
              <w:tr2bl w:val="nil"/>
            </w:tcBorders>
            <w:vAlign w:val="center"/>
          </w:tcPr>
          <w:p>
            <w:pPr>
              <w:pStyle w:val="3"/>
              <w:spacing w:before="31" w:after="31"/>
              <w:rPr>
                <w:b/>
                <w:bCs w:val="0"/>
                <w:snapToGrid w:val="0"/>
                <w:szCs w:val="21"/>
              </w:rPr>
            </w:pPr>
            <w:r>
              <w:rPr>
                <w:rFonts w:hint="eastAsia"/>
                <w:b/>
                <w:bCs w:val="0"/>
                <w:snapToGrid w:val="0"/>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7</w:t>
            </w:r>
          </w:p>
        </w:tc>
        <w:tc>
          <w:tcPr>
            <w:tcW w:w="1410" w:type="dxa"/>
            <w:tcBorders>
              <w:tl2br w:val="nil"/>
              <w:tr2bl w:val="nil"/>
            </w:tcBorders>
            <w:vAlign w:val="center"/>
          </w:tcPr>
          <w:p>
            <w:pPr>
              <w:pStyle w:val="3"/>
              <w:spacing w:before="31" w:after="31"/>
              <w:rPr>
                <w:snapToGrid w:val="0"/>
                <w:szCs w:val="21"/>
              </w:rPr>
            </w:pPr>
            <w:r>
              <w:rPr>
                <w:snapToGrid w:val="0"/>
                <w:szCs w:val="21"/>
              </w:rPr>
              <w:t>镍</w:t>
            </w:r>
          </w:p>
        </w:tc>
        <w:tc>
          <w:tcPr>
            <w:tcW w:w="990" w:type="dxa"/>
            <w:tcBorders>
              <w:tl2br w:val="nil"/>
              <w:tr2bl w:val="nil"/>
            </w:tcBorders>
            <w:vAlign w:val="center"/>
          </w:tcPr>
          <w:p>
            <w:pPr>
              <w:pStyle w:val="3"/>
              <w:spacing w:before="31" w:after="31"/>
              <w:rPr>
                <w:snapToGrid w:val="0"/>
                <w:szCs w:val="21"/>
              </w:rPr>
            </w:pPr>
            <w:r>
              <w:rPr>
                <w:bCs w:val="0"/>
                <w:szCs w:val="21"/>
              </w:rPr>
              <w:t>mg/kg</w:t>
            </w:r>
          </w:p>
        </w:tc>
        <w:tc>
          <w:tcPr>
            <w:tcW w:w="1487" w:type="dxa"/>
            <w:tcBorders>
              <w:tl2br w:val="nil"/>
              <w:tr2bl w:val="nil"/>
            </w:tcBorders>
            <w:vAlign w:val="center"/>
          </w:tcPr>
          <w:p>
            <w:pPr>
              <w:pStyle w:val="3"/>
              <w:spacing w:before="31" w:after="31"/>
              <w:rPr>
                <w:snapToGrid w:val="0"/>
                <w:szCs w:val="21"/>
              </w:rPr>
            </w:pPr>
            <w:r>
              <w:rPr>
                <w:snapToGrid w:val="0"/>
                <w:szCs w:val="21"/>
              </w:rPr>
              <w:t>60</w:t>
            </w:r>
          </w:p>
        </w:tc>
        <w:tc>
          <w:tcPr>
            <w:tcW w:w="1314" w:type="dxa"/>
            <w:tcBorders>
              <w:tl2br w:val="nil"/>
              <w:tr2bl w:val="nil"/>
            </w:tcBorders>
            <w:vAlign w:val="center"/>
          </w:tcPr>
          <w:p>
            <w:pPr>
              <w:pStyle w:val="3"/>
              <w:spacing w:before="31" w:after="31"/>
              <w:rPr>
                <w:snapToGrid w:val="0"/>
                <w:szCs w:val="21"/>
              </w:rPr>
            </w:pPr>
            <w:r>
              <w:rPr>
                <w:snapToGrid w:val="0"/>
                <w:szCs w:val="21"/>
              </w:rPr>
              <w:t>70</w:t>
            </w:r>
          </w:p>
        </w:tc>
        <w:tc>
          <w:tcPr>
            <w:tcW w:w="1314" w:type="dxa"/>
            <w:tcBorders>
              <w:tl2br w:val="nil"/>
              <w:tr2bl w:val="nil"/>
            </w:tcBorders>
            <w:vAlign w:val="center"/>
          </w:tcPr>
          <w:p>
            <w:pPr>
              <w:pStyle w:val="3"/>
              <w:spacing w:before="31" w:after="31"/>
              <w:rPr>
                <w:snapToGrid w:val="0"/>
                <w:szCs w:val="21"/>
              </w:rPr>
            </w:pPr>
            <w:r>
              <w:rPr>
                <w:snapToGrid w:val="0"/>
                <w:szCs w:val="21"/>
              </w:rPr>
              <w:t>100</w:t>
            </w:r>
          </w:p>
        </w:tc>
        <w:tc>
          <w:tcPr>
            <w:tcW w:w="1315" w:type="dxa"/>
            <w:tcBorders>
              <w:tl2br w:val="nil"/>
              <w:tr2bl w:val="nil"/>
            </w:tcBorders>
            <w:vAlign w:val="center"/>
          </w:tcPr>
          <w:p>
            <w:pPr>
              <w:pStyle w:val="3"/>
              <w:spacing w:before="31" w:after="31"/>
              <w:rPr>
                <w:b/>
                <w:bCs w:val="0"/>
                <w:snapToGrid w:val="0"/>
                <w:szCs w:val="21"/>
              </w:rPr>
            </w:pPr>
            <w:r>
              <w:rPr>
                <w:b/>
                <w:bCs w:val="0"/>
                <w:snapToGrid w:val="0"/>
                <w:szCs w:val="21"/>
              </w:rPr>
              <w:t>190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677" w:type="dxa"/>
            <w:tcBorders>
              <w:tl2br w:val="nil"/>
              <w:tr2bl w:val="nil"/>
            </w:tcBorders>
            <w:vAlign w:val="center"/>
          </w:tcPr>
          <w:p>
            <w:pPr>
              <w:pStyle w:val="3"/>
              <w:spacing w:before="31" w:after="31"/>
              <w:rPr>
                <w:snapToGrid w:val="0"/>
                <w:szCs w:val="21"/>
              </w:rPr>
            </w:pPr>
            <w:r>
              <w:rPr>
                <w:snapToGrid w:val="0"/>
                <w:szCs w:val="21"/>
              </w:rPr>
              <w:t>8</w:t>
            </w:r>
          </w:p>
        </w:tc>
        <w:tc>
          <w:tcPr>
            <w:tcW w:w="1410" w:type="dxa"/>
            <w:tcBorders>
              <w:tl2br w:val="nil"/>
              <w:tr2bl w:val="nil"/>
            </w:tcBorders>
            <w:vAlign w:val="center"/>
          </w:tcPr>
          <w:p>
            <w:pPr>
              <w:pStyle w:val="3"/>
              <w:spacing w:before="31" w:after="31"/>
              <w:rPr>
                <w:snapToGrid w:val="0"/>
                <w:szCs w:val="21"/>
              </w:rPr>
            </w:pPr>
            <w:r>
              <w:rPr>
                <w:snapToGrid w:val="0"/>
                <w:szCs w:val="21"/>
              </w:rPr>
              <w:t>锌</w:t>
            </w:r>
          </w:p>
        </w:tc>
        <w:tc>
          <w:tcPr>
            <w:tcW w:w="990" w:type="dxa"/>
            <w:tcBorders>
              <w:tl2br w:val="nil"/>
              <w:tr2bl w:val="nil"/>
            </w:tcBorders>
            <w:vAlign w:val="center"/>
          </w:tcPr>
          <w:p>
            <w:pPr>
              <w:pStyle w:val="3"/>
              <w:spacing w:before="31" w:after="31"/>
              <w:rPr>
                <w:snapToGrid w:val="0"/>
                <w:szCs w:val="21"/>
              </w:rPr>
            </w:pPr>
            <w:r>
              <w:rPr>
                <w:bCs w:val="0"/>
                <w:szCs w:val="21"/>
              </w:rPr>
              <w:t>mg/kg</w:t>
            </w:r>
          </w:p>
        </w:tc>
        <w:tc>
          <w:tcPr>
            <w:tcW w:w="1487" w:type="dxa"/>
            <w:tcBorders>
              <w:tl2br w:val="nil"/>
              <w:tr2bl w:val="nil"/>
            </w:tcBorders>
            <w:vAlign w:val="center"/>
          </w:tcPr>
          <w:p>
            <w:pPr>
              <w:pStyle w:val="3"/>
              <w:spacing w:before="31" w:after="31"/>
              <w:rPr>
                <w:snapToGrid w:val="0"/>
                <w:szCs w:val="21"/>
              </w:rPr>
            </w:pPr>
            <w:r>
              <w:rPr>
                <w:snapToGrid w:val="0"/>
                <w:szCs w:val="21"/>
              </w:rPr>
              <w:t>200</w:t>
            </w:r>
          </w:p>
        </w:tc>
        <w:tc>
          <w:tcPr>
            <w:tcW w:w="1314" w:type="dxa"/>
            <w:tcBorders>
              <w:tl2br w:val="nil"/>
              <w:tr2bl w:val="nil"/>
            </w:tcBorders>
            <w:vAlign w:val="center"/>
          </w:tcPr>
          <w:p>
            <w:pPr>
              <w:pStyle w:val="3"/>
              <w:spacing w:before="31" w:after="31"/>
              <w:rPr>
                <w:snapToGrid w:val="0"/>
                <w:szCs w:val="21"/>
              </w:rPr>
            </w:pPr>
            <w:r>
              <w:rPr>
                <w:snapToGrid w:val="0"/>
                <w:szCs w:val="21"/>
              </w:rPr>
              <w:t>200</w:t>
            </w:r>
          </w:p>
        </w:tc>
        <w:tc>
          <w:tcPr>
            <w:tcW w:w="1314" w:type="dxa"/>
            <w:tcBorders>
              <w:tl2br w:val="nil"/>
              <w:tr2bl w:val="nil"/>
            </w:tcBorders>
            <w:vAlign w:val="center"/>
          </w:tcPr>
          <w:p>
            <w:pPr>
              <w:pStyle w:val="3"/>
              <w:spacing w:before="31" w:after="31"/>
              <w:rPr>
                <w:snapToGrid w:val="0"/>
                <w:szCs w:val="21"/>
              </w:rPr>
            </w:pPr>
            <w:r>
              <w:rPr>
                <w:snapToGrid w:val="0"/>
                <w:szCs w:val="21"/>
              </w:rPr>
              <w:t>250</w:t>
            </w:r>
          </w:p>
        </w:tc>
        <w:tc>
          <w:tcPr>
            <w:tcW w:w="1315" w:type="dxa"/>
            <w:tcBorders>
              <w:tl2br w:val="nil"/>
              <w:tr2bl w:val="nil"/>
            </w:tcBorders>
            <w:vAlign w:val="center"/>
          </w:tcPr>
          <w:p>
            <w:pPr>
              <w:pStyle w:val="3"/>
              <w:spacing w:before="31" w:after="31"/>
              <w:rPr>
                <w:b/>
                <w:bCs w:val="0"/>
                <w:snapToGrid w:val="0"/>
                <w:szCs w:val="21"/>
              </w:rPr>
            </w:pPr>
            <w:r>
              <w:rPr>
                <w:b/>
                <w:bCs w:val="0"/>
                <w:snapToGrid w:val="0"/>
                <w:szCs w:val="21"/>
              </w:rPr>
              <w:t>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8507" w:type="dxa"/>
            <w:gridSpan w:val="7"/>
            <w:tcBorders>
              <w:tl2br w:val="nil"/>
              <w:tr2bl w:val="nil"/>
            </w:tcBorders>
            <w:vAlign w:val="center"/>
          </w:tcPr>
          <w:p>
            <w:pPr>
              <w:pStyle w:val="3"/>
              <w:spacing w:before="31" w:after="31"/>
              <w:rPr>
                <w:snapToGrid w:val="0"/>
                <w:szCs w:val="21"/>
              </w:rPr>
            </w:pPr>
            <w:r>
              <w:rPr>
                <w:b/>
                <w:bCs w:val="0"/>
                <w:snapToGrid w:val="0"/>
                <w:szCs w:val="21"/>
              </w:rPr>
              <w:t>均按元素总量计</w:t>
            </w:r>
          </w:p>
        </w:tc>
      </w:tr>
    </w:tbl>
    <w:p>
      <w:pPr>
        <w:spacing w:line="500" w:lineRule="exact"/>
        <w:jc w:val="center"/>
        <w:rPr>
          <w:szCs w:val="21"/>
        </w:rPr>
      </w:pPr>
      <w:r>
        <w:rPr>
          <w:b/>
          <w:bCs/>
          <w:sz w:val="24"/>
        </w:rPr>
        <w:t>表</w:t>
      </w:r>
      <w:r>
        <w:rPr>
          <w:rFonts w:hint="eastAsia"/>
          <w:b/>
          <w:bCs/>
          <w:sz w:val="24"/>
        </w:rPr>
        <w:t>2.3-6</w:t>
      </w:r>
      <w:r>
        <w:rPr>
          <w:b/>
          <w:bCs/>
          <w:sz w:val="24"/>
        </w:rPr>
        <w:t xml:space="preserve"> 《土壤环境质量建设用地土壤污染风险管控标准（试</w:t>
      </w:r>
      <w:r>
        <w:rPr>
          <w:rFonts w:hint="eastAsia"/>
          <w:b/>
          <w:bCs/>
          <w:sz w:val="24"/>
        </w:rPr>
        <w:t>行）</w:t>
      </w:r>
    </w:p>
    <w:tbl>
      <w:tblPr>
        <w:tblStyle w:val="29"/>
        <w:tblW w:w="88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5"/>
        <w:gridCol w:w="2400"/>
        <w:gridCol w:w="1230"/>
        <w:gridCol w:w="2189"/>
        <w:gridCol w:w="16"/>
        <w:gridCol w:w="21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825" w:type="dxa"/>
            <w:vMerge w:val="restart"/>
            <w:tcBorders>
              <w:tl2br w:val="nil"/>
              <w:tr2bl w:val="nil"/>
            </w:tcBorders>
            <w:shd w:val="clear" w:color="auto" w:fill="FFFFFF"/>
            <w:vAlign w:val="center"/>
          </w:tcPr>
          <w:p>
            <w:pPr>
              <w:pStyle w:val="3"/>
              <w:spacing w:before="31" w:after="31"/>
              <w:rPr>
                <w:b/>
                <w:snapToGrid w:val="0"/>
                <w:szCs w:val="21"/>
              </w:rPr>
            </w:pPr>
            <w:r>
              <w:rPr>
                <w:color w:val="auto"/>
                <w:szCs w:val="21"/>
              </w:rPr>
              <w:t>序号</w:t>
            </w:r>
          </w:p>
        </w:tc>
        <w:tc>
          <w:tcPr>
            <w:tcW w:w="2400" w:type="dxa"/>
            <w:vMerge w:val="restart"/>
            <w:tcBorders>
              <w:tl2br w:val="nil"/>
              <w:tr2bl w:val="nil"/>
            </w:tcBorders>
            <w:shd w:val="clear" w:color="auto" w:fill="FFFFFF"/>
            <w:vAlign w:val="center"/>
          </w:tcPr>
          <w:p>
            <w:pPr>
              <w:pStyle w:val="3"/>
              <w:spacing w:before="31" w:after="31"/>
              <w:rPr>
                <w:snapToGrid w:val="0"/>
                <w:szCs w:val="21"/>
              </w:rPr>
            </w:pPr>
            <w:r>
              <w:rPr>
                <w:color w:val="auto"/>
                <w:szCs w:val="21"/>
              </w:rPr>
              <w:t>污染物项目</w:t>
            </w:r>
          </w:p>
        </w:tc>
        <w:tc>
          <w:tcPr>
            <w:tcW w:w="1230" w:type="dxa"/>
            <w:vMerge w:val="restart"/>
            <w:tcBorders>
              <w:tl2br w:val="nil"/>
              <w:tr2bl w:val="nil"/>
            </w:tcBorders>
            <w:shd w:val="clear" w:color="auto" w:fill="FFFFFF"/>
            <w:vAlign w:val="center"/>
          </w:tcPr>
          <w:p>
            <w:pPr>
              <w:pStyle w:val="3"/>
              <w:spacing w:before="31" w:after="31"/>
              <w:rPr>
                <w:color w:val="auto"/>
                <w:szCs w:val="21"/>
              </w:rPr>
            </w:pPr>
            <w:r>
              <w:rPr>
                <w:rFonts w:hint="eastAsia"/>
                <w:color w:val="auto"/>
                <w:szCs w:val="21"/>
              </w:rPr>
              <w:t>单位</w:t>
            </w:r>
          </w:p>
        </w:tc>
        <w:tc>
          <w:tcPr>
            <w:tcW w:w="4379" w:type="dxa"/>
            <w:gridSpan w:val="3"/>
            <w:tcBorders>
              <w:tl2br w:val="nil"/>
              <w:tr2bl w:val="nil"/>
            </w:tcBorders>
            <w:shd w:val="clear" w:color="auto" w:fill="FFFFFF"/>
            <w:vAlign w:val="center"/>
          </w:tcPr>
          <w:p>
            <w:pPr>
              <w:pStyle w:val="3"/>
              <w:spacing w:before="31" w:after="31"/>
              <w:rPr>
                <w:b/>
                <w:snapToGrid w:val="0"/>
                <w:szCs w:val="21"/>
              </w:rPr>
            </w:pPr>
            <w:r>
              <w:rPr>
                <w:rFonts w:hint="eastAsia"/>
                <w:color w:val="auto"/>
                <w:szCs w:val="21"/>
              </w:rPr>
              <w:t>标准值</w:t>
            </w:r>
            <w:r>
              <w:rPr>
                <w:rFonts w:hint="eastAsia"/>
                <w:b/>
                <w:snapToGrid w:val="0"/>
                <w:szCs w:val="21"/>
              </w:rPr>
              <w:t>（取</w:t>
            </w:r>
            <w:r>
              <w:rPr>
                <w:b/>
                <w:snapToGrid w:val="0"/>
                <w:szCs w:val="21"/>
              </w:rPr>
              <w:t>风险筛选值</w:t>
            </w:r>
            <w:r>
              <w:rPr>
                <w:rFonts w:hint="eastAsia"/>
                <w:b/>
                <w:snapToGrid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vMerge w:val="continue"/>
            <w:tcBorders>
              <w:tl2br w:val="nil"/>
              <w:tr2bl w:val="nil"/>
            </w:tcBorders>
            <w:vAlign w:val="center"/>
          </w:tcPr>
          <w:p>
            <w:pPr>
              <w:snapToGrid w:val="0"/>
              <w:jc w:val="center"/>
              <w:rPr>
                <w:bCs/>
                <w:snapToGrid w:val="0"/>
                <w:kern w:val="0"/>
                <w:szCs w:val="21"/>
              </w:rPr>
            </w:pPr>
          </w:p>
        </w:tc>
        <w:tc>
          <w:tcPr>
            <w:tcW w:w="2400" w:type="dxa"/>
            <w:vMerge w:val="continue"/>
            <w:tcBorders>
              <w:tl2br w:val="nil"/>
              <w:tr2bl w:val="nil"/>
            </w:tcBorders>
            <w:vAlign w:val="center"/>
          </w:tcPr>
          <w:p>
            <w:pPr>
              <w:pStyle w:val="3"/>
              <w:spacing w:before="31" w:after="31"/>
              <w:rPr>
                <w:snapToGrid w:val="0"/>
                <w:szCs w:val="21"/>
              </w:rPr>
            </w:pPr>
          </w:p>
        </w:tc>
        <w:tc>
          <w:tcPr>
            <w:tcW w:w="1230" w:type="dxa"/>
            <w:vMerge w:val="continue"/>
            <w:tcBorders>
              <w:tl2br w:val="nil"/>
              <w:tr2bl w:val="nil"/>
            </w:tcBorders>
            <w:vAlign w:val="center"/>
          </w:tcPr>
          <w:p>
            <w:pPr>
              <w:snapToGrid w:val="0"/>
              <w:jc w:val="center"/>
              <w:rPr>
                <w:bCs/>
                <w:snapToGrid w:val="0"/>
                <w:kern w:val="0"/>
                <w:szCs w:val="21"/>
              </w:rPr>
            </w:pP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第一类用地</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第二类用地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1</w:t>
            </w:r>
          </w:p>
        </w:tc>
        <w:tc>
          <w:tcPr>
            <w:tcW w:w="2400" w:type="dxa"/>
            <w:tcBorders>
              <w:tl2br w:val="nil"/>
              <w:tr2bl w:val="nil"/>
            </w:tcBorders>
            <w:vAlign w:val="center"/>
          </w:tcPr>
          <w:p>
            <w:pPr>
              <w:pStyle w:val="3"/>
              <w:spacing w:before="31" w:after="31"/>
              <w:rPr>
                <w:snapToGrid w:val="0"/>
                <w:color w:val="auto"/>
                <w:szCs w:val="21"/>
              </w:rPr>
            </w:pPr>
            <w:r>
              <w:rPr>
                <w:color w:val="auto"/>
                <w:spacing w:val="4"/>
                <w:szCs w:val="21"/>
              </w:rPr>
              <w:t>砷</w:t>
            </w:r>
          </w:p>
        </w:tc>
        <w:tc>
          <w:tcPr>
            <w:tcW w:w="1230" w:type="dxa"/>
            <w:tcBorders>
              <w:tl2br w:val="nil"/>
              <w:tr2bl w:val="nil"/>
            </w:tcBorders>
            <w:vAlign w:val="center"/>
          </w:tcPr>
          <w:p>
            <w:pPr>
              <w:pStyle w:val="3"/>
              <w:spacing w:before="31" w:after="31"/>
              <w:rPr>
                <w:snapToGrid w:val="0"/>
                <w:color w:val="auto"/>
                <w:szCs w:val="21"/>
              </w:rPr>
            </w:pPr>
            <w:r>
              <w:rPr>
                <w:bCs w:val="0"/>
                <w:szCs w:val="21"/>
              </w:rPr>
              <w:t>mg/kg</w:t>
            </w:r>
          </w:p>
        </w:tc>
        <w:tc>
          <w:tcPr>
            <w:tcW w:w="2189" w:type="dxa"/>
            <w:tcBorders>
              <w:tl2br w:val="nil"/>
              <w:tr2bl w:val="nil"/>
            </w:tcBorders>
            <w:vAlign w:val="center"/>
          </w:tcPr>
          <w:p>
            <w:pPr>
              <w:pStyle w:val="3"/>
              <w:spacing w:before="31" w:after="31"/>
              <w:rPr>
                <w:snapToGrid w:val="0"/>
                <w:color w:val="auto"/>
                <w:szCs w:val="21"/>
              </w:rPr>
            </w:pPr>
            <w:r>
              <w:rPr>
                <w:rFonts w:hint="eastAsia"/>
                <w:snapToGrid w:val="0"/>
                <w:color w:val="auto"/>
                <w:szCs w:val="21"/>
              </w:rPr>
              <w:t>20</w:t>
            </w:r>
          </w:p>
        </w:tc>
        <w:tc>
          <w:tcPr>
            <w:tcW w:w="2190" w:type="dxa"/>
            <w:gridSpan w:val="2"/>
            <w:tcBorders>
              <w:tl2br w:val="nil"/>
              <w:tr2bl w:val="nil"/>
            </w:tcBorders>
            <w:vAlign w:val="center"/>
          </w:tcPr>
          <w:p>
            <w:pPr>
              <w:pStyle w:val="3"/>
              <w:spacing w:before="31" w:after="31"/>
              <w:rPr>
                <w:snapToGrid w:val="0"/>
                <w:color w:val="auto"/>
                <w:szCs w:val="21"/>
              </w:rPr>
            </w:pPr>
            <w:r>
              <w:rPr>
                <w:rFonts w:hint="eastAsia"/>
                <w:snapToGrid w:val="0"/>
                <w:color w:val="auto"/>
                <w:szCs w:val="21"/>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2</w:t>
            </w:r>
          </w:p>
        </w:tc>
        <w:tc>
          <w:tcPr>
            <w:tcW w:w="2400" w:type="dxa"/>
            <w:tcBorders>
              <w:tl2br w:val="nil"/>
              <w:tr2bl w:val="nil"/>
            </w:tcBorders>
            <w:vAlign w:val="center"/>
          </w:tcPr>
          <w:p>
            <w:pPr>
              <w:pStyle w:val="3"/>
              <w:spacing w:before="31" w:after="31"/>
              <w:rPr>
                <w:snapToGrid w:val="0"/>
                <w:color w:val="auto"/>
                <w:szCs w:val="21"/>
              </w:rPr>
            </w:pPr>
            <w:r>
              <w:rPr>
                <w:color w:val="auto"/>
                <w:spacing w:val="4"/>
                <w:szCs w:val="21"/>
              </w:rPr>
              <w:t>镉</w:t>
            </w:r>
          </w:p>
        </w:tc>
        <w:tc>
          <w:tcPr>
            <w:tcW w:w="1230" w:type="dxa"/>
            <w:tcBorders>
              <w:tl2br w:val="nil"/>
              <w:tr2bl w:val="nil"/>
            </w:tcBorders>
            <w:vAlign w:val="center"/>
          </w:tcPr>
          <w:p>
            <w:pPr>
              <w:pStyle w:val="3"/>
              <w:spacing w:before="31" w:after="31"/>
              <w:rPr>
                <w:snapToGrid w:val="0"/>
                <w:color w:val="auto"/>
                <w:szCs w:val="21"/>
              </w:rPr>
            </w:pPr>
            <w:r>
              <w:rPr>
                <w:bCs w:val="0"/>
                <w:szCs w:val="21"/>
              </w:rPr>
              <w:t>mg/kg</w:t>
            </w:r>
          </w:p>
        </w:tc>
        <w:tc>
          <w:tcPr>
            <w:tcW w:w="2189" w:type="dxa"/>
            <w:tcBorders>
              <w:tl2br w:val="nil"/>
              <w:tr2bl w:val="nil"/>
            </w:tcBorders>
            <w:vAlign w:val="center"/>
          </w:tcPr>
          <w:p>
            <w:pPr>
              <w:pStyle w:val="3"/>
              <w:spacing w:before="31" w:after="31"/>
              <w:rPr>
                <w:snapToGrid w:val="0"/>
                <w:color w:val="auto"/>
                <w:szCs w:val="21"/>
              </w:rPr>
            </w:pPr>
            <w:r>
              <w:rPr>
                <w:rFonts w:hint="eastAsia"/>
                <w:snapToGrid w:val="0"/>
                <w:color w:val="auto"/>
                <w:szCs w:val="21"/>
              </w:rPr>
              <w:t>20</w:t>
            </w:r>
          </w:p>
        </w:tc>
        <w:tc>
          <w:tcPr>
            <w:tcW w:w="2190" w:type="dxa"/>
            <w:gridSpan w:val="2"/>
            <w:tcBorders>
              <w:tl2br w:val="nil"/>
              <w:tr2bl w:val="nil"/>
            </w:tcBorders>
            <w:vAlign w:val="center"/>
          </w:tcPr>
          <w:p>
            <w:pPr>
              <w:pStyle w:val="3"/>
              <w:spacing w:before="31" w:after="31"/>
              <w:rPr>
                <w:snapToGrid w:val="0"/>
                <w:color w:val="auto"/>
                <w:szCs w:val="21"/>
              </w:rPr>
            </w:pPr>
            <w:r>
              <w:rPr>
                <w:rFonts w:hint="eastAsia"/>
                <w:snapToGrid w:val="0"/>
                <w:color w:val="auto"/>
                <w:szCs w:val="21"/>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3</w:t>
            </w:r>
          </w:p>
        </w:tc>
        <w:tc>
          <w:tcPr>
            <w:tcW w:w="2400" w:type="dxa"/>
            <w:tcBorders>
              <w:tl2br w:val="nil"/>
              <w:tr2bl w:val="nil"/>
            </w:tcBorders>
            <w:vAlign w:val="center"/>
          </w:tcPr>
          <w:p>
            <w:pPr>
              <w:pStyle w:val="3"/>
              <w:spacing w:before="31" w:after="31"/>
              <w:rPr>
                <w:snapToGrid w:val="0"/>
                <w:color w:val="auto"/>
                <w:szCs w:val="21"/>
              </w:rPr>
            </w:pPr>
            <w:r>
              <w:rPr>
                <w:rFonts w:hint="eastAsia"/>
                <w:color w:val="auto"/>
                <w:spacing w:val="4"/>
                <w:szCs w:val="21"/>
              </w:rPr>
              <w:t>六价</w:t>
            </w:r>
            <w:r>
              <w:rPr>
                <w:color w:val="auto"/>
                <w:spacing w:val="4"/>
                <w:szCs w:val="21"/>
              </w:rPr>
              <w:t>铬</w:t>
            </w:r>
          </w:p>
        </w:tc>
        <w:tc>
          <w:tcPr>
            <w:tcW w:w="1230" w:type="dxa"/>
            <w:tcBorders>
              <w:tl2br w:val="nil"/>
              <w:tr2bl w:val="nil"/>
            </w:tcBorders>
            <w:vAlign w:val="center"/>
          </w:tcPr>
          <w:p>
            <w:pPr>
              <w:pStyle w:val="3"/>
              <w:spacing w:before="31" w:after="31"/>
              <w:rPr>
                <w:snapToGrid w:val="0"/>
                <w:color w:val="auto"/>
                <w:szCs w:val="21"/>
              </w:rPr>
            </w:pPr>
            <w:r>
              <w:rPr>
                <w:bCs w:val="0"/>
                <w:szCs w:val="21"/>
              </w:rPr>
              <w:t>mg/kg</w:t>
            </w:r>
          </w:p>
        </w:tc>
        <w:tc>
          <w:tcPr>
            <w:tcW w:w="2189" w:type="dxa"/>
            <w:tcBorders>
              <w:tl2br w:val="nil"/>
              <w:tr2bl w:val="nil"/>
            </w:tcBorders>
            <w:vAlign w:val="center"/>
          </w:tcPr>
          <w:p>
            <w:pPr>
              <w:pStyle w:val="3"/>
              <w:spacing w:before="31" w:after="31"/>
              <w:rPr>
                <w:snapToGrid w:val="0"/>
                <w:color w:val="auto"/>
                <w:szCs w:val="21"/>
              </w:rPr>
            </w:pPr>
            <w:r>
              <w:rPr>
                <w:rFonts w:hint="eastAsia"/>
                <w:snapToGrid w:val="0"/>
                <w:color w:val="auto"/>
                <w:szCs w:val="21"/>
              </w:rPr>
              <w:t>3.0</w:t>
            </w:r>
          </w:p>
        </w:tc>
        <w:tc>
          <w:tcPr>
            <w:tcW w:w="2190" w:type="dxa"/>
            <w:gridSpan w:val="2"/>
            <w:tcBorders>
              <w:tl2br w:val="nil"/>
              <w:tr2bl w:val="nil"/>
            </w:tcBorders>
            <w:vAlign w:val="center"/>
          </w:tcPr>
          <w:p>
            <w:pPr>
              <w:pStyle w:val="3"/>
              <w:spacing w:before="31" w:after="31"/>
              <w:rPr>
                <w:snapToGrid w:val="0"/>
                <w:color w:val="auto"/>
                <w:szCs w:val="21"/>
              </w:rPr>
            </w:pPr>
            <w:r>
              <w:rPr>
                <w:rFonts w:hint="eastAsia"/>
                <w:snapToGrid w:val="0"/>
                <w:color w:val="auto"/>
                <w:szCs w:val="21"/>
              </w:rPr>
              <w:t>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4</w:t>
            </w:r>
          </w:p>
        </w:tc>
        <w:tc>
          <w:tcPr>
            <w:tcW w:w="2400" w:type="dxa"/>
            <w:tcBorders>
              <w:tl2br w:val="nil"/>
              <w:tr2bl w:val="nil"/>
            </w:tcBorders>
            <w:vAlign w:val="center"/>
          </w:tcPr>
          <w:p>
            <w:pPr>
              <w:pStyle w:val="3"/>
              <w:spacing w:before="31" w:after="31"/>
              <w:rPr>
                <w:snapToGrid w:val="0"/>
                <w:color w:val="auto"/>
                <w:szCs w:val="21"/>
              </w:rPr>
            </w:pPr>
            <w:r>
              <w:rPr>
                <w:color w:val="auto"/>
                <w:spacing w:val="4"/>
                <w:szCs w:val="21"/>
              </w:rPr>
              <w:t>铜</w:t>
            </w:r>
          </w:p>
        </w:tc>
        <w:tc>
          <w:tcPr>
            <w:tcW w:w="1230" w:type="dxa"/>
            <w:tcBorders>
              <w:tl2br w:val="nil"/>
              <w:tr2bl w:val="nil"/>
            </w:tcBorders>
            <w:vAlign w:val="center"/>
          </w:tcPr>
          <w:p>
            <w:pPr>
              <w:pStyle w:val="3"/>
              <w:spacing w:before="31" w:after="31"/>
              <w:rPr>
                <w:snapToGrid w:val="0"/>
                <w:color w:val="auto"/>
                <w:szCs w:val="21"/>
              </w:rPr>
            </w:pPr>
            <w:r>
              <w:rPr>
                <w:bCs w:val="0"/>
                <w:szCs w:val="21"/>
              </w:rPr>
              <w:t>mg/kg</w:t>
            </w:r>
          </w:p>
        </w:tc>
        <w:tc>
          <w:tcPr>
            <w:tcW w:w="2189" w:type="dxa"/>
            <w:tcBorders>
              <w:tl2br w:val="nil"/>
              <w:tr2bl w:val="nil"/>
            </w:tcBorders>
            <w:vAlign w:val="center"/>
          </w:tcPr>
          <w:p>
            <w:pPr>
              <w:pStyle w:val="3"/>
              <w:spacing w:before="31" w:after="31"/>
              <w:rPr>
                <w:snapToGrid w:val="0"/>
                <w:color w:val="auto"/>
                <w:szCs w:val="21"/>
              </w:rPr>
            </w:pPr>
            <w:r>
              <w:rPr>
                <w:rFonts w:hint="eastAsia"/>
                <w:snapToGrid w:val="0"/>
                <w:color w:val="auto"/>
                <w:szCs w:val="21"/>
              </w:rPr>
              <w:t>2000</w:t>
            </w:r>
          </w:p>
        </w:tc>
        <w:tc>
          <w:tcPr>
            <w:tcW w:w="2190" w:type="dxa"/>
            <w:gridSpan w:val="2"/>
            <w:tcBorders>
              <w:tl2br w:val="nil"/>
              <w:tr2bl w:val="nil"/>
            </w:tcBorders>
            <w:vAlign w:val="center"/>
          </w:tcPr>
          <w:p>
            <w:pPr>
              <w:pStyle w:val="3"/>
              <w:spacing w:before="31" w:after="31"/>
              <w:rPr>
                <w:snapToGrid w:val="0"/>
                <w:color w:val="auto"/>
                <w:szCs w:val="21"/>
              </w:rPr>
            </w:pPr>
            <w:r>
              <w:rPr>
                <w:rFonts w:hint="eastAsia"/>
                <w:snapToGrid w:val="0"/>
                <w:color w:val="auto"/>
                <w:szCs w:val="21"/>
              </w:rPr>
              <w:t>18000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5</w:t>
            </w:r>
          </w:p>
        </w:tc>
        <w:tc>
          <w:tcPr>
            <w:tcW w:w="2400" w:type="dxa"/>
            <w:tcBorders>
              <w:tl2br w:val="nil"/>
              <w:tr2bl w:val="nil"/>
            </w:tcBorders>
            <w:vAlign w:val="center"/>
          </w:tcPr>
          <w:p>
            <w:pPr>
              <w:pStyle w:val="3"/>
              <w:spacing w:before="31" w:after="31"/>
              <w:rPr>
                <w:snapToGrid w:val="0"/>
                <w:color w:val="auto"/>
                <w:szCs w:val="21"/>
              </w:rPr>
            </w:pPr>
            <w:r>
              <w:rPr>
                <w:color w:val="auto"/>
                <w:spacing w:val="4"/>
                <w:szCs w:val="21"/>
              </w:rPr>
              <w:t>铅</w:t>
            </w:r>
          </w:p>
        </w:tc>
        <w:tc>
          <w:tcPr>
            <w:tcW w:w="1230" w:type="dxa"/>
            <w:tcBorders>
              <w:tl2br w:val="nil"/>
              <w:tr2bl w:val="nil"/>
            </w:tcBorders>
            <w:vAlign w:val="center"/>
          </w:tcPr>
          <w:p>
            <w:pPr>
              <w:pStyle w:val="3"/>
              <w:spacing w:before="31" w:after="31"/>
              <w:rPr>
                <w:snapToGrid w:val="0"/>
                <w:color w:val="auto"/>
                <w:szCs w:val="21"/>
              </w:rPr>
            </w:pPr>
            <w:r>
              <w:rPr>
                <w:bCs w:val="0"/>
                <w:szCs w:val="21"/>
              </w:rPr>
              <w:t>mg/kg</w:t>
            </w:r>
          </w:p>
        </w:tc>
        <w:tc>
          <w:tcPr>
            <w:tcW w:w="2189" w:type="dxa"/>
            <w:tcBorders>
              <w:tl2br w:val="nil"/>
              <w:tr2bl w:val="nil"/>
            </w:tcBorders>
            <w:vAlign w:val="center"/>
          </w:tcPr>
          <w:p>
            <w:pPr>
              <w:pStyle w:val="3"/>
              <w:spacing w:before="31" w:after="31"/>
              <w:rPr>
                <w:snapToGrid w:val="0"/>
                <w:color w:val="auto"/>
                <w:szCs w:val="21"/>
              </w:rPr>
            </w:pPr>
            <w:r>
              <w:rPr>
                <w:rFonts w:hint="eastAsia"/>
                <w:snapToGrid w:val="0"/>
                <w:color w:val="auto"/>
                <w:szCs w:val="21"/>
              </w:rPr>
              <w:t>400</w:t>
            </w:r>
          </w:p>
        </w:tc>
        <w:tc>
          <w:tcPr>
            <w:tcW w:w="2190" w:type="dxa"/>
            <w:gridSpan w:val="2"/>
            <w:tcBorders>
              <w:tl2br w:val="nil"/>
              <w:tr2bl w:val="nil"/>
            </w:tcBorders>
            <w:vAlign w:val="center"/>
          </w:tcPr>
          <w:p>
            <w:pPr>
              <w:pStyle w:val="3"/>
              <w:spacing w:before="31" w:after="31"/>
              <w:rPr>
                <w:snapToGrid w:val="0"/>
                <w:color w:val="auto"/>
                <w:szCs w:val="21"/>
              </w:rPr>
            </w:pPr>
            <w:r>
              <w:rPr>
                <w:rFonts w:hint="eastAsia"/>
                <w:snapToGrid w:val="0"/>
                <w:color w:val="auto"/>
                <w:szCs w:val="21"/>
              </w:rPr>
              <w:t>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6</w:t>
            </w:r>
          </w:p>
        </w:tc>
        <w:tc>
          <w:tcPr>
            <w:tcW w:w="2400" w:type="dxa"/>
            <w:tcBorders>
              <w:tl2br w:val="nil"/>
              <w:tr2bl w:val="nil"/>
            </w:tcBorders>
            <w:vAlign w:val="center"/>
          </w:tcPr>
          <w:p>
            <w:pPr>
              <w:pStyle w:val="3"/>
              <w:spacing w:before="31" w:after="31"/>
              <w:rPr>
                <w:snapToGrid w:val="0"/>
                <w:szCs w:val="21"/>
              </w:rPr>
            </w:pPr>
            <w:r>
              <w:rPr>
                <w:color w:val="auto"/>
                <w:spacing w:val="4"/>
                <w:szCs w:val="21"/>
              </w:rPr>
              <w:t>汞</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8</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7</w:t>
            </w:r>
          </w:p>
        </w:tc>
        <w:tc>
          <w:tcPr>
            <w:tcW w:w="2400" w:type="dxa"/>
            <w:tcBorders>
              <w:tl2br w:val="nil"/>
              <w:tr2bl w:val="nil"/>
            </w:tcBorders>
            <w:vAlign w:val="center"/>
          </w:tcPr>
          <w:p>
            <w:pPr>
              <w:pStyle w:val="3"/>
              <w:spacing w:before="31" w:after="31"/>
              <w:rPr>
                <w:snapToGrid w:val="0"/>
                <w:szCs w:val="21"/>
              </w:rPr>
            </w:pPr>
            <w:r>
              <w:rPr>
                <w:color w:val="auto"/>
                <w:spacing w:val="4"/>
                <w:szCs w:val="21"/>
              </w:rPr>
              <w:t>镍</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150</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900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snapToGrid w:val="0"/>
                <w:szCs w:val="21"/>
              </w:rPr>
              <w:t>8</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四氯化碳</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0.9</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9</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氯仿</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0.3</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10</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氯甲烷</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12</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11</w:t>
            </w:r>
          </w:p>
        </w:tc>
        <w:tc>
          <w:tcPr>
            <w:tcW w:w="2400" w:type="dxa"/>
            <w:tcBorders>
              <w:tl2br w:val="nil"/>
              <w:tr2bl w:val="nil"/>
            </w:tcBorders>
            <w:vAlign w:val="center"/>
          </w:tcPr>
          <w:p>
            <w:pPr>
              <w:pStyle w:val="3"/>
              <w:spacing w:before="31" w:after="31"/>
              <w:rPr>
                <w:color w:val="auto"/>
                <w:spacing w:val="4"/>
                <w:szCs w:val="21"/>
              </w:rPr>
            </w:pPr>
            <w:r>
              <w:rPr>
                <w:rFonts w:hint="eastAsia"/>
                <w:color w:val="auto"/>
                <w:spacing w:val="4"/>
                <w:szCs w:val="21"/>
              </w:rPr>
              <w:t>1,1-二氯乙烷</w:t>
            </w:r>
          </w:p>
        </w:tc>
        <w:tc>
          <w:tcPr>
            <w:tcW w:w="1230" w:type="dxa"/>
            <w:tcBorders>
              <w:tl2br w:val="nil"/>
              <w:tr2bl w:val="nil"/>
            </w:tcBorders>
            <w:vAlign w:val="center"/>
          </w:tcPr>
          <w:p>
            <w:pPr>
              <w:pStyle w:val="3"/>
              <w:spacing w:before="31" w:after="31"/>
              <w:rPr>
                <w:bCs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3</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12</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1,2-二氯乙烷</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0.52</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13</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1,1-二氯乙烯</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12</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14</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顺-1,2-二氯乙烯</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66</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596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15</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反-1,2-二氯乙烯</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10</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16</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二氯甲烷</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94</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616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17</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1,2-二氯丙烷</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18</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1,1,1,2-四氯乙烷</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2.6</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19</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1,1,2,2-四氯乙烷</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1.6</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vAlign w:val="center"/>
          </w:tcPr>
          <w:p>
            <w:pPr>
              <w:pStyle w:val="3"/>
              <w:spacing w:before="31" w:after="31"/>
              <w:rPr>
                <w:snapToGrid w:val="0"/>
                <w:szCs w:val="21"/>
              </w:rPr>
            </w:pPr>
            <w:r>
              <w:rPr>
                <w:rFonts w:hint="eastAsia"/>
                <w:snapToGrid w:val="0"/>
                <w:szCs w:val="21"/>
              </w:rPr>
              <w:t>20</w:t>
            </w:r>
          </w:p>
        </w:tc>
        <w:tc>
          <w:tcPr>
            <w:tcW w:w="2400" w:type="dxa"/>
            <w:tcBorders>
              <w:tl2br w:val="nil"/>
              <w:tr2bl w:val="nil"/>
            </w:tcBorders>
            <w:vAlign w:val="center"/>
          </w:tcPr>
          <w:p>
            <w:pPr>
              <w:pStyle w:val="3"/>
              <w:spacing w:before="31" w:after="31"/>
              <w:rPr>
                <w:snapToGrid w:val="0"/>
                <w:szCs w:val="21"/>
              </w:rPr>
            </w:pPr>
            <w:r>
              <w:rPr>
                <w:rFonts w:hint="eastAsia"/>
                <w:color w:val="auto"/>
                <w:spacing w:val="4"/>
                <w:szCs w:val="21"/>
              </w:rPr>
              <w:t>四氯乙烯</w:t>
            </w:r>
          </w:p>
        </w:tc>
        <w:tc>
          <w:tcPr>
            <w:tcW w:w="1230" w:type="dxa"/>
            <w:tcBorders>
              <w:tl2br w:val="nil"/>
              <w:tr2bl w:val="nil"/>
            </w:tcBorders>
            <w:vAlign w:val="center"/>
          </w:tcPr>
          <w:p>
            <w:pPr>
              <w:pStyle w:val="3"/>
              <w:spacing w:before="31" w:after="31"/>
              <w:rPr>
                <w:snapToGrid w:val="0"/>
                <w:szCs w:val="21"/>
              </w:rPr>
            </w:pPr>
            <w:r>
              <w:rPr>
                <w:bCs w:val="0"/>
                <w:szCs w:val="21"/>
              </w:rPr>
              <w:t>mg/kg</w:t>
            </w:r>
          </w:p>
        </w:tc>
        <w:tc>
          <w:tcPr>
            <w:tcW w:w="2189" w:type="dxa"/>
            <w:tcBorders>
              <w:tl2br w:val="nil"/>
              <w:tr2bl w:val="nil"/>
            </w:tcBorders>
            <w:vAlign w:val="center"/>
          </w:tcPr>
          <w:p>
            <w:pPr>
              <w:pStyle w:val="3"/>
              <w:spacing w:before="31" w:after="31"/>
              <w:rPr>
                <w:snapToGrid w:val="0"/>
                <w:szCs w:val="21"/>
              </w:rPr>
            </w:pPr>
            <w:r>
              <w:rPr>
                <w:rFonts w:hint="eastAsia"/>
                <w:snapToGrid w:val="0"/>
                <w:szCs w:val="21"/>
              </w:rPr>
              <w:t>11</w:t>
            </w:r>
          </w:p>
        </w:tc>
        <w:tc>
          <w:tcPr>
            <w:tcW w:w="2190" w:type="dxa"/>
            <w:gridSpan w:val="2"/>
            <w:tcBorders>
              <w:tl2br w:val="nil"/>
              <w:tr2bl w:val="nil"/>
            </w:tcBorders>
            <w:vAlign w:val="center"/>
          </w:tcPr>
          <w:p>
            <w:pPr>
              <w:pStyle w:val="3"/>
              <w:spacing w:before="31" w:after="31"/>
              <w:rPr>
                <w:snapToGrid w:val="0"/>
                <w:szCs w:val="21"/>
              </w:rPr>
            </w:pPr>
            <w:r>
              <w:rPr>
                <w:rFonts w:hint="eastAsia"/>
                <w:snapToGrid w:val="0"/>
                <w:szCs w:val="21"/>
              </w:rPr>
              <w:t>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21</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1,1,1-三氯乙烷</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701</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840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22</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1,1,2-三氯乙烷</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0.6</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23</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三氯乙烯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0.7</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24</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1,2,3-三氯丙烷</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0.05</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25</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氯乙烯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0.12</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26</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27</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氯苯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68</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28</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1,2-二氯苯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560</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560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29</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1,4-二氯苯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5.6</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30</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乙苯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7.2</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31</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苯乙烯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1290</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1290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32</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甲苯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1200</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1200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33</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间二甲苯+对二甲苯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163</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570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34</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邻二甲苯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222</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640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35</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硝基苯</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34</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36</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苯胺</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189"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92</w:t>
            </w:r>
          </w:p>
        </w:tc>
        <w:tc>
          <w:tcPr>
            <w:tcW w:w="2190"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37</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2-氯酚</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250</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2256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38</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苯并[a]蒽</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5.5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39</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苯并[a]芘</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0.55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40</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苯并[b]荧蒽</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5.5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41</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苯并[k]荧蒽</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55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42</w:t>
            </w:r>
          </w:p>
        </w:tc>
        <w:tc>
          <w:tcPr>
            <w:tcW w:w="2400" w:type="dxa"/>
            <w:tcBorders>
              <w:tl2br w:val="nil"/>
              <w:tr2bl w:val="nil"/>
            </w:tcBorders>
            <w:shd w:val="clear" w:color="auto" w:fill="auto"/>
            <w:vAlign w:val="center"/>
          </w:tcPr>
          <w:p>
            <w:pPr>
              <w:pStyle w:val="3"/>
              <w:spacing w:before="31" w:after="31"/>
              <w:rPr>
                <w:color w:val="auto"/>
                <w:spacing w:val="4"/>
                <w:szCs w:val="21"/>
              </w:rPr>
            </w:pPr>
            <w:r>
              <w:rPr>
                <w:rFonts w:hint="eastAsia"/>
                <w:color w:val="auto"/>
                <w:spacing w:val="4"/>
                <w:szCs w:val="21"/>
              </w:rPr>
              <w:t>二苯并[a,h]蒽</w:t>
            </w:r>
          </w:p>
        </w:tc>
        <w:tc>
          <w:tcPr>
            <w:tcW w:w="1230" w:type="dxa"/>
            <w:tcBorders>
              <w:tl2br w:val="nil"/>
              <w:tr2bl w:val="nil"/>
            </w:tcBorders>
            <w:shd w:val="clear" w:color="auto" w:fill="auto"/>
            <w:vAlign w:val="center"/>
          </w:tcPr>
          <w:p>
            <w:pPr>
              <w:pStyle w:val="3"/>
              <w:spacing w:before="31" w:after="31"/>
              <w:rPr>
                <w:bCs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0.55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43</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䓛</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490</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1293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44</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茚并[1,2,3-cd]芘</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45</w:t>
            </w:r>
          </w:p>
        </w:tc>
        <w:tc>
          <w:tcPr>
            <w:tcW w:w="2400" w:type="dxa"/>
            <w:tcBorders>
              <w:tl2br w:val="nil"/>
              <w:tr2bl w:val="nil"/>
            </w:tcBorders>
            <w:shd w:val="clear" w:color="auto" w:fill="auto"/>
            <w:vAlign w:val="center"/>
          </w:tcPr>
          <w:p>
            <w:pPr>
              <w:pStyle w:val="3"/>
              <w:spacing w:before="31" w:after="31"/>
              <w:rPr>
                <w:snapToGrid w:val="0"/>
                <w:szCs w:val="21"/>
              </w:rPr>
            </w:pPr>
            <w:r>
              <w:rPr>
                <w:rFonts w:hint="eastAsia"/>
                <w:color w:val="auto"/>
                <w:spacing w:val="4"/>
                <w:szCs w:val="21"/>
              </w:rPr>
              <w:t>萘</w:t>
            </w:r>
          </w:p>
        </w:tc>
        <w:tc>
          <w:tcPr>
            <w:tcW w:w="1230" w:type="dxa"/>
            <w:tcBorders>
              <w:tl2br w:val="nil"/>
              <w:tr2bl w:val="nil"/>
            </w:tcBorders>
            <w:shd w:val="clear" w:color="auto" w:fill="auto"/>
            <w:vAlign w:val="center"/>
          </w:tcPr>
          <w:p>
            <w:pPr>
              <w:pStyle w:val="3"/>
              <w:spacing w:before="31" w:after="31"/>
              <w:rPr>
                <w:snapToGrid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25</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825"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46</w:t>
            </w:r>
          </w:p>
        </w:tc>
        <w:tc>
          <w:tcPr>
            <w:tcW w:w="2400" w:type="dxa"/>
            <w:tcBorders>
              <w:tl2br w:val="nil"/>
              <w:tr2bl w:val="nil"/>
            </w:tcBorders>
            <w:shd w:val="clear" w:color="auto" w:fill="auto"/>
            <w:vAlign w:val="center"/>
          </w:tcPr>
          <w:p>
            <w:pPr>
              <w:pStyle w:val="3"/>
              <w:spacing w:before="31" w:after="31"/>
              <w:rPr>
                <w:color w:val="auto"/>
                <w:spacing w:val="4"/>
                <w:szCs w:val="21"/>
              </w:rPr>
            </w:pPr>
            <w:r>
              <w:rPr>
                <w:rFonts w:hint="eastAsia"/>
                <w:color w:val="auto"/>
                <w:spacing w:val="4"/>
                <w:szCs w:val="21"/>
              </w:rPr>
              <w:t>石油烃（C</w:t>
            </w:r>
            <w:r>
              <w:rPr>
                <w:rFonts w:hint="eastAsia"/>
                <w:color w:val="auto"/>
                <w:spacing w:val="4"/>
                <w:szCs w:val="21"/>
                <w:vertAlign w:val="subscript"/>
              </w:rPr>
              <w:t>10</w:t>
            </w:r>
            <w:r>
              <w:rPr>
                <w:rFonts w:hint="eastAsia"/>
                <w:color w:val="auto"/>
                <w:spacing w:val="4"/>
                <w:szCs w:val="21"/>
              </w:rPr>
              <w:t>-C</w:t>
            </w:r>
            <w:r>
              <w:rPr>
                <w:rFonts w:hint="eastAsia"/>
                <w:color w:val="auto"/>
                <w:spacing w:val="4"/>
                <w:szCs w:val="21"/>
                <w:vertAlign w:val="subscript"/>
              </w:rPr>
              <w:t>40</w:t>
            </w:r>
            <w:r>
              <w:rPr>
                <w:rFonts w:hint="eastAsia"/>
                <w:color w:val="auto"/>
                <w:spacing w:val="4"/>
                <w:szCs w:val="21"/>
              </w:rPr>
              <w:t>）</w:t>
            </w:r>
          </w:p>
        </w:tc>
        <w:tc>
          <w:tcPr>
            <w:tcW w:w="1230" w:type="dxa"/>
            <w:tcBorders>
              <w:tl2br w:val="nil"/>
              <w:tr2bl w:val="nil"/>
            </w:tcBorders>
            <w:shd w:val="clear" w:color="auto" w:fill="auto"/>
            <w:vAlign w:val="center"/>
          </w:tcPr>
          <w:p>
            <w:pPr>
              <w:pStyle w:val="3"/>
              <w:spacing w:before="31" w:after="31"/>
              <w:rPr>
                <w:bCs w:val="0"/>
                <w:szCs w:val="21"/>
              </w:rPr>
            </w:pPr>
            <w:r>
              <w:rPr>
                <w:bCs w:val="0"/>
                <w:szCs w:val="21"/>
              </w:rPr>
              <w:t>mg/kg</w:t>
            </w:r>
          </w:p>
        </w:tc>
        <w:tc>
          <w:tcPr>
            <w:tcW w:w="2205" w:type="dxa"/>
            <w:gridSpan w:val="2"/>
            <w:tcBorders>
              <w:tl2br w:val="nil"/>
              <w:tr2bl w:val="nil"/>
            </w:tcBorders>
            <w:shd w:val="clear" w:color="auto" w:fill="auto"/>
            <w:vAlign w:val="center"/>
          </w:tcPr>
          <w:p>
            <w:pPr>
              <w:pStyle w:val="3"/>
              <w:spacing w:before="31" w:after="31"/>
              <w:rPr>
                <w:snapToGrid w:val="0"/>
                <w:szCs w:val="21"/>
              </w:rPr>
            </w:pPr>
            <w:r>
              <w:rPr>
                <w:rFonts w:hint="eastAsia"/>
                <w:snapToGrid w:val="0"/>
                <w:szCs w:val="21"/>
              </w:rPr>
              <w:t>826</w:t>
            </w:r>
          </w:p>
        </w:tc>
        <w:tc>
          <w:tcPr>
            <w:tcW w:w="2174" w:type="dxa"/>
            <w:tcBorders>
              <w:tl2br w:val="nil"/>
              <w:tr2bl w:val="nil"/>
            </w:tcBorders>
            <w:shd w:val="clear" w:color="auto" w:fill="auto"/>
            <w:vAlign w:val="center"/>
          </w:tcPr>
          <w:p>
            <w:pPr>
              <w:pStyle w:val="3"/>
              <w:spacing w:before="31" w:after="31"/>
              <w:rPr>
                <w:snapToGrid w:val="0"/>
                <w:szCs w:val="21"/>
              </w:rPr>
            </w:pPr>
            <w:r>
              <w:rPr>
                <w:rFonts w:hint="eastAsia"/>
                <w:snapToGrid w:val="0"/>
                <w:szCs w:val="21"/>
              </w:rPr>
              <w:t>4500</w:t>
            </w:r>
          </w:p>
        </w:tc>
      </w:tr>
    </w:tbl>
    <w:p>
      <w:pPr>
        <w:pStyle w:val="6"/>
      </w:pPr>
      <w:r>
        <w:t>2.3.2 污染物排放标准</w:t>
      </w:r>
    </w:p>
    <w:p>
      <w:pPr>
        <w:spacing w:line="500" w:lineRule="exact"/>
        <w:ind w:left="420" w:leftChars="200"/>
        <w:rPr>
          <w:sz w:val="24"/>
        </w:rPr>
      </w:pPr>
      <w:r>
        <w:rPr>
          <w:rFonts w:hint="eastAsia"/>
          <w:sz w:val="24"/>
        </w:rPr>
        <w:t>1、</w:t>
      </w:r>
      <w:r>
        <w:rPr>
          <w:sz w:val="24"/>
        </w:rPr>
        <w:t>大气污染物排放标准</w:t>
      </w:r>
    </w:p>
    <w:p>
      <w:pPr>
        <w:spacing w:line="500" w:lineRule="exact"/>
        <w:ind w:firstLine="480" w:firstLineChars="200"/>
        <w:jc w:val="left"/>
        <w:rPr>
          <w:sz w:val="24"/>
        </w:rPr>
      </w:pPr>
      <w:r>
        <w:rPr>
          <w:sz w:val="24"/>
        </w:rPr>
        <w:t>NH</w:t>
      </w:r>
      <w:r>
        <w:rPr>
          <w:sz w:val="24"/>
          <w:vertAlign w:val="subscript"/>
        </w:rPr>
        <w:t>3</w:t>
      </w:r>
      <w:r>
        <w:rPr>
          <w:sz w:val="24"/>
        </w:rPr>
        <w:t>、H</w:t>
      </w:r>
      <w:r>
        <w:rPr>
          <w:sz w:val="24"/>
          <w:vertAlign w:val="subscript"/>
        </w:rPr>
        <w:t>2</w:t>
      </w:r>
      <w:r>
        <w:rPr>
          <w:sz w:val="24"/>
        </w:rPr>
        <w:t>S</w:t>
      </w:r>
      <w:r>
        <w:rPr>
          <w:rFonts w:hint="eastAsia"/>
          <w:sz w:val="24"/>
        </w:rPr>
        <w:t>、甲硫醇及臭气浓度执行《恶臭污染物排放标准》（GB14554-1993）中的二级（新改扩）标准，TSP执行《大气污染物综合排放标准》（GB16297-1996）表2中的颗粒物场界排放标准，CH</w:t>
      </w:r>
      <w:r>
        <w:rPr>
          <w:rFonts w:hint="eastAsia"/>
          <w:sz w:val="24"/>
          <w:vertAlign w:val="subscript"/>
        </w:rPr>
        <w:t>4</w:t>
      </w:r>
      <w:r>
        <w:rPr>
          <w:rFonts w:hint="eastAsia"/>
          <w:sz w:val="24"/>
        </w:rPr>
        <w:t>体积百分比执行《生活垃圾填埋场污染控制标准》(GB16889-2008)中的相关限值要求，具体详见下表。</w:t>
      </w:r>
    </w:p>
    <w:p>
      <w:pPr>
        <w:spacing w:line="500" w:lineRule="exact"/>
        <w:ind w:firstLine="482" w:firstLineChars="200"/>
        <w:jc w:val="center"/>
        <w:rPr>
          <w:szCs w:val="21"/>
        </w:rPr>
      </w:pPr>
      <w:r>
        <w:rPr>
          <w:b/>
          <w:bCs/>
          <w:sz w:val="24"/>
        </w:rPr>
        <w:t>表2.3-</w:t>
      </w:r>
      <w:r>
        <w:rPr>
          <w:rFonts w:hint="eastAsia"/>
          <w:b/>
          <w:bCs/>
          <w:sz w:val="24"/>
        </w:rPr>
        <w:t>7大气污染物排放标准一览表</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2"/>
        <w:gridCol w:w="1125"/>
        <w:gridCol w:w="2143"/>
        <w:gridCol w:w="2329"/>
        <w:gridCol w:w="25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00" w:type="pct"/>
            <w:vMerge w:val="restart"/>
            <w:tcBorders>
              <w:tl2br w:val="nil"/>
              <w:tr2bl w:val="nil"/>
            </w:tcBorders>
            <w:vAlign w:val="center"/>
          </w:tcPr>
          <w:p>
            <w:pPr>
              <w:spacing w:line="240" w:lineRule="exact"/>
              <w:jc w:val="center"/>
              <w:rPr>
                <w:szCs w:val="21"/>
              </w:rPr>
            </w:pPr>
            <w:r>
              <w:rPr>
                <w:rFonts w:hint="eastAsia"/>
                <w:szCs w:val="21"/>
              </w:rPr>
              <w:t>序号</w:t>
            </w:r>
          </w:p>
        </w:tc>
        <w:tc>
          <w:tcPr>
            <w:tcW w:w="660" w:type="pct"/>
            <w:vMerge w:val="restart"/>
            <w:tcBorders>
              <w:tl2br w:val="nil"/>
              <w:tr2bl w:val="nil"/>
            </w:tcBorders>
            <w:vAlign w:val="center"/>
          </w:tcPr>
          <w:p>
            <w:pPr>
              <w:spacing w:line="240" w:lineRule="exact"/>
              <w:jc w:val="center"/>
              <w:rPr>
                <w:szCs w:val="21"/>
              </w:rPr>
            </w:pPr>
            <w:r>
              <w:rPr>
                <w:rFonts w:hint="eastAsia"/>
                <w:szCs w:val="21"/>
              </w:rPr>
              <w:t>污染因子</w:t>
            </w:r>
          </w:p>
        </w:tc>
        <w:tc>
          <w:tcPr>
            <w:tcW w:w="4139" w:type="pct"/>
            <w:gridSpan w:val="3"/>
            <w:tcBorders>
              <w:tl2br w:val="nil"/>
              <w:tr2bl w:val="nil"/>
            </w:tcBorders>
            <w:vAlign w:val="center"/>
          </w:tcPr>
          <w:p>
            <w:pPr>
              <w:spacing w:line="240" w:lineRule="exact"/>
              <w:jc w:val="center"/>
              <w:rPr>
                <w:szCs w:val="21"/>
              </w:rPr>
            </w:pPr>
            <w:r>
              <w:rPr>
                <w:rFonts w:hint="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exact"/>
        </w:trPr>
        <w:tc>
          <w:tcPr>
            <w:tcW w:w="200" w:type="pct"/>
            <w:vMerge w:val="continue"/>
            <w:tcBorders>
              <w:tl2br w:val="nil"/>
              <w:tr2bl w:val="nil"/>
            </w:tcBorders>
            <w:vAlign w:val="center"/>
          </w:tcPr>
          <w:p>
            <w:pPr>
              <w:spacing w:line="240" w:lineRule="exact"/>
              <w:jc w:val="center"/>
              <w:rPr>
                <w:szCs w:val="21"/>
              </w:rPr>
            </w:pPr>
          </w:p>
        </w:tc>
        <w:tc>
          <w:tcPr>
            <w:tcW w:w="660" w:type="pct"/>
            <w:vMerge w:val="continue"/>
            <w:tcBorders>
              <w:tl2br w:val="nil"/>
              <w:tr2bl w:val="nil"/>
            </w:tcBorders>
            <w:vAlign w:val="center"/>
          </w:tcPr>
          <w:p>
            <w:pPr>
              <w:spacing w:line="240" w:lineRule="exact"/>
              <w:jc w:val="center"/>
              <w:rPr>
                <w:szCs w:val="21"/>
              </w:rPr>
            </w:pPr>
          </w:p>
        </w:tc>
        <w:tc>
          <w:tcPr>
            <w:tcW w:w="1258" w:type="pct"/>
            <w:tcBorders>
              <w:tl2br w:val="nil"/>
              <w:tr2bl w:val="nil"/>
            </w:tcBorders>
            <w:vAlign w:val="center"/>
          </w:tcPr>
          <w:p>
            <w:pPr>
              <w:spacing w:line="240" w:lineRule="exact"/>
              <w:jc w:val="center"/>
              <w:rPr>
                <w:szCs w:val="21"/>
              </w:rPr>
            </w:pPr>
            <w:r>
              <w:rPr>
                <w:rFonts w:hint="eastAsia"/>
                <w:szCs w:val="21"/>
              </w:rPr>
              <w:t>《恶臭污染物排放标准》（GB14554-1993）</w:t>
            </w:r>
          </w:p>
        </w:tc>
        <w:tc>
          <w:tcPr>
            <w:tcW w:w="1367" w:type="pct"/>
            <w:tcBorders>
              <w:tl2br w:val="nil"/>
              <w:tr2bl w:val="nil"/>
            </w:tcBorders>
            <w:vAlign w:val="center"/>
          </w:tcPr>
          <w:p>
            <w:pPr>
              <w:spacing w:line="240" w:lineRule="exact"/>
              <w:jc w:val="center"/>
              <w:rPr>
                <w:szCs w:val="21"/>
              </w:rPr>
            </w:pPr>
            <w:r>
              <w:rPr>
                <w:szCs w:val="21"/>
              </w:rPr>
              <w:t>《大气污染物综合排放标准》（GB16297-1996）</w:t>
            </w:r>
          </w:p>
        </w:tc>
        <w:tc>
          <w:tcPr>
            <w:tcW w:w="1513" w:type="pct"/>
            <w:tcBorders>
              <w:tl2br w:val="nil"/>
              <w:tr2bl w:val="nil"/>
            </w:tcBorders>
            <w:vAlign w:val="center"/>
          </w:tcPr>
          <w:p>
            <w:pPr>
              <w:spacing w:line="240" w:lineRule="exact"/>
              <w:jc w:val="center"/>
              <w:rPr>
                <w:szCs w:val="21"/>
              </w:rPr>
            </w:pPr>
            <w:r>
              <w:rPr>
                <w:szCs w:val="21"/>
              </w:rPr>
              <w:t>《生活垃圾填埋场污染控制标准》(GB16889-2008)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00" w:type="pct"/>
            <w:tcBorders>
              <w:tl2br w:val="nil"/>
              <w:tr2bl w:val="nil"/>
            </w:tcBorders>
            <w:vAlign w:val="center"/>
          </w:tcPr>
          <w:p>
            <w:pPr>
              <w:spacing w:line="240" w:lineRule="exact"/>
              <w:jc w:val="center"/>
              <w:rPr>
                <w:szCs w:val="21"/>
              </w:rPr>
            </w:pPr>
            <w:r>
              <w:rPr>
                <w:rFonts w:hint="eastAsia"/>
                <w:szCs w:val="21"/>
              </w:rPr>
              <w:t>1</w:t>
            </w:r>
          </w:p>
        </w:tc>
        <w:tc>
          <w:tcPr>
            <w:tcW w:w="660" w:type="pct"/>
            <w:tcBorders>
              <w:tl2br w:val="nil"/>
              <w:tr2bl w:val="nil"/>
            </w:tcBorders>
            <w:vAlign w:val="center"/>
          </w:tcPr>
          <w:p>
            <w:pPr>
              <w:spacing w:line="240" w:lineRule="exact"/>
              <w:jc w:val="center"/>
              <w:rPr>
                <w:szCs w:val="21"/>
              </w:rPr>
            </w:pPr>
            <w:r>
              <w:rPr>
                <w:rFonts w:hint="eastAsia"/>
                <w:szCs w:val="21"/>
              </w:rPr>
              <w:t>NH</w:t>
            </w:r>
            <w:r>
              <w:rPr>
                <w:rFonts w:hint="eastAsia"/>
                <w:szCs w:val="21"/>
                <w:vertAlign w:val="subscript"/>
              </w:rPr>
              <w:t>3</w:t>
            </w:r>
          </w:p>
        </w:tc>
        <w:tc>
          <w:tcPr>
            <w:tcW w:w="1258" w:type="pct"/>
            <w:tcBorders>
              <w:tl2br w:val="nil"/>
              <w:tr2bl w:val="nil"/>
            </w:tcBorders>
            <w:vAlign w:val="center"/>
          </w:tcPr>
          <w:p>
            <w:pPr>
              <w:spacing w:line="240" w:lineRule="exact"/>
              <w:jc w:val="center"/>
              <w:rPr>
                <w:szCs w:val="21"/>
              </w:rPr>
            </w:pPr>
            <w:r>
              <w:rPr>
                <w:rFonts w:hint="eastAsia"/>
                <w:szCs w:val="21"/>
              </w:rPr>
              <w:t>1.5</w:t>
            </w:r>
            <w:r>
              <w:rPr>
                <w:szCs w:val="21"/>
              </w:rPr>
              <w:t>mg/m</w:t>
            </w:r>
            <w:r>
              <w:rPr>
                <w:szCs w:val="21"/>
                <w:vertAlign w:val="superscript"/>
              </w:rPr>
              <w:t>3</w:t>
            </w:r>
            <w:r>
              <w:rPr>
                <w:rFonts w:hint="eastAsia"/>
                <w:szCs w:val="21"/>
              </w:rPr>
              <w:t>（场界）</w:t>
            </w:r>
          </w:p>
        </w:tc>
        <w:tc>
          <w:tcPr>
            <w:tcW w:w="1367" w:type="pct"/>
            <w:tcBorders>
              <w:tl2br w:val="nil"/>
              <w:tr2bl w:val="nil"/>
            </w:tcBorders>
            <w:vAlign w:val="center"/>
          </w:tcPr>
          <w:p>
            <w:pPr>
              <w:spacing w:line="240" w:lineRule="exact"/>
              <w:jc w:val="center"/>
              <w:rPr>
                <w:szCs w:val="21"/>
              </w:rPr>
            </w:pPr>
            <w:r>
              <w:rPr>
                <w:rFonts w:hint="eastAsia"/>
                <w:szCs w:val="21"/>
              </w:rPr>
              <w:t>/</w:t>
            </w:r>
            <w:r>
              <w:rPr>
                <w:szCs w:val="21"/>
              </w:rPr>
              <w:t xml:space="preserve"> </w:t>
            </w:r>
          </w:p>
        </w:tc>
        <w:tc>
          <w:tcPr>
            <w:tcW w:w="1513" w:type="pct"/>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00" w:type="pct"/>
            <w:tcBorders>
              <w:tl2br w:val="nil"/>
              <w:tr2bl w:val="nil"/>
            </w:tcBorders>
            <w:vAlign w:val="center"/>
          </w:tcPr>
          <w:p>
            <w:pPr>
              <w:spacing w:line="240" w:lineRule="exact"/>
              <w:jc w:val="center"/>
              <w:rPr>
                <w:szCs w:val="21"/>
              </w:rPr>
            </w:pPr>
            <w:r>
              <w:rPr>
                <w:rFonts w:hint="eastAsia"/>
                <w:szCs w:val="21"/>
              </w:rPr>
              <w:t>2</w:t>
            </w:r>
          </w:p>
        </w:tc>
        <w:tc>
          <w:tcPr>
            <w:tcW w:w="660" w:type="pct"/>
            <w:tcBorders>
              <w:tl2br w:val="nil"/>
              <w:tr2bl w:val="nil"/>
            </w:tcBorders>
            <w:vAlign w:val="center"/>
          </w:tcPr>
          <w:p>
            <w:pPr>
              <w:spacing w:line="24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1258" w:type="pct"/>
            <w:tcBorders>
              <w:tl2br w:val="nil"/>
              <w:tr2bl w:val="nil"/>
            </w:tcBorders>
            <w:vAlign w:val="center"/>
          </w:tcPr>
          <w:p>
            <w:pPr>
              <w:spacing w:line="240" w:lineRule="exact"/>
              <w:jc w:val="center"/>
              <w:rPr>
                <w:szCs w:val="21"/>
              </w:rPr>
            </w:pPr>
            <w:r>
              <w:rPr>
                <w:rFonts w:hint="eastAsia"/>
                <w:szCs w:val="21"/>
              </w:rPr>
              <w:t>0.06</w:t>
            </w:r>
            <w:r>
              <w:rPr>
                <w:szCs w:val="21"/>
              </w:rPr>
              <w:t>mg/m</w:t>
            </w:r>
            <w:r>
              <w:rPr>
                <w:szCs w:val="21"/>
                <w:vertAlign w:val="superscript"/>
              </w:rPr>
              <w:t>3</w:t>
            </w:r>
            <w:r>
              <w:rPr>
                <w:rFonts w:hint="eastAsia"/>
                <w:szCs w:val="21"/>
              </w:rPr>
              <w:t>（场界）</w:t>
            </w:r>
          </w:p>
        </w:tc>
        <w:tc>
          <w:tcPr>
            <w:tcW w:w="1367" w:type="pct"/>
            <w:tcBorders>
              <w:tl2br w:val="nil"/>
              <w:tr2bl w:val="nil"/>
            </w:tcBorders>
            <w:vAlign w:val="center"/>
          </w:tcPr>
          <w:p>
            <w:pPr>
              <w:spacing w:line="240" w:lineRule="exact"/>
              <w:jc w:val="center"/>
              <w:rPr>
                <w:szCs w:val="21"/>
              </w:rPr>
            </w:pPr>
            <w:r>
              <w:rPr>
                <w:rFonts w:hint="eastAsia"/>
                <w:szCs w:val="21"/>
              </w:rPr>
              <w:t>/</w:t>
            </w:r>
          </w:p>
        </w:tc>
        <w:tc>
          <w:tcPr>
            <w:tcW w:w="1513" w:type="pct"/>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00" w:type="pct"/>
            <w:tcBorders>
              <w:tl2br w:val="nil"/>
              <w:tr2bl w:val="nil"/>
            </w:tcBorders>
            <w:vAlign w:val="center"/>
          </w:tcPr>
          <w:p>
            <w:pPr>
              <w:spacing w:line="240" w:lineRule="exact"/>
              <w:jc w:val="center"/>
              <w:rPr>
                <w:szCs w:val="21"/>
              </w:rPr>
            </w:pPr>
            <w:r>
              <w:rPr>
                <w:rFonts w:hint="eastAsia"/>
                <w:szCs w:val="21"/>
              </w:rPr>
              <w:t>3</w:t>
            </w:r>
          </w:p>
        </w:tc>
        <w:tc>
          <w:tcPr>
            <w:tcW w:w="660" w:type="pct"/>
            <w:tcBorders>
              <w:tl2br w:val="nil"/>
              <w:tr2bl w:val="nil"/>
            </w:tcBorders>
            <w:vAlign w:val="center"/>
          </w:tcPr>
          <w:p>
            <w:pPr>
              <w:spacing w:line="240" w:lineRule="exact"/>
              <w:jc w:val="center"/>
              <w:rPr>
                <w:szCs w:val="21"/>
              </w:rPr>
            </w:pPr>
            <w:r>
              <w:rPr>
                <w:rFonts w:hint="eastAsia"/>
                <w:szCs w:val="21"/>
              </w:rPr>
              <w:t>甲硫醇</w:t>
            </w:r>
          </w:p>
        </w:tc>
        <w:tc>
          <w:tcPr>
            <w:tcW w:w="1258" w:type="pct"/>
            <w:tcBorders>
              <w:tl2br w:val="nil"/>
              <w:tr2bl w:val="nil"/>
            </w:tcBorders>
            <w:vAlign w:val="center"/>
          </w:tcPr>
          <w:p>
            <w:pPr>
              <w:spacing w:line="240" w:lineRule="exact"/>
              <w:jc w:val="center"/>
              <w:rPr>
                <w:szCs w:val="21"/>
              </w:rPr>
            </w:pPr>
            <w:r>
              <w:rPr>
                <w:rFonts w:hint="eastAsia"/>
                <w:szCs w:val="21"/>
              </w:rPr>
              <w:t>0.007</w:t>
            </w:r>
            <w:r>
              <w:rPr>
                <w:szCs w:val="21"/>
              </w:rPr>
              <w:t>mg/m</w:t>
            </w:r>
            <w:r>
              <w:rPr>
                <w:szCs w:val="21"/>
                <w:vertAlign w:val="superscript"/>
              </w:rPr>
              <w:t>3</w:t>
            </w:r>
            <w:r>
              <w:rPr>
                <w:rFonts w:hint="eastAsia"/>
                <w:szCs w:val="21"/>
              </w:rPr>
              <w:t>（场界）</w:t>
            </w:r>
          </w:p>
        </w:tc>
        <w:tc>
          <w:tcPr>
            <w:tcW w:w="1367" w:type="pct"/>
            <w:tcBorders>
              <w:tl2br w:val="nil"/>
              <w:tr2bl w:val="nil"/>
            </w:tcBorders>
            <w:vAlign w:val="center"/>
          </w:tcPr>
          <w:p>
            <w:pPr>
              <w:spacing w:line="240" w:lineRule="exact"/>
              <w:jc w:val="center"/>
              <w:rPr>
                <w:szCs w:val="21"/>
              </w:rPr>
            </w:pPr>
            <w:r>
              <w:rPr>
                <w:rFonts w:hint="eastAsia"/>
                <w:szCs w:val="21"/>
              </w:rPr>
              <w:t>/</w:t>
            </w:r>
          </w:p>
        </w:tc>
        <w:tc>
          <w:tcPr>
            <w:tcW w:w="1513" w:type="pct"/>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200" w:type="pct"/>
            <w:tcBorders>
              <w:tl2br w:val="nil"/>
              <w:tr2bl w:val="nil"/>
            </w:tcBorders>
            <w:vAlign w:val="center"/>
          </w:tcPr>
          <w:p>
            <w:pPr>
              <w:spacing w:line="240" w:lineRule="exact"/>
              <w:jc w:val="center"/>
              <w:rPr>
                <w:szCs w:val="21"/>
              </w:rPr>
            </w:pPr>
            <w:r>
              <w:rPr>
                <w:rFonts w:hint="eastAsia"/>
                <w:szCs w:val="21"/>
              </w:rPr>
              <w:t>4</w:t>
            </w:r>
          </w:p>
        </w:tc>
        <w:tc>
          <w:tcPr>
            <w:tcW w:w="660" w:type="pct"/>
            <w:tcBorders>
              <w:tl2br w:val="nil"/>
              <w:tr2bl w:val="nil"/>
            </w:tcBorders>
            <w:vAlign w:val="center"/>
          </w:tcPr>
          <w:p>
            <w:pPr>
              <w:spacing w:line="240" w:lineRule="exact"/>
              <w:jc w:val="center"/>
              <w:rPr>
                <w:szCs w:val="21"/>
              </w:rPr>
            </w:pPr>
            <w:r>
              <w:rPr>
                <w:rFonts w:hint="eastAsia"/>
                <w:szCs w:val="21"/>
              </w:rPr>
              <w:t>臭气浓度</w:t>
            </w:r>
          </w:p>
        </w:tc>
        <w:tc>
          <w:tcPr>
            <w:tcW w:w="1258" w:type="pct"/>
            <w:tcBorders>
              <w:tl2br w:val="nil"/>
              <w:tr2bl w:val="nil"/>
            </w:tcBorders>
            <w:vAlign w:val="center"/>
          </w:tcPr>
          <w:p>
            <w:pPr>
              <w:spacing w:line="240" w:lineRule="exact"/>
              <w:jc w:val="center"/>
              <w:rPr>
                <w:szCs w:val="21"/>
              </w:rPr>
            </w:pPr>
            <w:r>
              <w:rPr>
                <w:rFonts w:hint="eastAsia"/>
                <w:szCs w:val="21"/>
              </w:rPr>
              <w:t>20（无量纲）（场界）</w:t>
            </w:r>
          </w:p>
        </w:tc>
        <w:tc>
          <w:tcPr>
            <w:tcW w:w="1367" w:type="pct"/>
            <w:tcBorders>
              <w:tl2br w:val="nil"/>
              <w:tr2bl w:val="nil"/>
            </w:tcBorders>
            <w:vAlign w:val="center"/>
          </w:tcPr>
          <w:p>
            <w:pPr>
              <w:spacing w:line="240" w:lineRule="exact"/>
              <w:jc w:val="center"/>
              <w:rPr>
                <w:szCs w:val="21"/>
              </w:rPr>
            </w:pPr>
            <w:r>
              <w:rPr>
                <w:rFonts w:hint="eastAsia"/>
                <w:szCs w:val="21"/>
              </w:rPr>
              <w:t>/</w:t>
            </w:r>
          </w:p>
        </w:tc>
        <w:tc>
          <w:tcPr>
            <w:tcW w:w="1513" w:type="pct"/>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exact"/>
        </w:trPr>
        <w:tc>
          <w:tcPr>
            <w:tcW w:w="200" w:type="pct"/>
            <w:tcBorders>
              <w:tl2br w:val="nil"/>
              <w:tr2bl w:val="nil"/>
            </w:tcBorders>
            <w:vAlign w:val="center"/>
          </w:tcPr>
          <w:p>
            <w:pPr>
              <w:spacing w:line="240" w:lineRule="exact"/>
              <w:jc w:val="center"/>
              <w:rPr>
                <w:szCs w:val="21"/>
              </w:rPr>
            </w:pPr>
            <w:r>
              <w:rPr>
                <w:rFonts w:hint="eastAsia"/>
                <w:szCs w:val="21"/>
              </w:rPr>
              <w:t>5</w:t>
            </w:r>
          </w:p>
        </w:tc>
        <w:tc>
          <w:tcPr>
            <w:tcW w:w="660" w:type="pct"/>
            <w:tcBorders>
              <w:tl2br w:val="nil"/>
              <w:tr2bl w:val="nil"/>
            </w:tcBorders>
            <w:vAlign w:val="center"/>
          </w:tcPr>
          <w:p>
            <w:pPr>
              <w:spacing w:line="240" w:lineRule="exact"/>
              <w:jc w:val="center"/>
              <w:rPr>
                <w:szCs w:val="21"/>
              </w:rPr>
            </w:pPr>
            <w:r>
              <w:rPr>
                <w:rFonts w:hint="eastAsia"/>
                <w:szCs w:val="21"/>
              </w:rPr>
              <w:t>TSP</w:t>
            </w:r>
          </w:p>
        </w:tc>
        <w:tc>
          <w:tcPr>
            <w:tcW w:w="1258" w:type="pct"/>
            <w:tcBorders>
              <w:tl2br w:val="nil"/>
              <w:tr2bl w:val="nil"/>
            </w:tcBorders>
            <w:vAlign w:val="center"/>
          </w:tcPr>
          <w:p>
            <w:pPr>
              <w:spacing w:line="240" w:lineRule="exact"/>
              <w:jc w:val="center"/>
              <w:rPr>
                <w:szCs w:val="21"/>
              </w:rPr>
            </w:pPr>
            <w:r>
              <w:rPr>
                <w:rFonts w:hint="eastAsia"/>
                <w:szCs w:val="21"/>
              </w:rPr>
              <w:t>/</w:t>
            </w:r>
          </w:p>
        </w:tc>
        <w:tc>
          <w:tcPr>
            <w:tcW w:w="1367" w:type="pct"/>
            <w:tcBorders>
              <w:tl2br w:val="nil"/>
              <w:tr2bl w:val="nil"/>
            </w:tcBorders>
            <w:vAlign w:val="center"/>
          </w:tcPr>
          <w:p>
            <w:pPr>
              <w:spacing w:line="240" w:lineRule="exact"/>
              <w:jc w:val="center"/>
              <w:rPr>
                <w:szCs w:val="21"/>
              </w:rPr>
            </w:pPr>
            <w:r>
              <w:rPr>
                <w:rFonts w:hint="eastAsia"/>
                <w:szCs w:val="21"/>
              </w:rPr>
              <w:t>1.0</w:t>
            </w:r>
            <w:r>
              <w:rPr>
                <w:szCs w:val="21"/>
              </w:rPr>
              <w:t>mg/m</w:t>
            </w:r>
            <w:r>
              <w:rPr>
                <w:szCs w:val="21"/>
                <w:vertAlign w:val="superscript"/>
              </w:rPr>
              <w:t>3</w:t>
            </w:r>
            <w:r>
              <w:rPr>
                <w:rFonts w:hint="eastAsia"/>
                <w:szCs w:val="21"/>
              </w:rPr>
              <w:t>（周界外浓度最高点）</w:t>
            </w:r>
          </w:p>
        </w:tc>
        <w:tc>
          <w:tcPr>
            <w:tcW w:w="1513" w:type="pct"/>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4" w:hRule="exact"/>
        </w:trPr>
        <w:tc>
          <w:tcPr>
            <w:tcW w:w="200" w:type="pct"/>
            <w:tcBorders>
              <w:tl2br w:val="nil"/>
              <w:tr2bl w:val="nil"/>
            </w:tcBorders>
            <w:vAlign w:val="center"/>
          </w:tcPr>
          <w:p>
            <w:pPr>
              <w:spacing w:line="240" w:lineRule="exact"/>
              <w:jc w:val="center"/>
              <w:rPr>
                <w:szCs w:val="21"/>
              </w:rPr>
            </w:pPr>
            <w:r>
              <w:rPr>
                <w:rFonts w:hint="eastAsia"/>
                <w:szCs w:val="21"/>
              </w:rPr>
              <w:t>6</w:t>
            </w:r>
          </w:p>
        </w:tc>
        <w:tc>
          <w:tcPr>
            <w:tcW w:w="660" w:type="pct"/>
            <w:tcBorders>
              <w:tl2br w:val="nil"/>
              <w:tr2bl w:val="nil"/>
            </w:tcBorders>
            <w:vAlign w:val="center"/>
          </w:tcPr>
          <w:p>
            <w:pPr>
              <w:spacing w:line="240" w:lineRule="exact"/>
              <w:jc w:val="center"/>
              <w:rPr>
                <w:szCs w:val="21"/>
              </w:rPr>
            </w:pPr>
            <w:r>
              <w:rPr>
                <w:rFonts w:hint="eastAsia"/>
                <w:szCs w:val="21"/>
              </w:rPr>
              <w:t>CH</w:t>
            </w:r>
            <w:r>
              <w:rPr>
                <w:rFonts w:hint="eastAsia"/>
                <w:szCs w:val="21"/>
                <w:vertAlign w:val="subscript"/>
              </w:rPr>
              <w:t>4</w:t>
            </w:r>
          </w:p>
        </w:tc>
        <w:tc>
          <w:tcPr>
            <w:tcW w:w="1258" w:type="pct"/>
            <w:tcBorders>
              <w:tl2br w:val="nil"/>
              <w:tr2bl w:val="nil"/>
            </w:tcBorders>
            <w:vAlign w:val="center"/>
          </w:tcPr>
          <w:p>
            <w:pPr>
              <w:spacing w:line="240" w:lineRule="exact"/>
              <w:jc w:val="center"/>
              <w:rPr>
                <w:szCs w:val="21"/>
              </w:rPr>
            </w:pPr>
            <w:r>
              <w:rPr>
                <w:rFonts w:hint="eastAsia"/>
                <w:szCs w:val="21"/>
              </w:rPr>
              <w:t>/</w:t>
            </w:r>
          </w:p>
        </w:tc>
        <w:tc>
          <w:tcPr>
            <w:tcW w:w="1367" w:type="pct"/>
            <w:tcBorders>
              <w:tl2br w:val="nil"/>
              <w:tr2bl w:val="nil"/>
            </w:tcBorders>
            <w:vAlign w:val="center"/>
          </w:tcPr>
          <w:p>
            <w:pPr>
              <w:spacing w:line="240" w:lineRule="exact"/>
              <w:jc w:val="center"/>
              <w:rPr>
                <w:szCs w:val="21"/>
              </w:rPr>
            </w:pPr>
            <w:r>
              <w:rPr>
                <w:rFonts w:hint="eastAsia"/>
                <w:szCs w:val="21"/>
              </w:rPr>
              <w:t>/</w:t>
            </w:r>
          </w:p>
        </w:tc>
        <w:tc>
          <w:tcPr>
            <w:tcW w:w="1513" w:type="pct"/>
            <w:tcBorders>
              <w:tl2br w:val="nil"/>
              <w:tr2bl w:val="nil"/>
            </w:tcBorders>
            <w:vAlign w:val="center"/>
          </w:tcPr>
          <w:p>
            <w:pPr>
              <w:spacing w:line="260" w:lineRule="exact"/>
              <w:jc w:val="center"/>
              <w:rPr>
                <w:szCs w:val="21"/>
              </w:rPr>
            </w:pPr>
            <w:r>
              <w:rPr>
                <w:szCs w:val="21"/>
              </w:rPr>
              <w:t>填埋工作面上2m以下高度范围内甲烷的体积百分比不大于0.1%，导气管排放口的甲烷的体积百分比不大于5%</w:t>
            </w:r>
          </w:p>
        </w:tc>
      </w:tr>
    </w:tbl>
    <w:p>
      <w:pPr>
        <w:spacing w:line="500" w:lineRule="exact"/>
        <w:ind w:firstLine="480" w:firstLineChars="200"/>
        <w:rPr>
          <w:sz w:val="24"/>
        </w:rPr>
      </w:pPr>
      <w:r>
        <w:rPr>
          <w:sz w:val="24"/>
        </w:rPr>
        <w:t>2、</w:t>
      </w:r>
      <w:r>
        <w:rPr>
          <w:rFonts w:hint="eastAsia"/>
          <w:sz w:val="24"/>
        </w:rPr>
        <w:t>水污染物</w:t>
      </w:r>
      <w:r>
        <w:rPr>
          <w:sz w:val="24"/>
        </w:rPr>
        <w:t>排放标准</w:t>
      </w:r>
    </w:p>
    <w:p>
      <w:pPr>
        <w:spacing w:line="500" w:lineRule="exact"/>
        <w:ind w:firstLine="480" w:firstLineChars="200"/>
        <w:jc w:val="left"/>
        <w:rPr>
          <w:sz w:val="24"/>
        </w:rPr>
      </w:pPr>
      <w:r>
        <w:rPr>
          <w:rFonts w:hint="eastAsia"/>
          <w:sz w:val="24"/>
        </w:rPr>
        <w:t>项目场内设渗滤液处理站，库区垃圾渗滤液及少量职工生活废水、车辆清洗废水等均进入上述处理站，经“预处理+两级DTRO反渗透”处理后，优先回用于场内绿化及道路等抑尘，剩余全部用于县城道路洒水、环卫绿化等，因此，场内渗滤液除执行《生活垃圾填埋场污染控制标准》(GB16889-2008)表2中的相关要求外，还应满足《城市污水再生利用城市杂用水水质》(GB/T18920­2002)中的限值要求，具体详见下表。</w:t>
      </w:r>
    </w:p>
    <w:p>
      <w:pPr>
        <w:spacing w:line="500" w:lineRule="exact"/>
        <w:ind w:firstLine="482" w:firstLineChars="200"/>
        <w:jc w:val="center"/>
        <w:rPr>
          <w:b/>
          <w:bCs/>
          <w:sz w:val="24"/>
        </w:rPr>
      </w:pPr>
      <w:r>
        <w:rPr>
          <w:b/>
          <w:bCs/>
          <w:sz w:val="24"/>
        </w:rPr>
        <w:t>表2.3-</w:t>
      </w:r>
      <w:r>
        <w:rPr>
          <w:rFonts w:hint="eastAsia"/>
          <w:b/>
          <w:bCs/>
          <w:sz w:val="24"/>
        </w:rPr>
        <w:t xml:space="preserve">8《生活垃圾填埋场污染控制标准》(GB16889-2008) </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94"/>
        <w:gridCol w:w="2982"/>
        <w:gridCol w:w="47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序号</w:t>
            </w:r>
          </w:p>
        </w:tc>
        <w:tc>
          <w:tcPr>
            <w:tcW w:w="1750" w:type="pct"/>
            <w:tcBorders>
              <w:tl2br w:val="nil"/>
              <w:tr2bl w:val="nil"/>
            </w:tcBorders>
            <w:vAlign w:val="center"/>
          </w:tcPr>
          <w:p>
            <w:pPr>
              <w:spacing w:line="240" w:lineRule="exact"/>
              <w:jc w:val="center"/>
              <w:rPr>
                <w:szCs w:val="21"/>
              </w:rPr>
            </w:pPr>
            <w:r>
              <w:rPr>
                <w:rFonts w:hint="eastAsia"/>
                <w:szCs w:val="21"/>
              </w:rPr>
              <w:t>污染物</w:t>
            </w:r>
          </w:p>
        </w:tc>
        <w:tc>
          <w:tcPr>
            <w:tcW w:w="2784" w:type="pct"/>
            <w:tcBorders>
              <w:tl2br w:val="nil"/>
              <w:tr2bl w:val="nil"/>
            </w:tcBorders>
            <w:vAlign w:val="center"/>
          </w:tcPr>
          <w:p>
            <w:pPr>
              <w:spacing w:line="240" w:lineRule="exact"/>
              <w:jc w:val="center"/>
              <w:rPr>
                <w:szCs w:val="21"/>
              </w:rPr>
            </w:pPr>
            <w:r>
              <w:rPr>
                <w:rFonts w:hint="eastAsia"/>
                <w:szCs w:val="21"/>
              </w:rPr>
              <w:t>标准限值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1</w:t>
            </w:r>
          </w:p>
        </w:tc>
        <w:tc>
          <w:tcPr>
            <w:tcW w:w="1750" w:type="pct"/>
            <w:tcBorders>
              <w:tl2br w:val="nil"/>
              <w:tr2bl w:val="nil"/>
            </w:tcBorders>
            <w:vAlign w:val="center"/>
          </w:tcPr>
          <w:p>
            <w:pPr>
              <w:spacing w:line="240" w:lineRule="exact"/>
              <w:jc w:val="center"/>
              <w:rPr>
                <w:szCs w:val="21"/>
              </w:rPr>
            </w:pPr>
            <w:r>
              <w:rPr>
                <w:rFonts w:hint="eastAsia"/>
                <w:szCs w:val="21"/>
              </w:rPr>
              <w:t>色度（稀释倍数）</w:t>
            </w:r>
          </w:p>
        </w:tc>
        <w:tc>
          <w:tcPr>
            <w:tcW w:w="2784" w:type="pct"/>
            <w:tcBorders>
              <w:tl2br w:val="nil"/>
              <w:tr2bl w:val="nil"/>
            </w:tcBorders>
            <w:vAlign w:val="center"/>
          </w:tcPr>
          <w:p>
            <w:pPr>
              <w:spacing w:line="240" w:lineRule="exact"/>
              <w:jc w:val="center"/>
              <w:rPr>
                <w:szCs w:val="21"/>
              </w:rPr>
            </w:pPr>
            <w:r>
              <w:rPr>
                <w:rFonts w:hint="eastAsia"/>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2</w:t>
            </w:r>
          </w:p>
        </w:tc>
        <w:tc>
          <w:tcPr>
            <w:tcW w:w="1750" w:type="pct"/>
            <w:tcBorders>
              <w:tl2br w:val="nil"/>
              <w:tr2bl w:val="nil"/>
            </w:tcBorders>
            <w:vAlign w:val="center"/>
          </w:tcPr>
          <w:p>
            <w:pPr>
              <w:spacing w:line="240" w:lineRule="exact"/>
              <w:jc w:val="center"/>
              <w:rPr>
                <w:szCs w:val="21"/>
              </w:rPr>
            </w:pPr>
            <w:r>
              <w:rPr>
                <w:rFonts w:hint="eastAsia"/>
                <w:szCs w:val="21"/>
              </w:rPr>
              <w:t>COD</w:t>
            </w:r>
            <w:r>
              <w:rPr>
                <w:rFonts w:hint="eastAsia"/>
                <w:szCs w:val="21"/>
                <w:vertAlign w:val="subscript"/>
              </w:rPr>
              <w:t>cr</w:t>
            </w:r>
            <w:r>
              <w:rPr>
                <w:rFonts w:hint="eastAsia"/>
                <w:szCs w:val="21"/>
              </w:rPr>
              <w:t>/（mg/L）</w:t>
            </w:r>
          </w:p>
        </w:tc>
        <w:tc>
          <w:tcPr>
            <w:tcW w:w="2784" w:type="pct"/>
            <w:tcBorders>
              <w:tl2br w:val="nil"/>
              <w:tr2bl w:val="nil"/>
            </w:tcBorders>
            <w:vAlign w:val="center"/>
          </w:tcPr>
          <w:p>
            <w:pPr>
              <w:spacing w:line="240" w:lineRule="exact"/>
              <w:jc w:val="center"/>
              <w:rPr>
                <w:szCs w:val="21"/>
              </w:rPr>
            </w:pPr>
            <w:r>
              <w:rPr>
                <w:rFonts w:hint="eastAsia"/>
                <w:szCs w:val="21"/>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3</w:t>
            </w:r>
          </w:p>
        </w:tc>
        <w:tc>
          <w:tcPr>
            <w:tcW w:w="1750" w:type="pct"/>
            <w:tcBorders>
              <w:tl2br w:val="nil"/>
              <w:tr2bl w:val="nil"/>
            </w:tcBorders>
            <w:vAlign w:val="center"/>
          </w:tcPr>
          <w:p>
            <w:pPr>
              <w:spacing w:line="240" w:lineRule="exact"/>
              <w:jc w:val="center"/>
              <w:rPr>
                <w:szCs w:val="21"/>
              </w:rPr>
            </w:pPr>
            <w:r>
              <w:rPr>
                <w:rFonts w:hint="eastAsia"/>
                <w:szCs w:val="21"/>
              </w:rPr>
              <w:t>BOD</w:t>
            </w:r>
            <w:r>
              <w:rPr>
                <w:rFonts w:hint="eastAsia"/>
                <w:szCs w:val="21"/>
                <w:vertAlign w:val="subscript"/>
              </w:rPr>
              <w:t>5</w:t>
            </w:r>
            <w:r>
              <w:rPr>
                <w:rFonts w:hint="eastAsia"/>
                <w:szCs w:val="21"/>
              </w:rPr>
              <w:t>/（mg/L）</w:t>
            </w:r>
          </w:p>
        </w:tc>
        <w:tc>
          <w:tcPr>
            <w:tcW w:w="2784" w:type="pct"/>
            <w:tcBorders>
              <w:tl2br w:val="nil"/>
              <w:tr2bl w:val="nil"/>
            </w:tcBorders>
            <w:vAlign w:val="center"/>
          </w:tcPr>
          <w:p>
            <w:pPr>
              <w:spacing w:line="240" w:lineRule="exact"/>
              <w:jc w:val="center"/>
              <w:rPr>
                <w:szCs w:val="21"/>
              </w:rPr>
            </w:pPr>
            <w:r>
              <w:rPr>
                <w:rFonts w:hint="eastAsia"/>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4</w:t>
            </w:r>
          </w:p>
        </w:tc>
        <w:tc>
          <w:tcPr>
            <w:tcW w:w="1750" w:type="pct"/>
            <w:tcBorders>
              <w:tl2br w:val="nil"/>
              <w:tr2bl w:val="nil"/>
            </w:tcBorders>
            <w:vAlign w:val="center"/>
          </w:tcPr>
          <w:p>
            <w:pPr>
              <w:spacing w:line="240" w:lineRule="exact"/>
              <w:jc w:val="center"/>
              <w:rPr>
                <w:szCs w:val="21"/>
              </w:rPr>
            </w:pPr>
            <w:r>
              <w:rPr>
                <w:rFonts w:hint="eastAsia"/>
                <w:szCs w:val="21"/>
              </w:rPr>
              <w:t>悬浮物/（mg/L）</w:t>
            </w:r>
          </w:p>
        </w:tc>
        <w:tc>
          <w:tcPr>
            <w:tcW w:w="2784" w:type="pct"/>
            <w:tcBorders>
              <w:tl2br w:val="nil"/>
              <w:tr2bl w:val="nil"/>
            </w:tcBorders>
            <w:vAlign w:val="center"/>
          </w:tcPr>
          <w:p>
            <w:pPr>
              <w:spacing w:line="240" w:lineRule="exact"/>
              <w:jc w:val="center"/>
              <w:rPr>
                <w:szCs w:val="21"/>
              </w:rPr>
            </w:pPr>
            <w:r>
              <w:rPr>
                <w:rFonts w:hint="eastAsia"/>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5</w:t>
            </w:r>
          </w:p>
        </w:tc>
        <w:tc>
          <w:tcPr>
            <w:tcW w:w="1750" w:type="pct"/>
            <w:tcBorders>
              <w:tl2br w:val="nil"/>
              <w:tr2bl w:val="nil"/>
            </w:tcBorders>
            <w:vAlign w:val="center"/>
          </w:tcPr>
          <w:p>
            <w:pPr>
              <w:spacing w:line="240" w:lineRule="exact"/>
              <w:jc w:val="center"/>
              <w:rPr>
                <w:szCs w:val="21"/>
              </w:rPr>
            </w:pPr>
            <w:r>
              <w:rPr>
                <w:rFonts w:hint="eastAsia"/>
                <w:szCs w:val="21"/>
              </w:rPr>
              <w:t>总氮/（mg/L）</w:t>
            </w:r>
          </w:p>
        </w:tc>
        <w:tc>
          <w:tcPr>
            <w:tcW w:w="2784" w:type="pct"/>
            <w:tcBorders>
              <w:tl2br w:val="nil"/>
              <w:tr2bl w:val="nil"/>
            </w:tcBorders>
            <w:vAlign w:val="center"/>
          </w:tcPr>
          <w:p>
            <w:pPr>
              <w:spacing w:line="240" w:lineRule="exact"/>
              <w:jc w:val="center"/>
              <w:rPr>
                <w:szCs w:val="21"/>
              </w:rPr>
            </w:pPr>
            <w:r>
              <w:rPr>
                <w:rFonts w:hint="eastAsia"/>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466" w:type="pct"/>
            <w:tcBorders>
              <w:tl2br w:val="nil"/>
              <w:tr2bl w:val="nil"/>
            </w:tcBorders>
            <w:vAlign w:val="center"/>
          </w:tcPr>
          <w:p>
            <w:pPr>
              <w:spacing w:line="240" w:lineRule="exact"/>
              <w:jc w:val="center"/>
              <w:rPr>
                <w:szCs w:val="21"/>
              </w:rPr>
            </w:pPr>
            <w:r>
              <w:rPr>
                <w:rFonts w:hint="eastAsia"/>
                <w:szCs w:val="21"/>
              </w:rPr>
              <w:t>6</w:t>
            </w:r>
          </w:p>
        </w:tc>
        <w:tc>
          <w:tcPr>
            <w:tcW w:w="1750" w:type="pct"/>
            <w:tcBorders>
              <w:tl2br w:val="nil"/>
              <w:tr2bl w:val="nil"/>
            </w:tcBorders>
            <w:vAlign w:val="center"/>
          </w:tcPr>
          <w:p>
            <w:pPr>
              <w:spacing w:line="240" w:lineRule="exact"/>
              <w:jc w:val="center"/>
              <w:rPr>
                <w:szCs w:val="21"/>
              </w:rPr>
            </w:pPr>
            <w:r>
              <w:rPr>
                <w:rFonts w:hint="eastAsia"/>
                <w:szCs w:val="21"/>
              </w:rPr>
              <w:t>氨氮/（mg/L）</w:t>
            </w:r>
          </w:p>
        </w:tc>
        <w:tc>
          <w:tcPr>
            <w:tcW w:w="2784" w:type="pct"/>
            <w:tcBorders>
              <w:tl2br w:val="nil"/>
              <w:tr2bl w:val="nil"/>
            </w:tcBorders>
            <w:vAlign w:val="center"/>
          </w:tcPr>
          <w:p>
            <w:pPr>
              <w:spacing w:line="240" w:lineRule="exact"/>
              <w:jc w:val="center"/>
              <w:rPr>
                <w:szCs w:val="21"/>
              </w:rPr>
            </w:pPr>
            <w:r>
              <w:rPr>
                <w:rFonts w:hint="eastAsia"/>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7</w:t>
            </w:r>
          </w:p>
        </w:tc>
        <w:tc>
          <w:tcPr>
            <w:tcW w:w="1750" w:type="pct"/>
            <w:tcBorders>
              <w:tl2br w:val="nil"/>
              <w:tr2bl w:val="nil"/>
            </w:tcBorders>
            <w:vAlign w:val="center"/>
          </w:tcPr>
          <w:p>
            <w:pPr>
              <w:spacing w:line="240" w:lineRule="exact"/>
              <w:jc w:val="center"/>
              <w:rPr>
                <w:szCs w:val="21"/>
              </w:rPr>
            </w:pPr>
            <w:r>
              <w:rPr>
                <w:rFonts w:hint="eastAsia"/>
                <w:szCs w:val="21"/>
              </w:rPr>
              <w:t>总磷/（mg/L）</w:t>
            </w:r>
          </w:p>
        </w:tc>
        <w:tc>
          <w:tcPr>
            <w:tcW w:w="2784" w:type="pct"/>
            <w:tcBorders>
              <w:tl2br w:val="nil"/>
              <w:tr2bl w:val="nil"/>
            </w:tcBorders>
            <w:vAlign w:val="center"/>
          </w:tcPr>
          <w:p>
            <w:pPr>
              <w:spacing w:line="240" w:lineRule="exact"/>
              <w:jc w:val="center"/>
              <w:rPr>
                <w:szCs w:val="21"/>
              </w:rPr>
            </w:pPr>
            <w:r>
              <w:rPr>
                <w:rFonts w:hint="eastAsia"/>
                <w:szCs w:val="21"/>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8</w:t>
            </w:r>
          </w:p>
        </w:tc>
        <w:tc>
          <w:tcPr>
            <w:tcW w:w="1750" w:type="pct"/>
            <w:tcBorders>
              <w:tl2br w:val="nil"/>
              <w:tr2bl w:val="nil"/>
            </w:tcBorders>
            <w:vAlign w:val="center"/>
          </w:tcPr>
          <w:p>
            <w:pPr>
              <w:spacing w:line="240" w:lineRule="exact"/>
              <w:jc w:val="center"/>
              <w:rPr>
                <w:szCs w:val="21"/>
              </w:rPr>
            </w:pPr>
            <w:r>
              <w:rPr>
                <w:rFonts w:hint="eastAsia"/>
                <w:szCs w:val="21"/>
              </w:rPr>
              <w:t>粪大肠菌群数/（个/L）</w:t>
            </w:r>
          </w:p>
        </w:tc>
        <w:tc>
          <w:tcPr>
            <w:tcW w:w="2784" w:type="pct"/>
            <w:tcBorders>
              <w:tl2br w:val="nil"/>
              <w:tr2bl w:val="nil"/>
            </w:tcBorders>
            <w:vAlign w:val="center"/>
          </w:tcPr>
          <w:p>
            <w:pPr>
              <w:spacing w:line="240" w:lineRule="exact"/>
              <w:jc w:val="center"/>
              <w:rPr>
                <w:szCs w:val="21"/>
              </w:rPr>
            </w:pPr>
            <w:r>
              <w:rPr>
                <w:rFonts w:hint="eastAsia"/>
                <w:szCs w:val="21"/>
              </w:rPr>
              <w:t>10000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9</w:t>
            </w:r>
          </w:p>
        </w:tc>
        <w:tc>
          <w:tcPr>
            <w:tcW w:w="1750" w:type="pct"/>
            <w:tcBorders>
              <w:tl2br w:val="nil"/>
              <w:tr2bl w:val="nil"/>
            </w:tcBorders>
            <w:vAlign w:val="center"/>
          </w:tcPr>
          <w:p>
            <w:pPr>
              <w:spacing w:line="240" w:lineRule="exact"/>
              <w:jc w:val="center"/>
              <w:rPr>
                <w:szCs w:val="21"/>
              </w:rPr>
            </w:pPr>
            <w:r>
              <w:rPr>
                <w:rFonts w:hint="eastAsia"/>
                <w:szCs w:val="21"/>
              </w:rPr>
              <w:t>总汞/（mg/L）</w:t>
            </w:r>
          </w:p>
        </w:tc>
        <w:tc>
          <w:tcPr>
            <w:tcW w:w="2784" w:type="pct"/>
            <w:tcBorders>
              <w:tl2br w:val="nil"/>
              <w:tr2bl w:val="nil"/>
            </w:tcBorders>
            <w:vAlign w:val="center"/>
          </w:tcPr>
          <w:p>
            <w:pPr>
              <w:spacing w:line="240" w:lineRule="exact"/>
              <w:jc w:val="center"/>
              <w:rPr>
                <w:szCs w:val="21"/>
              </w:rPr>
            </w:pPr>
            <w:r>
              <w:rPr>
                <w:rFonts w:hint="eastAsia"/>
                <w:szCs w:val="21"/>
              </w:rPr>
              <w:t>0.001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10</w:t>
            </w:r>
          </w:p>
        </w:tc>
        <w:tc>
          <w:tcPr>
            <w:tcW w:w="1750" w:type="pct"/>
            <w:tcBorders>
              <w:tl2br w:val="nil"/>
              <w:tr2bl w:val="nil"/>
            </w:tcBorders>
            <w:vAlign w:val="center"/>
          </w:tcPr>
          <w:p>
            <w:pPr>
              <w:spacing w:line="240" w:lineRule="exact"/>
              <w:jc w:val="center"/>
              <w:rPr>
                <w:szCs w:val="21"/>
              </w:rPr>
            </w:pPr>
            <w:r>
              <w:rPr>
                <w:rFonts w:hint="eastAsia"/>
                <w:szCs w:val="21"/>
              </w:rPr>
              <w:t>总镉/（mg/L）</w:t>
            </w:r>
          </w:p>
        </w:tc>
        <w:tc>
          <w:tcPr>
            <w:tcW w:w="2784" w:type="pct"/>
            <w:tcBorders>
              <w:tl2br w:val="nil"/>
              <w:tr2bl w:val="nil"/>
            </w:tcBorders>
            <w:vAlign w:val="center"/>
          </w:tcPr>
          <w:p>
            <w:pPr>
              <w:spacing w:line="240" w:lineRule="exact"/>
              <w:jc w:val="center"/>
              <w:rPr>
                <w:szCs w:val="21"/>
              </w:rPr>
            </w:pPr>
            <w:r>
              <w:rPr>
                <w:rFonts w:hint="eastAsia"/>
                <w:szCs w:val="21"/>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11</w:t>
            </w:r>
          </w:p>
        </w:tc>
        <w:tc>
          <w:tcPr>
            <w:tcW w:w="1750" w:type="pct"/>
            <w:tcBorders>
              <w:tl2br w:val="nil"/>
              <w:tr2bl w:val="nil"/>
            </w:tcBorders>
            <w:vAlign w:val="center"/>
          </w:tcPr>
          <w:p>
            <w:pPr>
              <w:spacing w:line="240" w:lineRule="exact"/>
              <w:jc w:val="center"/>
              <w:rPr>
                <w:szCs w:val="21"/>
              </w:rPr>
            </w:pPr>
            <w:r>
              <w:rPr>
                <w:rFonts w:hint="eastAsia"/>
                <w:szCs w:val="21"/>
              </w:rPr>
              <w:t>总铬/（mg/L）</w:t>
            </w:r>
          </w:p>
        </w:tc>
        <w:tc>
          <w:tcPr>
            <w:tcW w:w="2784" w:type="pct"/>
            <w:tcBorders>
              <w:tl2br w:val="nil"/>
              <w:tr2bl w:val="nil"/>
            </w:tcBorders>
            <w:vAlign w:val="center"/>
          </w:tcPr>
          <w:p>
            <w:pPr>
              <w:spacing w:line="240" w:lineRule="exact"/>
              <w:jc w:val="center"/>
              <w:rPr>
                <w:szCs w:val="21"/>
              </w:rPr>
            </w:pPr>
            <w:r>
              <w:rPr>
                <w:rFonts w:hint="eastAsia"/>
                <w:szCs w:val="21"/>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12</w:t>
            </w:r>
          </w:p>
        </w:tc>
        <w:tc>
          <w:tcPr>
            <w:tcW w:w="1750" w:type="pct"/>
            <w:tcBorders>
              <w:tl2br w:val="nil"/>
              <w:tr2bl w:val="nil"/>
            </w:tcBorders>
            <w:vAlign w:val="center"/>
          </w:tcPr>
          <w:p>
            <w:pPr>
              <w:spacing w:line="240" w:lineRule="exact"/>
              <w:jc w:val="center"/>
              <w:rPr>
                <w:szCs w:val="21"/>
              </w:rPr>
            </w:pPr>
            <w:r>
              <w:rPr>
                <w:rFonts w:hint="eastAsia"/>
                <w:szCs w:val="21"/>
              </w:rPr>
              <w:t>六价铬/（mg/L）</w:t>
            </w:r>
          </w:p>
        </w:tc>
        <w:tc>
          <w:tcPr>
            <w:tcW w:w="2784" w:type="pct"/>
            <w:tcBorders>
              <w:tl2br w:val="nil"/>
              <w:tr2bl w:val="nil"/>
            </w:tcBorders>
            <w:vAlign w:val="center"/>
          </w:tcPr>
          <w:p>
            <w:pPr>
              <w:spacing w:line="240" w:lineRule="exact"/>
              <w:jc w:val="center"/>
              <w:rPr>
                <w:szCs w:val="21"/>
              </w:rPr>
            </w:pPr>
            <w:r>
              <w:rPr>
                <w:rFonts w:hint="eastAsia"/>
                <w:szCs w:val="21"/>
              </w:rPr>
              <w:t>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13</w:t>
            </w:r>
          </w:p>
        </w:tc>
        <w:tc>
          <w:tcPr>
            <w:tcW w:w="1750" w:type="pct"/>
            <w:tcBorders>
              <w:tl2br w:val="nil"/>
              <w:tr2bl w:val="nil"/>
            </w:tcBorders>
            <w:vAlign w:val="center"/>
          </w:tcPr>
          <w:p>
            <w:pPr>
              <w:spacing w:line="240" w:lineRule="exact"/>
              <w:jc w:val="center"/>
              <w:rPr>
                <w:szCs w:val="21"/>
              </w:rPr>
            </w:pPr>
            <w:r>
              <w:rPr>
                <w:rFonts w:hint="eastAsia"/>
                <w:szCs w:val="21"/>
              </w:rPr>
              <w:t>总砷/（mg/L）</w:t>
            </w:r>
          </w:p>
        </w:tc>
        <w:tc>
          <w:tcPr>
            <w:tcW w:w="2784" w:type="pct"/>
            <w:tcBorders>
              <w:tl2br w:val="nil"/>
              <w:tr2bl w:val="nil"/>
            </w:tcBorders>
            <w:vAlign w:val="center"/>
          </w:tcPr>
          <w:p>
            <w:pPr>
              <w:spacing w:line="240" w:lineRule="exact"/>
              <w:jc w:val="center"/>
              <w:rPr>
                <w:szCs w:val="21"/>
              </w:rPr>
            </w:pPr>
            <w:r>
              <w:rPr>
                <w:rFonts w:hint="eastAsia"/>
                <w:szCs w:val="21"/>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14</w:t>
            </w:r>
          </w:p>
        </w:tc>
        <w:tc>
          <w:tcPr>
            <w:tcW w:w="1750" w:type="pct"/>
            <w:tcBorders>
              <w:tl2br w:val="nil"/>
              <w:tr2bl w:val="nil"/>
            </w:tcBorders>
            <w:vAlign w:val="center"/>
          </w:tcPr>
          <w:p>
            <w:pPr>
              <w:spacing w:line="240" w:lineRule="exact"/>
              <w:jc w:val="center"/>
              <w:rPr>
                <w:szCs w:val="21"/>
              </w:rPr>
            </w:pPr>
            <w:r>
              <w:rPr>
                <w:rFonts w:hint="eastAsia"/>
                <w:szCs w:val="21"/>
              </w:rPr>
              <w:t>总铅/（mg/L）</w:t>
            </w:r>
          </w:p>
        </w:tc>
        <w:tc>
          <w:tcPr>
            <w:tcW w:w="2784" w:type="pct"/>
            <w:tcBorders>
              <w:tl2br w:val="nil"/>
              <w:tr2bl w:val="nil"/>
            </w:tcBorders>
            <w:vAlign w:val="center"/>
          </w:tcPr>
          <w:p>
            <w:pPr>
              <w:spacing w:line="240" w:lineRule="exact"/>
              <w:jc w:val="center"/>
              <w:rPr>
                <w:szCs w:val="21"/>
              </w:rPr>
            </w:pPr>
            <w:r>
              <w:rPr>
                <w:rFonts w:hint="eastAsia"/>
                <w:szCs w:val="21"/>
              </w:rPr>
              <w:t>0.1</w:t>
            </w:r>
          </w:p>
        </w:tc>
      </w:tr>
    </w:tbl>
    <w:p>
      <w:pPr>
        <w:spacing w:line="500" w:lineRule="exact"/>
        <w:ind w:firstLine="482" w:firstLineChars="200"/>
        <w:jc w:val="center"/>
        <w:rPr>
          <w:b/>
          <w:bCs/>
          <w:sz w:val="24"/>
        </w:rPr>
      </w:pPr>
      <w:r>
        <w:rPr>
          <w:b/>
          <w:bCs/>
          <w:sz w:val="24"/>
        </w:rPr>
        <w:t>表2.3-</w:t>
      </w:r>
      <w:r>
        <w:rPr>
          <w:rFonts w:hint="eastAsia"/>
          <w:b/>
          <w:bCs/>
          <w:sz w:val="24"/>
        </w:rPr>
        <w:t xml:space="preserve">9《城市污水再生利用城市杂用水水质》(GB/T18920­2020) </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94"/>
        <w:gridCol w:w="2982"/>
        <w:gridCol w:w="47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序号</w:t>
            </w:r>
          </w:p>
        </w:tc>
        <w:tc>
          <w:tcPr>
            <w:tcW w:w="1750" w:type="pct"/>
            <w:tcBorders>
              <w:tl2br w:val="nil"/>
              <w:tr2bl w:val="nil"/>
            </w:tcBorders>
            <w:vAlign w:val="center"/>
          </w:tcPr>
          <w:p>
            <w:pPr>
              <w:pStyle w:val="54"/>
            </w:pPr>
            <w:r>
              <w:rPr>
                <w:rFonts w:hint="eastAsia"/>
              </w:rPr>
              <w:t>项目</w:t>
            </w:r>
          </w:p>
        </w:tc>
        <w:tc>
          <w:tcPr>
            <w:tcW w:w="2783" w:type="pct"/>
            <w:tcBorders>
              <w:tl2br w:val="nil"/>
              <w:tr2bl w:val="nil"/>
            </w:tcBorders>
            <w:vAlign w:val="center"/>
          </w:tcPr>
          <w:p>
            <w:pPr>
              <w:pStyle w:val="54"/>
            </w:pPr>
            <w:r>
              <w:rPr>
                <w:rFonts w:hint="eastAsia"/>
              </w:rPr>
              <w:t>城市绿化、道路清扫、消防、建筑施工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w:t>
            </w:r>
          </w:p>
        </w:tc>
        <w:tc>
          <w:tcPr>
            <w:tcW w:w="1750" w:type="pct"/>
            <w:tcBorders>
              <w:tl2br w:val="nil"/>
              <w:tr2bl w:val="nil"/>
            </w:tcBorders>
            <w:vAlign w:val="center"/>
          </w:tcPr>
          <w:p>
            <w:pPr>
              <w:pStyle w:val="54"/>
            </w:pPr>
            <w:r>
              <w:rPr>
                <w:rFonts w:hint="eastAsia"/>
              </w:rPr>
              <w:t>pH值</w:t>
            </w:r>
          </w:p>
        </w:tc>
        <w:tc>
          <w:tcPr>
            <w:tcW w:w="2783" w:type="pct"/>
            <w:tcBorders>
              <w:tl2br w:val="nil"/>
              <w:tr2bl w:val="nil"/>
            </w:tcBorders>
            <w:vAlign w:val="center"/>
          </w:tcPr>
          <w:p>
            <w:pPr>
              <w:pStyle w:val="54"/>
            </w:pPr>
            <w:r>
              <w:rPr>
                <w:rFonts w:hint="eastAsia"/>
              </w:rPr>
              <w:t>6.0~9.0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2</w:t>
            </w:r>
          </w:p>
        </w:tc>
        <w:tc>
          <w:tcPr>
            <w:tcW w:w="1750" w:type="pct"/>
            <w:tcBorders>
              <w:tl2br w:val="nil"/>
              <w:tr2bl w:val="nil"/>
            </w:tcBorders>
            <w:vAlign w:val="center"/>
          </w:tcPr>
          <w:p>
            <w:pPr>
              <w:pStyle w:val="54"/>
            </w:pPr>
            <w:r>
              <w:rPr>
                <w:rFonts w:hint="eastAsia"/>
              </w:rPr>
              <w:t>BOD</w:t>
            </w:r>
            <w:r>
              <w:rPr>
                <w:rFonts w:hint="eastAsia"/>
                <w:vertAlign w:val="subscript"/>
              </w:rPr>
              <w:t>5</w:t>
            </w:r>
            <w:r>
              <w:rPr>
                <w:rFonts w:hint="eastAsia"/>
              </w:rPr>
              <w:t>/（mg/L）</w:t>
            </w:r>
          </w:p>
        </w:tc>
        <w:tc>
          <w:tcPr>
            <w:tcW w:w="2783" w:type="pct"/>
            <w:tcBorders>
              <w:tl2br w:val="nil"/>
              <w:tr2bl w:val="nil"/>
            </w:tcBorders>
            <w:vAlign w:val="center"/>
          </w:tcPr>
          <w:p>
            <w:pPr>
              <w:pStyle w:val="54"/>
            </w:pPr>
            <w:r>
              <w:rPr>
                <w:rFonts w:hint="eastAsia"/>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3</w:t>
            </w:r>
          </w:p>
        </w:tc>
        <w:tc>
          <w:tcPr>
            <w:tcW w:w="1750" w:type="pct"/>
            <w:tcBorders>
              <w:tl2br w:val="nil"/>
              <w:tr2bl w:val="nil"/>
            </w:tcBorders>
            <w:vAlign w:val="center"/>
          </w:tcPr>
          <w:p>
            <w:pPr>
              <w:pStyle w:val="54"/>
            </w:pPr>
            <w:r>
              <w:rPr>
                <w:rFonts w:hint="eastAsia"/>
              </w:rPr>
              <w:t>大肠埃希氏菌/（CFU/100mL）</w:t>
            </w:r>
          </w:p>
        </w:tc>
        <w:tc>
          <w:tcPr>
            <w:tcW w:w="2783" w:type="pct"/>
            <w:tcBorders>
              <w:tl2br w:val="nil"/>
              <w:tr2bl w:val="nil"/>
            </w:tcBorders>
            <w:vAlign w:val="center"/>
          </w:tcPr>
          <w:p>
            <w:pPr>
              <w:pStyle w:val="54"/>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4</w:t>
            </w:r>
          </w:p>
        </w:tc>
        <w:tc>
          <w:tcPr>
            <w:tcW w:w="1750" w:type="pct"/>
            <w:tcBorders>
              <w:tl2br w:val="nil"/>
              <w:tr2bl w:val="nil"/>
            </w:tcBorders>
            <w:vAlign w:val="center"/>
          </w:tcPr>
          <w:p>
            <w:pPr>
              <w:pStyle w:val="54"/>
            </w:pPr>
            <w:r>
              <w:rPr>
                <w:rFonts w:hint="eastAsia"/>
              </w:rPr>
              <w:t>氨氮/（mg/L）</w:t>
            </w:r>
          </w:p>
        </w:tc>
        <w:tc>
          <w:tcPr>
            <w:tcW w:w="2783" w:type="pct"/>
            <w:tcBorders>
              <w:tl2br w:val="nil"/>
              <w:tr2bl w:val="nil"/>
            </w:tcBorders>
            <w:vAlign w:val="center"/>
          </w:tcPr>
          <w:p>
            <w:pPr>
              <w:pStyle w:val="54"/>
            </w:pPr>
            <w:r>
              <w:rPr>
                <w:rFonts w:hint="eastAsia"/>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5</w:t>
            </w:r>
          </w:p>
        </w:tc>
        <w:tc>
          <w:tcPr>
            <w:tcW w:w="1750" w:type="pct"/>
            <w:tcBorders>
              <w:tl2br w:val="nil"/>
              <w:tr2bl w:val="nil"/>
            </w:tcBorders>
            <w:vAlign w:val="center"/>
          </w:tcPr>
          <w:p>
            <w:pPr>
              <w:pStyle w:val="54"/>
            </w:pPr>
            <w:r>
              <w:rPr>
                <w:rFonts w:hint="eastAsia"/>
              </w:rPr>
              <w:t>阴离子表面活性剂/（mg/L）</w:t>
            </w:r>
          </w:p>
        </w:tc>
        <w:tc>
          <w:tcPr>
            <w:tcW w:w="2783" w:type="pct"/>
            <w:tcBorders>
              <w:tl2br w:val="nil"/>
              <w:tr2bl w:val="nil"/>
            </w:tcBorders>
            <w:vAlign w:val="center"/>
          </w:tcPr>
          <w:p>
            <w:pPr>
              <w:pStyle w:val="54"/>
            </w:pPr>
            <w:r>
              <w:rPr>
                <w:rFonts w:hint="eastAsia"/>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6</w:t>
            </w:r>
          </w:p>
        </w:tc>
        <w:tc>
          <w:tcPr>
            <w:tcW w:w="1750" w:type="pct"/>
            <w:tcBorders>
              <w:tl2br w:val="nil"/>
              <w:tr2bl w:val="nil"/>
            </w:tcBorders>
            <w:vAlign w:val="center"/>
          </w:tcPr>
          <w:p>
            <w:pPr>
              <w:pStyle w:val="54"/>
            </w:pPr>
            <w:r>
              <w:rPr>
                <w:rFonts w:hint="eastAsia"/>
              </w:rPr>
              <w:t>溶解氧/（mg/L）</w:t>
            </w:r>
          </w:p>
        </w:tc>
        <w:tc>
          <w:tcPr>
            <w:tcW w:w="2783" w:type="pct"/>
            <w:tcBorders>
              <w:tl2br w:val="nil"/>
              <w:tr2bl w:val="nil"/>
            </w:tcBorders>
            <w:vAlign w:val="center"/>
          </w:tcPr>
          <w:p>
            <w:pPr>
              <w:pStyle w:val="54"/>
            </w:pPr>
            <w:r>
              <w:rPr>
                <w:rFonts w:hint="eastAsia"/>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7</w:t>
            </w:r>
          </w:p>
        </w:tc>
        <w:tc>
          <w:tcPr>
            <w:tcW w:w="1750" w:type="pct"/>
            <w:tcBorders>
              <w:tl2br w:val="nil"/>
              <w:tr2bl w:val="nil"/>
            </w:tcBorders>
            <w:vAlign w:val="center"/>
          </w:tcPr>
          <w:p>
            <w:pPr>
              <w:pStyle w:val="54"/>
            </w:pPr>
            <w:r>
              <w:rPr>
                <w:rFonts w:hint="eastAsia"/>
              </w:rPr>
              <w:t>溶解性总固体/（mg/L）</w:t>
            </w:r>
          </w:p>
        </w:tc>
        <w:tc>
          <w:tcPr>
            <w:tcW w:w="2783" w:type="pct"/>
            <w:tcBorders>
              <w:tl2br w:val="nil"/>
              <w:tr2bl w:val="nil"/>
            </w:tcBorders>
            <w:vAlign w:val="center"/>
          </w:tcPr>
          <w:p>
            <w:pPr>
              <w:pStyle w:val="54"/>
            </w:pPr>
            <w:r>
              <w:rPr>
                <w:rFonts w:hint="eastAsia"/>
              </w:rPr>
              <w:t>≤1000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8</w:t>
            </w:r>
          </w:p>
        </w:tc>
        <w:tc>
          <w:tcPr>
            <w:tcW w:w="1750" w:type="pct"/>
            <w:tcBorders>
              <w:tl2br w:val="nil"/>
              <w:tr2bl w:val="nil"/>
            </w:tcBorders>
            <w:vAlign w:val="center"/>
          </w:tcPr>
          <w:p>
            <w:pPr>
              <w:pStyle w:val="54"/>
            </w:pPr>
            <w:r>
              <w:rPr>
                <w:rFonts w:hint="eastAsia"/>
              </w:rPr>
              <w:t>色度/铂钴色度单位</w:t>
            </w:r>
          </w:p>
        </w:tc>
        <w:tc>
          <w:tcPr>
            <w:tcW w:w="2783" w:type="pct"/>
            <w:tcBorders>
              <w:tl2br w:val="nil"/>
              <w:tr2bl w:val="nil"/>
            </w:tcBorders>
            <w:vAlign w:val="center"/>
          </w:tcPr>
          <w:p>
            <w:pPr>
              <w:pStyle w:val="54"/>
            </w:pPr>
            <w:r>
              <w:rPr>
                <w:rFonts w:hint="eastAsia"/>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9</w:t>
            </w:r>
          </w:p>
        </w:tc>
        <w:tc>
          <w:tcPr>
            <w:tcW w:w="1750" w:type="pct"/>
            <w:tcBorders>
              <w:tl2br w:val="nil"/>
              <w:tr2bl w:val="nil"/>
            </w:tcBorders>
            <w:vAlign w:val="center"/>
          </w:tcPr>
          <w:p>
            <w:pPr>
              <w:pStyle w:val="54"/>
            </w:pPr>
            <w:r>
              <w:rPr>
                <w:rFonts w:hint="eastAsia"/>
              </w:rPr>
              <w:t>嗅</w:t>
            </w:r>
          </w:p>
        </w:tc>
        <w:tc>
          <w:tcPr>
            <w:tcW w:w="2783" w:type="pct"/>
            <w:tcBorders>
              <w:tl2br w:val="nil"/>
              <w:tr2bl w:val="nil"/>
            </w:tcBorders>
            <w:vAlign w:val="center"/>
          </w:tcPr>
          <w:p>
            <w:pPr>
              <w:pStyle w:val="54"/>
            </w:pPr>
            <w:r>
              <w:rPr>
                <w:rFonts w:hint="eastAsia"/>
              </w:rPr>
              <w:t>无不快感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10</w:t>
            </w:r>
          </w:p>
        </w:tc>
        <w:tc>
          <w:tcPr>
            <w:tcW w:w="1750" w:type="pct"/>
            <w:tcBorders>
              <w:tl2br w:val="nil"/>
              <w:tr2bl w:val="nil"/>
            </w:tcBorders>
            <w:vAlign w:val="center"/>
          </w:tcPr>
          <w:p>
            <w:pPr>
              <w:pStyle w:val="54"/>
            </w:pPr>
            <w:r>
              <w:rPr>
                <w:rFonts w:hint="eastAsia"/>
              </w:rPr>
              <w:t>浊度/NTU</w:t>
            </w:r>
          </w:p>
        </w:tc>
        <w:tc>
          <w:tcPr>
            <w:tcW w:w="2783" w:type="pct"/>
            <w:tcBorders>
              <w:tl2br w:val="nil"/>
              <w:tr2bl w:val="nil"/>
            </w:tcBorders>
            <w:vAlign w:val="center"/>
          </w:tcPr>
          <w:p>
            <w:pPr>
              <w:pStyle w:val="54"/>
            </w:pPr>
            <w:r>
              <w:rPr>
                <w:rFonts w:hint="eastAsia"/>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exact"/>
        </w:trPr>
        <w:tc>
          <w:tcPr>
            <w:tcW w:w="466" w:type="pct"/>
            <w:tcBorders>
              <w:tl2br w:val="nil"/>
              <w:tr2bl w:val="nil"/>
            </w:tcBorders>
            <w:vAlign w:val="center"/>
          </w:tcPr>
          <w:p>
            <w:pPr>
              <w:spacing w:line="240" w:lineRule="exact"/>
              <w:jc w:val="center"/>
              <w:rPr>
                <w:szCs w:val="21"/>
              </w:rPr>
            </w:pPr>
            <w:r>
              <w:rPr>
                <w:rFonts w:hint="eastAsia"/>
                <w:szCs w:val="21"/>
              </w:rPr>
              <w:t>11</w:t>
            </w:r>
          </w:p>
        </w:tc>
        <w:tc>
          <w:tcPr>
            <w:tcW w:w="1750" w:type="pct"/>
            <w:tcBorders>
              <w:tl2br w:val="nil"/>
              <w:tr2bl w:val="nil"/>
            </w:tcBorders>
            <w:vAlign w:val="center"/>
          </w:tcPr>
          <w:p>
            <w:pPr>
              <w:pStyle w:val="54"/>
            </w:pPr>
            <w:r>
              <w:rPr>
                <w:rFonts w:hint="eastAsia"/>
              </w:rPr>
              <w:t>总氯/（mg/L）</w:t>
            </w:r>
          </w:p>
        </w:tc>
        <w:tc>
          <w:tcPr>
            <w:tcW w:w="2783" w:type="pct"/>
            <w:tcBorders>
              <w:tl2br w:val="nil"/>
              <w:tr2bl w:val="nil"/>
            </w:tcBorders>
            <w:vAlign w:val="center"/>
          </w:tcPr>
          <w:p>
            <w:pPr>
              <w:pStyle w:val="54"/>
            </w:pPr>
            <w:r>
              <w:rPr>
                <w:rFonts w:hint="eastAsia"/>
              </w:rPr>
              <w:t>≥1.0（出厂），用于城市绿化时不应超过2.5</w:t>
            </w:r>
          </w:p>
        </w:tc>
      </w:tr>
    </w:tbl>
    <w:p>
      <w:pPr>
        <w:spacing w:line="480" w:lineRule="exact"/>
        <w:ind w:firstLine="480" w:firstLineChars="200"/>
        <w:rPr>
          <w:sz w:val="24"/>
        </w:rPr>
      </w:pPr>
    </w:p>
    <w:p>
      <w:pPr>
        <w:spacing w:line="480" w:lineRule="exact"/>
        <w:ind w:firstLine="480" w:firstLineChars="200"/>
        <w:rPr>
          <w:sz w:val="24"/>
        </w:rPr>
      </w:pPr>
      <w:r>
        <w:rPr>
          <w:rFonts w:hint="eastAsia"/>
          <w:sz w:val="24"/>
        </w:rPr>
        <w:t>3</w:t>
      </w:r>
      <w:r>
        <w:rPr>
          <w:sz w:val="24"/>
        </w:rPr>
        <w:t>、噪声排放标准</w:t>
      </w:r>
    </w:p>
    <w:p>
      <w:pPr>
        <w:spacing w:line="480" w:lineRule="exact"/>
        <w:ind w:firstLine="480" w:firstLineChars="200"/>
        <w:rPr>
          <w:sz w:val="24"/>
        </w:rPr>
      </w:pPr>
      <w:r>
        <w:rPr>
          <w:sz w:val="24"/>
        </w:rPr>
        <w:t>项目</w:t>
      </w:r>
      <w:r>
        <w:rPr>
          <w:rFonts w:hint="eastAsia"/>
          <w:sz w:val="24"/>
        </w:rPr>
        <w:t>运营过程场界</w:t>
      </w:r>
      <w:r>
        <w:rPr>
          <w:sz w:val="24"/>
        </w:rPr>
        <w:t>噪声标准执行《工业企业厂界环境噪声排放标准》（GB12348-2008）中2类标准，具体详见下表。</w:t>
      </w:r>
    </w:p>
    <w:p>
      <w:pPr>
        <w:spacing w:line="500" w:lineRule="exact"/>
        <w:ind w:firstLine="482" w:firstLineChars="200"/>
        <w:jc w:val="center"/>
        <w:rPr>
          <w:b/>
          <w:bCs/>
          <w:sz w:val="24"/>
        </w:rPr>
      </w:pPr>
      <w:r>
        <w:rPr>
          <w:b/>
          <w:bCs/>
          <w:sz w:val="24"/>
        </w:rPr>
        <w:t>表2.3-</w:t>
      </w:r>
      <w:r>
        <w:rPr>
          <w:rFonts w:hint="eastAsia"/>
          <w:b/>
          <w:bCs/>
          <w:sz w:val="24"/>
        </w:rPr>
        <w:t>10</w:t>
      </w:r>
      <w:r>
        <w:rPr>
          <w:b/>
          <w:bCs/>
          <w:sz w:val="24"/>
        </w:rPr>
        <w:t xml:space="preserve"> 厂界噪声执行标准</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trPr>
        <w:tc>
          <w:tcPr>
            <w:tcW w:w="2840" w:type="dxa"/>
            <w:tcBorders>
              <w:tl2br w:val="nil"/>
              <w:tr2bl w:val="nil"/>
            </w:tcBorders>
          </w:tcPr>
          <w:p>
            <w:pPr>
              <w:spacing w:line="360" w:lineRule="exact"/>
              <w:jc w:val="center"/>
              <w:rPr>
                <w:szCs w:val="21"/>
              </w:rPr>
            </w:pPr>
            <w:r>
              <w:rPr>
                <w:szCs w:val="21"/>
              </w:rPr>
              <w:t>类别</w:t>
            </w:r>
          </w:p>
        </w:tc>
        <w:tc>
          <w:tcPr>
            <w:tcW w:w="2841" w:type="dxa"/>
            <w:tcBorders>
              <w:tl2br w:val="nil"/>
              <w:tr2bl w:val="nil"/>
            </w:tcBorders>
          </w:tcPr>
          <w:p>
            <w:pPr>
              <w:spacing w:line="360" w:lineRule="exact"/>
              <w:jc w:val="center"/>
              <w:rPr>
                <w:szCs w:val="21"/>
              </w:rPr>
            </w:pPr>
            <w:r>
              <w:rPr>
                <w:szCs w:val="21"/>
              </w:rPr>
              <w:t>昼间dB（A）</w:t>
            </w:r>
          </w:p>
        </w:tc>
        <w:tc>
          <w:tcPr>
            <w:tcW w:w="2841" w:type="dxa"/>
            <w:tcBorders>
              <w:tl2br w:val="nil"/>
              <w:tr2bl w:val="nil"/>
            </w:tcBorders>
          </w:tcPr>
          <w:p>
            <w:pPr>
              <w:spacing w:line="360" w:lineRule="exact"/>
              <w:jc w:val="center"/>
              <w:rPr>
                <w:szCs w:val="21"/>
              </w:rPr>
            </w:pPr>
            <w:r>
              <w:rPr>
                <w:szCs w:val="21"/>
              </w:rPr>
              <w:t>夜间dB（A）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trPr>
        <w:tc>
          <w:tcPr>
            <w:tcW w:w="2840" w:type="dxa"/>
            <w:tcBorders>
              <w:tl2br w:val="nil"/>
              <w:tr2bl w:val="nil"/>
            </w:tcBorders>
          </w:tcPr>
          <w:p>
            <w:pPr>
              <w:spacing w:line="360" w:lineRule="exact"/>
              <w:ind w:firstLine="1260" w:firstLineChars="600"/>
              <w:rPr>
                <w:szCs w:val="21"/>
              </w:rPr>
            </w:pPr>
            <w:r>
              <w:rPr>
                <w:szCs w:val="21"/>
              </w:rPr>
              <w:t>2</w:t>
            </w:r>
          </w:p>
        </w:tc>
        <w:tc>
          <w:tcPr>
            <w:tcW w:w="2841" w:type="dxa"/>
            <w:tcBorders>
              <w:tl2br w:val="nil"/>
              <w:tr2bl w:val="nil"/>
            </w:tcBorders>
          </w:tcPr>
          <w:p>
            <w:pPr>
              <w:spacing w:line="360" w:lineRule="exact"/>
              <w:jc w:val="center"/>
              <w:rPr>
                <w:szCs w:val="21"/>
              </w:rPr>
            </w:pPr>
            <w:r>
              <w:rPr>
                <w:szCs w:val="21"/>
              </w:rPr>
              <w:t>60</w:t>
            </w:r>
          </w:p>
        </w:tc>
        <w:tc>
          <w:tcPr>
            <w:tcW w:w="2841" w:type="dxa"/>
            <w:tcBorders>
              <w:tl2br w:val="nil"/>
              <w:tr2bl w:val="nil"/>
            </w:tcBorders>
          </w:tcPr>
          <w:p>
            <w:pPr>
              <w:spacing w:line="360" w:lineRule="exact"/>
              <w:jc w:val="center"/>
              <w:rPr>
                <w:szCs w:val="21"/>
              </w:rPr>
            </w:pPr>
            <w:r>
              <w:rPr>
                <w:szCs w:val="21"/>
              </w:rPr>
              <w:t>50</w:t>
            </w:r>
          </w:p>
        </w:tc>
      </w:tr>
    </w:tbl>
    <w:p>
      <w:pPr>
        <w:spacing w:line="480" w:lineRule="exact"/>
        <w:ind w:firstLine="480" w:firstLineChars="200"/>
        <w:rPr>
          <w:sz w:val="24"/>
        </w:rPr>
      </w:pPr>
      <w:r>
        <w:rPr>
          <w:rFonts w:hint="eastAsia"/>
          <w:sz w:val="24"/>
        </w:rPr>
        <w:t>4</w:t>
      </w:r>
      <w:r>
        <w:rPr>
          <w:sz w:val="24"/>
        </w:rPr>
        <w:t>、</w:t>
      </w:r>
      <w:r>
        <w:rPr>
          <w:rFonts w:hint="eastAsia"/>
          <w:sz w:val="24"/>
        </w:rPr>
        <w:t>其他标准</w:t>
      </w:r>
    </w:p>
    <w:p>
      <w:pPr>
        <w:spacing w:line="480" w:lineRule="exact"/>
        <w:ind w:firstLine="480" w:firstLineChars="200"/>
        <w:rPr>
          <w:sz w:val="24"/>
        </w:rPr>
      </w:pPr>
      <w:r>
        <w:rPr>
          <w:rFonts w:hint="eastAsia"/>
          <w:sz w:val="24"/>
        </w:rPr>
        <w:t>本项目场地填埋废物的入场要求执行《生活垃圾填埋场污染控制标准》(GB16889-2008)中6.1～6.8的相关要求。</w:t>
      </w:r>
    </w:p>
    <w:p>
      <w:pPr>
        <w:pStyle w:val="5"/>
        <w:spacing w:beforeLines="0" w:after="120"/>
        <w:rPr>
          <w:rFonts w:eastAsia="宋体"/>
          <w:b/>
          <w:bCs w:val="0"/>
          <w:color w:val="auto"/>
          <w:szCs w:val="30"/>
        </w:rPr>
      </w:pPr>
      <w:bookmarkStart w:id="87" w:name="_Toc19513"/>
      <w:bookmarkStart w:id="88" w:name="_Toc1710958660"/>
      <w:r>
        <w:rPr>
          <w:rFonts w:eastAsia="宋体"/>
          <w:b/>
          <w:bCs w:val="0"/>
          <w:color w:val="auto"/>
          <w:szCs w:val="30"/>
        </w:rPr>
        <w:t>2.4 评价等级</w:t>
      </w:r>
      <w:bookmarkEnd w:id="87"/>
      <w:r>
        <w:rPr>
          <w:rFonts w:hint="eastAsia" w:eastAsia="宋体"/>
          <w:b/>
          <w:bCs w:val="0"/>
          <w:color w:val="auto"/>
          <w:szCs w:val="30"/>
        </w:rPr>
        <w:t>划分</w:t>
      </w:r>
      <w:bookmarkEnd w:id="88"/>
    </w:p>
    <w:p>
      <w:pPr>
        <w:pStyle w:val="6"/>
        <w:spacing w:line="480" w:lineRule="exact"/>
      </w:pPr>
      <w:r>
        <w:t xml:space="preserve">2.4.1 </w:t>
      </w:r>
      <w:r>
        <w:rPr>
          <w:rFonts w:hint="eastAsia"/>
        </w:rPr>
        <w:t>环境空气</w:t>
      </w:r>
    </w:p>
    <w:p>
      <w:pPr>
        <w:tabs>
          <w:tab w:val="left" w:pos="280"/>
          <w:tab w:val="left" w:pos="1290"/>
        </w:tabs>
        <w:adjustRightInd w:val="0"/>
        <w:snapToGrid w:val="0"/>
        <w:spacing w:line="480" w:lineRule="exact"/>
        <w:ind w:firstLine="480" w:firstLineChars="200"/>
        <w:rPr>
          <w:sz w:val="24"/>
        </w:rPr>
      </w:pPr>
      <w:r>
        <w:rPr>
          <w:rFonts w:hint="eastAsia"/>
          <w:sz w:val="24"/>
        </w:rPr>
        <w:t>本次评价以库区垃圾填埋作业产生的恶臭及粉尘作为项目的主要污染物，采用《环境影响评价技术导则  大气环境》（HJ2.2-2018）附录A推荐模型中的估算模型计算其最大环境影响，然后判定大气环境的评价等级。具体详见下表。</w:t>
      </w:r>
    </w:p>
    <w:p>
      <w:pPr>
        <w:spacing w:line="500" w:lineRule="exact"/>
        <w:jc w:val="center"/>
        <w:rPr>
          <w:b/>
          <w:sz w:val="24"/>
        </w:rPr>
      </w:pPr>
      <w:r>
        <w:rPr>
          <w:b/>
          <w:sz w:val="24"/>
        </w:rPr>
        <w:t>表</w:t>
      </w:r>
      <w:r>
        <w:rPr>
          <w:rFonts w:hint="eastAsia"/>
          <w:b/>
          <w:sz w:val="24"/>
        </w:rPr>
        <w:t>2.4</w:t>
      </w:r>
      <w:r>
        <w:rPr>
          <w:b/>
          <w:sz w:val="24"/>
        </w:rPr>
        <w:t>-1  项目</w:t>
      </w:r>
      <w:r>
        <w:rPr>
          <w:rFonts w:hint="eastAsia"/>
          <w:b/>
          <w:sz w:val="24"/>
        </w:rPr>
        <w:t>大气污染物估算模式计算结果</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1"/>
        <w:gridCol w:w="1614"/>
        <w:gridCol w:w="1485"/>
        <w:gridCol w:w="1110"/>
        <w:gridCol w:w="930"/>
        <w:gridCol w:w="1620"/>
        <w:gridCol w:w="8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931" w:type="dxa"/>
            <w:tcBorders>
              <w:tl2br w:val="nil"/>
              <w:tr2bl w:val="nil"/>
            </w:tcBorders>
            <w:vAlign w:val="center"/>
          </w:tcPr>
          <w:p>
            <w:pPr>
              <w:spacing w:line="240" w:lineRule="exact"/>
              <w:jc w:val="center"/>
              <w:rPr>
                <w:szCs w:val="21"/>
              </w:rPr>
            </w:pPr>
            <w:r>
              <w:rPr>
                <w:szCs w:val="21"/>
              </w:rPr>
              <w:t>污染物</w:t>
            </w:r>
          </w:p>
        </w:tc>
        <w:tc>
          <w:tcPr>
            <w:tcW w:w="1614" w:type="dxa"/>
            <w:tcBorders>
              <w:tl2br w:val="nil"/>
              <w:tr2bl w:val="nil"/>
            </w:tcBorders>
            <w:vAlign w:val="center"/>
          </w:tcPr>
          <w:p>
            <w:pPr>
              <w:spacing w:line="240" w:lineRule="exact"/>
              <w:jc w:val="center"/>
              <w:rPr>
                <w:szCs w:val="21"/>
              </w:rPr>
            </w:pPr>
            <w:r>
              <w:rPr>
                <w:szCs w:val="21"/>
              </w:rPr>
              <w:t>污染源</w:t>
            </w:r>
          </w:p>
        </w:tc>
        <w:tc>
          <w:tcPr>
            <w:tcW w:w="1485" w:type="dxa"/>
            <w:tcBorders>
              <w:tl2br w:val="nil"/>
              <w:tr2bl w:val="nil"/>
            </w:tcBorders>
            <w:vAlign w:val="center"/>
          </w:tcPr>
          <w:p>
            <w:pPr>
              <w:spacing w:line="240" w:lineRule="exact"/>
              <w:jc w:val="center"/>
              <w:rPr>
                <w:szCs w:val="21"/>
              </w:rPr>
            </w:pPr>
            <w:r>
              <w:rPr>
                <w:szCs w:val="21"/>
              </w:rPr>
              <w:t>最大落地浓度</w:t>
            </w:r>
          </w:p>
          <w:p>
            <w:pPr>
              <w:spacing w:line="240" w:lineRule="exact"/>
              <w:jc w:val="center"/>
              <w:rPr>
                <w:szCs w:val="21"/>
              </w:rPr>
            </w:pPr>
            <w:r>
              <w:rPr>
                <w:szCs w:val="21"/>
              </w:rPr>
              <w:t>Ci（</w:t>
            </w:r>
            <w:r>
              <w:rPr>
                <w:rFonts w:hint="eastAsia"/>
                <w:szCs w:val="21"/>
              </w:rPr>
              <w:t>u</w:t>
            </w:r>
            <w:r>
              <w:rPr>
                <w:szCs w:val="21"/>
              </w:rPr>
              <w:t>g/m</w:t>
            </w:r>
            <w:r>
              <w:rPr>
                <w:szCs w:val="21"/>
                <w:vertAlign w:val="superscript"/>
              </w:rPr>
              <w:t>3</w:t>
            </w:r>
            <w:r>
              <w:rPr>
                <w:szCs w:val="21"/>
              </w:rPr>
              <w:t>）</w:t>
            </w:r>
          </w:p>
        </w:tc>
        <w:tc>
          <w:tcPr>
            <w:tcW w:w="1110" w:type="dxa"/>
            <w:tcBorders>
              <w:tl2br w:val="nil"/>
              <w:tr2bl w:val="nil"/>
            </w:tcBorders>
            <w:vAlign w:val="center"/>
          </w:tcPr>
          <w:p>
            <w:pPr>
              <w:spacing w:line="240" w:lineRule="exact"/>
              <w:jc w:val="center"/>
              <w:rPr>
                <w:szCs w:val="21"/>
              </w:rPr>
            </w:pPr>
            <w:r>
              <w:rPr>
                <w:szCs w:val="21"/>
              </w:rPr>
              <w:t>标准限制</w:t>
            </w:r>
          </w:p>
          <w:p>
            <w:pPr>
              <w:spacing w:line="240" w:lineRule="exact"/>
              <w:jc w:val="center"/>
              <w:rPr>
                <w:szCs w:val="21"/>
              </w:rPr>
            </w:pPr>
            <w:r>
              <w:rPr>
                <w:szCs w:val="21"/>
              </w:rPr>
              <w:t>（</w:t>
            </w:r>
            <w:r>
              <w:rPr>
                <w:rFonts w:hint="eastAsia"/>
                <w:szCs w:val="21"/>
              </w:rPr>
              <w:t>u</w:t>
            </w:r>
            <w:r>
              <w:rPr>
                <w:szCs w:val="21"/>
              </w:rPr>
              <w:t>g/m</w:t>
            </w:r>
            <w:r>
              <w:rPr>
                <w:szCs w:val="21"/>
                <w:vertAlign w:val="superscript"/>
              </w:rPr>
              <w:t>3</w:t>
            </w:r>
            <w:r>
              <w:rPr>
                <w:szCs w:val="21"/>
              </w:rPr>
              <w:t>）</w:t>
            </w:r>
          </w:p>
        </w:tc>
        <w:tc>
          <w:tcPr>
            <w:tcW w:w="930" w:type="dxa"/>
            <w:tcBorders>
              <w:tl2br w:val="nil"/>
              <w:tr2bl w:val="nil"/>
            </w:tcBorders>
            <w:vAlign w:val="center"/>
          </w:tcPr>
          <w:p>
            <w:pPr>
              <w:spacing w:line="240" w:lineRule="exact"/>
              <w:jc w:val="center"/>
              <w:rPr>
                <w:szCs w:val="21"/>
              </w:rPr>
            </w:pPr>
            <w:r>
              <w:rPr>
                <w:szCs w:val="21"/>
              </w:rPr>
              <w:t>Pmax</w:t>
            </w:r>
          </w:p>
          <w:p>
            <w:pPr>
              <w:spacing w:line="240" w:lineRule="exact"/>
              <w:jc w:val="center"/>
              <w:rPr>
                <w:szCs w:val="21"/>
              </w:rPr>
            </w:pPr>
            <w:r>
              <w:rPr>
                <w:szCs w:val="21"/>
              </w:rPr>
              <w:t>（%）</w:t>
            </w:r>
          </w:p>
        </w:tc>
        <w:tc>
          <w:tcPr>
            <w:tcW w:w="1620" w:type="dxa"/>
            <w:tcBorders>
              <w:tl2br w:val="nil"/>
              <w:tr2bl w:val="nil"/>
            </w:tcBorders>
            <w:vAlign w:val="center"/>
          </w:tcPr>
          <w:p>
            <w:pPr>
              <w:spacing w:line="240" w:lineRule="exact"/>
              <w:jc w:val="center"/>
              <w:rPr>
                <w:szCs w:val="21"/>
              </w:rPr>
            </w:pPr>
            <w:r>
              <w:rPr>
                <w:szCs w:val="21"/>
              </w:rPr>
              <w:t>最大落地浓度</w:t>
            </w:r>
          </w:p>
          <w:p>
            <w:pPr>
              <w:spacing w:line="240" w:lineRule="exact"/>
              <w:jc w:val="center"/>
              <w:rPr>
                <w:szCs w:val="21"/>
              </w:rPr>
            </w:pPr>
            <w:r>
              <w:rPr>
                <w:szCs w:val="21"/>
              </w:rPr>
              <w:t>落地距离（m）</w:t>
            </w:r>
          </w:p>
        </w:tc>
        <w:tc>
          <w:tcPr>
            <w:tcW w:w="832" w:type="dxa"/>
            <w:tcBorders>
              <w:tl2br w:val="nil"/>
              <w:tr2bl w:val="nil"/>
            </w:tcBorders>
            <w:vAlign w:val="center"/>
          </w:tcPr>
          <w:p>
            <w:pPr>
              <w:spacing w:line="240" w:lineRule="exact"/>
              <w:jc w:val="center"/>
              <w:rPr>
                <w:szCs w:val="21"/>
              </w:rPr>
            </w:pPr>
            <w:r>
              <w:rPr>
                <w:szCs w:val="21"/>
              </w:rPr>
              <w:t>D10%</w:t>
            </w:r>
          </w:p>
          <w:p>
            <w:pPr>
              <w:spacing w:line="240" w:lineRule="exact"/>
              <w:jc w:val="center"/>
              <w:rPr>
                <w:szCs w:val="21"/>
              </w:rPr>
            </w:pPr>
            <w:r>
              <w:rPr>
                <w:szCs w:val="21"/>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trPr>
        <w:tc>
          <w:tcPr>
            <w:tcW w:w="931" w:type="dxa"/>
            <w:tcBorders>
              <w:tl2br w:val="nil"/>
              <w:tr2bl w:val="nil"/>
            </w:tcBorders>
            <w:vAlign w:val="center"/>
          </w:tcPr>
          <w:p>
            <w:pPr>
              <w:spacing w:line="300" w:lineRule="exact"/>
              <w:jc w:val="center"/>
              <w:rPr>
                <w:szCs w:val="21"/>
              </w:rPr>
            </w:pPr>
            <w:r>
              <w:rPr>
                <w:rFonts w:hint="eastAsia"/>
                <w:szCs w:val="21"/>
              </w:rPr>
              <w:t>NH</w:t>
            </w:r>
            <w:r>
              <w:rPr>
                <w:rFonts w:hint="eastAsia"/>
                <w:szCs w:val="21"/>
                <w:vertAlign w:val="subscript"/>
              </w:rPr>
              <w:t>3</w:t>
            </w:r>
          </w:p>
        </w:tc>
        <w:tc>
          <w:tcPr>
            <w:tcW w:w="1614" w:type="dxa"/>
            <w:vMerge w:val="restart"/>
            <w:tcBorders>
              <w:tl2br w:val="nil"/>
              <w:tr2bl w:val="nil"/>
            </w:tcBorders>
            <w:vAlign w:val="center"/>
          </w:tcPr>
          <w:p>
            <w:pPr>
              <w:spacing w:line="280" w:lineRule="exact"/>
              <w:jc w:val="center"/>
              <w:rPr>
                <w:szCs w:val="21"/>
              </w:rPr>
            </w:pPr>
            <w:r>
              <w:rPr>
                <w:szCs w:val="21"/>
              </w:rPr>
              <w:t>场内</w:t>
            </w:r>
            <w:r>
              <w:rPr>
                <w:rFonts w:hint="eastAsia"/>
                <w:szCs w:val="21"/>
              </w:rPr>
              <w:t>垃圾填埋作业产生的无组织恶臭及粉尘</w:t>
            </w:r>
          </w:p>
        </w:tc>
        <w:tc>
          <w:tcPr>
            <w:tcW w:w="1485" w:type="dxa"/>
            <w:tcBorders>
              <w:tl2br w:val="nil"/>
              <w:tr2bl w:val="nil"/>
            </w:tcBorders>
            <w:vAlign w:val="center"/>
          </w:tcPr>
          <w:p>
            <w:pPr>
              <w:spacing w:line="300" w:lineRule="exact"/>
              <w:jc w:val="center"/>
              <w:rPr>
                <w:szCs w:val="21"/>
              </w:rPr>
            </w:pPr>
            <w:r>
              <w:rPr>
                <w:rFonts w:hint="eastAsia"/>
                <w:szCs w:val="21"/>
              </w:rPr>
              <w:t>0.441</w:t>
            </w:r>
          </w:p>
        </w:tc>
        <w:tc>
          <w:tcPr>
            <w:tcW w:w="1110" w:type="dxa"/>
            <w:tcBorders>
              <w:tl2br w:val="nil"/>
              <w:tr2bl w:val="nil"/>
            </w:tcBorders>
            <w:vAlign w:val="center"/>
          </w:tcPr>
          <w:p>
            <w:pPr>
              <w:spacing w:line="300" w:lineRule="exact"/>
              <w:jc w:val="center"/>
              <w:rPr>
                <w:szCs w:val="21"/>
              </w:rPr>
            </w:pPr>
            <w:r>
              <w:rPr>
                <w:rFonts w:hint="eastAsia"/>
                <w:szCs w:val="21"/>
              </w:rPr>
              <w:t>200</w:t>
            </w:r>
          </w:p>
        </w:tc>
        <w:tc>
          <w:tcPr>
            <w:tcW w:w="930" w:type="dxa"/>
            <w:tcBorders>
              <w:tl2br w:val="nil"/>
              <w:tr2bl w:val="nil"/>
            </w:tcBorders>
            <w:vAlign w:val="center"/>
          </w:tcPr>
          <w:p>
            <w:pPr>
              <w:spacing w:line="300" w:lineRule="exact"/>
              <w:jc w:val="center"/>
              <w:rPr>
                <w:szCs w:val="21"/>
              </w:rPr>
            </w:pPr>
            <w:r>
              <w:rPr>
                <w:rFonts w:hint="eastAsia"/>
                <w:szCs w:val="21"/>
              </w:rPr>
              <w:t>4.41</w:t>
            </w:r>
          </w:p>
        </w:tc>
        <w:tc>
          <w:tcPr>
            <w:tcW w:w="1620" w:type="dxa"/>
            <w:tcBorders>
              <w:tl2br w:val="nil"/>
              <w:tr2bl w:val="nil"/>
            </w:tcBorders>
            <w:vAlign w:val="center"/>
          </w:tcPr>
          <w:p>
            <w:pPr>
              <w:spacing w:line="300" w:lineRule="exact"/>
              <w:jc w:val="center"/>
              <w:rPr>
                <w:szCs w:val="21"/>
              </w:rPr>
            </w:pPr>
            <w:r>
              <w:rPr>
                <w:rFonts w:hint="eastAsia"/>
                <w:szCs w:val="21"/>
              </w:rPr>
              <w:t>178</w:t>
            </w:r>
          </w:p>
        </w:tc>
        <w:tc>
          <w:tcPr>
            <w:tcW w:w="832" w:type="dxa"/>
            <w:tcBorders>
              <w:tl2br w:val="nil"/>
              <w:tr2bl w:val="nil"/>
            </w:tcBorders>
            <w:vAlign w:val="center"/>
          </w:tcPr>
          <w:p>
            <w:pPr>
              <w:spacing w:line="300" w:lineRule="exact"/>
              <w:jc w:val="center"/>
              <w:rPr>
                <w:szCs w:val="21"/>
              </w:rPr>
            </w:pPr>
            <w:r>
              <w:rPr>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trPr>
        <w:tc>
          <w:tcPr>
            <w:tcW w:w="931" w:type="dxa"/>
            <w:tcBorders>
              <w:tl2br w:val="nil"/>
              <w:tr2bl w:val="nil"/>
            </w:tcBorders>
            <w:vAlign w:val="center"/>
          </w:tcPr>
          <w:p>
            <w:pPr>
              <w:spacing w:line="30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1614" w:type="dxa"/>
            <w:vMerge w:val="continue"/>
            <w:tcBorders>
              <w:tl2br w:val="nil"/>
              <w:tr2bl w:val="nil"/>
            </w:tcBorders>
            <w:vAlign w:val="center"/>
          </w:tcPr>
          <w:p>
            <w:pPr>
              <w:spacing w:line="280" w:lineRule="exact"/>
              <w:jc w:val="center"/>
              <w:rPr>
                <w:szCs w:val="21"/>
              </w:rPr>
            </w:pPr>
          </w:p>
        </w:tc>
        <w:tc>
          <w:tcPr>
            <w:tcW w:w="1485" w:type="dxa"/>
            <w:tcBorders>
              <w:tl2br w:val="nil"/>
              <w:tr2bl w:val="nil"/>
            </w:tcBorders>
            <w:vAlign w:val="center"/>
          </w:tcPr>
          <w:p>
            <w:pPr>
              <w:spacing w:line="300" w:lineRule="exact"/>
              <w:jc w:val="center"/>
              <w:rPr>
                <w:szCs w:val="21"/>
              </w:rPr>
            </w:pPr>
            <w:r>
              <w:rPr>
                <w:rFonts w:hint="eastAsia"/>
                <w:szCs w:val="21"/>
              </w:rPr>
              <w:t>15.69</w:t>
            </w:r>
          </w:p>
        </w:tc>
        <w:tc>
          <w:tcPr>
            <w:tcW w:w="1110" w:type="dxa"/>
            <w:tcBorders>
              <w:tl2br w:val="nil"/>
              <w:tr2bl w:val="nil"/>
            </w:tcBorders>
            <w:vAlign w:val="center"/>
          </w:tcPr>
          <w:p>
            <w:pPr>
              <w:spacing w:line="300" w:lineRule="exact"/>
              <w:jc w:val="center"/>
              <w:rPr>
                <w:szCs w:val="21"/>
              </w:rPr>
            </w:pPr>
            <w:r>
              <w:rPr>
                <w:rFonts w:hint="eastAsia"/>
                <w:szCs w:val="21"/>
              </w:rPr>
              <w:t>10</w:t>
            </w:r>
          </w:p>
        </w:tc>
        <w:tc>
          <w:tcPr>
            <w:tcW w:w="930" w:type="dxa"/>
            <w:tcBorders>
              <w:tl2br w:val="nil"/>
              <w:tr2bl w:val="nil"/>
            </w:tcBorders>
            <w:vAlign w:val="center"/>
          </w:tcPr>
          <w:p>
            <w:pPr>
              <w:spacing w:line="300" w:lineRule="exact"/>
              <w:jc w:val="center"/>
              <w:rPr>
                <w:szCs w:val="21"/>
              </w:rPr>
            </w:pPr>
            <w:r>
              <w:rPr>
                <w:rFonts w:hint="eastAsia"/>
                <w:szCs w:val="21"/>
              </w:rPr>
              <w:t>7.85</w:t>
            </w:r>
          </w:p>
        </w:tc>
        <w:tc>
          <w:tcPr>
            <w:tcW w:w="1620" w:type="dxa"/>
            <w:tcBorders>
              <w:tl2br w:val="nil"/>
              <w:tr2bl w:val="nil"/>
            </w:tcBorders>
            <w:vAlign w:val="center"/>
          </w:tcPr>
          <w:p>
            <w:pPr>
              <w:spacing w:line="300" w:lineRule="exact"/>
              <w:jc w:val="center"/>
              <w:rPr>
                <w:szCs w:val="21"/>
              </w:rPr>
            </w:pPr>
            <w:r>
              <w:rPr>
                <w:rFonts w:hint="eastAsia"/>
                <w:szCs w:val="21"/>
              </w:rPr>
              <w:t>178</w:t>
            </w:r>
          </w:p>
        </w:tc>
        <w:tc>
          <w:tcPr>
            <w:tcW w:w="832" w:type="dxa"/>
            <w:tcBorders>
              <w:tl2br w:val="nil"/>
              <w:tr2bl w:val="nil"/>
            </w:tcBorders>
            <w:vAlign w:val="center"/>
          </w:tcPr>
          <w:p>
            <w:pPr>
              <w:spacing w:line="300" w:lineRule="exact"/>
              <w:jc w:val="center"/>
              <w:rPr>
                <w:szCs w:val="21"/>
              </w:rPr>
            </w:pPr>
            <w:r>
              <w:rPr>
                <w:rFonts w:hint="eastAsia"/>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trPr>
        <w:tc>
          <w:tcPr>
            <w:tcW w:w="931" w:type="dxa"/>
            <w:tcBorders>
              <w:tl2br w:val="nil"/>
              <w:tr2bl w:val="nil"/>
            </w:tcBorders>
            <w:vAlign w:val="center"/>
          </w:tcPr>
          <w:p>
            <w:pPr>
              <w:spacing w:line="300" w:lineRule="exact"/>
              <w:jc w:val="center"/>
              <w:rPr>
                <w:szCs w:val="21"/>
              </w:rPr>
            </w:pPr>
            <w:r>
              <w:rPr>
                <w:rFonts w:hint="eastAsia"/>
                <w:szCs w:val="21"/>
              </w:rPr>
              <w:t>TSP</w:t>
            </w:r>
          </w:p>
        </w:tc>
        <w:tc>
          <w:tcPr>
            <w:tcW w:w="1614" w:type="dxa"/>
            <w:vMerge w:val="continue"/>
            <w:tcBorders>
              <w:tl2br w:val="nil"/>
              <w:tr2bl w:val="nil"/>
            </w:tcBorders>
            <w:vAlign w:val="center"/>
          </w:tcPr>
          <w:p>
            <w:pPr>
              <w:spacing w:line="280" w:lineRule="exact"/>
              <w:jc w:val="center"/>
              <w:rPr>
                <w:szCs w:val="21"/>
              </w:rPr>
            </w:pPr>
          </w:p>
        </w:tc>
        <w:tc>
          <w:tcPr>
            <w:tcW w:w="1485" w:type="dxa"/>
            <w:tcBorders>
              <w:tl2br w:val="nil"/>
              <w:tr2bl w:val="nil"/>
            </w:tcBorders>
            <w:vAlign w:val="center"/>
          </w:tcPr>
          <w:p>
            <w:pPr>
              <w:spacing w:line="300" w:lineRule="exact"/>
              <w:jc w:val="center"/>
              <w:rPr>
                <w:szCs w:val="21"/>
              </w:rPr>
            </w:pPr>
            <w:r>
              <w:rPr>
                <w:rFonts w:hint="eastAsia"/>
                <w:szCs w:val="21"/>
              </w:rPr>
              <w:t>56.43</w:t>
            </w:r>
          </w:p>
        </w:tc>
        <w:tc>
          <w:tcPr>
            <w:tcW w:w="1110" w:type="dxa"/>
            <w:tcBorders>
              <w:tl2br w:val="nil"/>
              <w:tr2bl w:val="nil"/>
            </w:tcBorders>
            <w:vAlign w:val="center"/>
          </w:tcPr>
          <w:p>
            <w:pPr>
              <w:spacing w:line="300" w:lineRule="exact"/>
              <w:jc w:val="center"/>
              <w:rPr>
                <w:szCs w:val="21"/>
              </w:rPr>
            </w:pPr>
            <w:r>
              <w:rPr>
                <w:rFonts w:hint="eastAsia"/>
                <w:szCs w:val="21"/>
              </w:rPr>
              <w:t>900</w:t>
            </w:r>
          </w:p>
        </w:tc>
        <w:tc>
          <w:tcPr>
            <w:tcW w:w="930" w:type="dxa"/>
            <w:tcBorders>
              <w:tl2br w:val="nil"/>
              <w:tr2bl w:val="nil"/>
            </w:tcBorders>
            <w:vAlign w:val="center"/>
          </w:tcPr>
          <w:p>
            <w:pPr>
              <w:spacing w:line="300" w:lineRule="exact"/>
              <w:jc w:val="center"/>
              <w:rPr>
                <w:szCs w:val="21"/>
              </w:rPr>
            </w:pPr>
            <w:r>
              <w:rPr>
                <w:rFonts w:hint="eastAsia"/>
                <w:szCs w:val="21"/>
              </w:rPr>
              <w:t>6.27</w:t>
            </w:r>
          </w:p>
        </w:tc>
        <w:tc>
          <w:tcPr>
            <w:tcW w:w="1620" w:type="dxa"/>
            <w:tcBorders>
              <w:tl2br w:val="nil"/>
              <w:tr2bl w:val="nil"/>
            </w:tcBorders>
            <w:vAlign w:val="center"/>
          </w:tcPr>
          <w:p>
            <w:pPr>
              <w:spacing w:line="300" w:lineRule="exact"/>
              <w:jc w:val="center"/>
              <w:rPr>
                <w:szCs w:val="21"/>
              </w:rPr>
            </w:pPr>
            <w:r>
              <w:rPr>
                <w:rFonts w:hint="eastAsia"/>
                <w:szCs w:val="21"/>
              </w:rPr>
              <w:t>178</w:t>
            </w:r>
          </w:p>
        </w:tc>
        <w:tc>
          <w:tcPr>
            <w:tcW w:w="832" w:type="dxa"/>
            <w:tcBorders>
              <w:tl2br w:val="nil"/>
              <w:tr2bl w:val="nil"/>
            </w:tcBorders>
            <w:vAlign w:val="center"/>
          </w:tcPr>
          <w:p>
            <w:pPr>
              <w:spacing w:line="300" w:lineRule="exact"/>
              <w:jc w:val="center"/>
              <w:rPr>
                <w:szCs w:val="21"/>
              </w:rPr>
            </w:pPr>
            <w:r>
              <w:rPr>
                <w:rFonts w:hint="eastAsia"/>
                <w:szCs w:val="21"/>
              </w:rPr>
              <w:t>0</w:t>
            </w:r>
          </w:p>
        </w:tc>
      </w:tr>
    </w:tbl>
    <w:p>
      <w:pPr>
        <w:spacing w:line="500" w:lineRule="exact"/>
        <w:jc w:val="center"/>
        <w:rPr>
          <w:b/>
          <w:sz w:val="24"/>
        </w:rPr>
      </w:pPr>
      <w:r>
        <w:rPr>
          <w:b/>
          <w:sz w:val="24"/>
        </w:rPr>
        <w:t>表</w:t>
      </w:r>
      <w:r>
        <w:rPr>
          <w:rFonts w:hint="eastAsia"/>
          <w:b/>
          <w:sz w:val="24"/>
        </w:rPr>
        <w:t>2.4</w:t>
      </w:r>
      <w:r>
        <w:rPr>
          <w:b/>
          <w:sz w:val="24"/>
        </w:rPr>
        <w:t xml:space="preserve">-2  </w:t>
      </w:r>
      <w:r>
        <w:rPr>
          <w:rFonts w:hint="eastAsia"/>
          <w:b/>
          <w:sz w:val="24"/>
        </w:rPr>
        <w:t>大气评价工作等级依据表</w:t>
      </w:r>
    </w:p>
    <w:tbl>
      <w:tblPr>
        <w:tblStyle w:val="29"/>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53"/>
        <w:gridCol w:w="61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53" w:type="dxa"/>
            <w:tcBorders>
              <w:tl2br w:val="nil"/>
              <w:tr2bl w:val="nil"/>
            </w:tcBorders>
            <w:vAlign w:val="center"/>
          </w:tcPr>
          <w:p>
            <w:pPr>
              <w:jc w:val="center"/>
              <w:rPr>
                <w:b/>
                <w:szCs w:val="21"/>
              </w:rPr>
            </w:pPr>
            <w:r>
              <w:rPr>
                <w:b/>
                <w:szCs w:val="21"/>
              </w:rPr>
              <w:t>评价工作</w:t>
            </w:r>
            <w:r>
              <w:rPr>
                <w:rFonts w:hint="eastAsia"/>
                <w:b/>
                <w:szCs w:val="21"/>
              </w:rPr>
              <w:t>等级</w:t>
            </w:r>
          </w:p>
        </w:tc>
        <w:tc>
          <w:tcPr>
            <w:tcW w:w="6169" w:type="dxa"/>
            <w:tcBorders>
              <w:tl2br w:val="nil"/>
              <w:tr2bl w:val="nil"/>
            </w:tcBorders>
            <w:vAlign w:val="center"/>
          </w:tcPr>
          <w:p>
            <w:pPr>
              <w:jc w:val="center"/>
              <w:rPr>
                <w:b/>
                <w:szCs w:val="21"/>
              </w:rPr>
            </w:pPr>
            <w:r>
              <w:rPr>
                <w:b/>
                <w:szCs w:val="21"/>
              </w:rPr>
              <w:t>评价工作分级判据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53" w:type="dxa"/>
            <w:tcBorders>
              <w:tl2br w:val="nil"/>
              <w:tr2bl w:val="nil"/>
            </w:tcBorders>
            <w:vAlign w:val="center"/>
          </w:tcPr>
          <w:p>
            <w:pPr>
              <w:jc w:val="center"/>
              <w:rPr>
                <w:szCs w:val="21"/>
              </w:rPr>
            </w:pPr>
            <w:r>
              <w:rPr>
                <w:szCs w:val="21"/>
              </w:rPr>
              <w:t>一级</w:t>
            </w:r>
          </w:p>
        </w:tc>
        <w:tc>
          <w:tcPr>
            <w:tcW w:w="6169" w:type="dxa"/>
            <w:tcBorders>
              <w:tl2br w:val="nil"/>
              <w:tr2bl w:val="nil"/>
            </w:tcBorders>
            <w:vAlign w:val="center"/>
          </w:tcPr>
          <w:p>
            <w:pPr>
              <w:jc w:val="center"/>
              <w:rPr>
                <w:szCs w:val="21"/>
              </w:rPr>
            </w:pPr>
            <w:r>
              <w:rPr>
                <w:szCs w:val="21"/>
              </w:rPr>
              <w:t>P</w:t>
            </w:r>
            <w:r>
              <w:rPr>
                <w:szCs w:val="21"/>
                <w:vertAlign w:val="subscript"/>
              </w:rPr>
              <w:t>max</w:t>
            </w:r>
            <w:r>
              <w:rPr>
                <w:szCs w:val="21"/>
              </w:rPr>
              <w:t>≥</w:t>
            </w:r>
            <w:r>
              <w:rPr>
                <w:rFonts w:hint="eastAsia"/>
                <w:szCs w:val="21"/>
              </w:rPr>
              <w:t>10</w:t>
            </w:r>
            <w:r>
              <w:rPr>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2353" w:type="dxa"/>
            <w:tcBorders>
              <w:tl2br w:val="nil"/>
              <w:tr2bl w:val="nil"/>
            </w:tcBorders>
            <w:vAlign w:val="center"/>
          </w:tcPr>
          <w:p>
            <w:pPr>
              <w:jc w:val="center"/>
              <w:rPr>
                <w:szCs w:val="21"/>
              </w:rPr>
            </w:pPr>
            <w:r>
              <w:rPr>
                <w:szCs w:val="21"/>
              </w:rPr>
              <w:t>二级</w:t>
            </w:r>
          </w:p>
        </w:tc>
        <w:tc>
          <w:tcPr>
            <w:tcW w:w="6169" w:type="dxa"/>
            <w:tcBorders>
              <w:tl2br w:val="nil"/>
              <w:tr2bl w:val="nil"/>
            </w:tcBorders>
            <w:vAlign w:val="center"/>
          </w:tcPr>
          <w:p>
            <w:pPr>
              <w:jc w:val="center"/>
              <w:rPr>
                <w:szCs w:val="21"/>
              </w:rPr>
            </w:pPr>
            <w:r>
              <w:rPr>
                <w:rFonts w:hint="eastAsia" w:cs="Arial"/>
                <w:szCs w:val="21"/>
              </w:rPr>
              <w:t>1</w:t>
            </w:r>
            <w:r>
              <w:rPr>
                <w:szCs w:val="21"/>
              </w:rPr>
              <w:t>%</w:t>
            </w:r>
            <w:r>
              <w:rPr>
                <w:rFonts w:cs="Arial"/>
                <w:szCs w:val="21"/>
              </w:rPr>
              <w:t>≤</w:t>
            </w:r>
            <w:r>
              <w:rPr>
                <w:szCs w:val="21"/>
              </w:rPr>
              <w:t>P</w:t>
            </w:r>
            <w:r>
              <w:rPr>
                <w:szCs w:val="21"/>
                <w:vertAlign w:val="subscript"/>
              </w:rPr>
              <w:t>max</w:t>
            </w:r>
            <w:r>
              <w:rPr>
                <w:szCs w:val="21"/>
              </w:rPr>
              <w:t>&lt;1</w:t>
            </w:r>
            <w:r>
              <w:rPr>
                <w:rFonts w:hint="eastAsia"/>
                <w:szCs w:val="21"/>
              </w:rPr>
              <w:t>0</w:t>
            </w:r>
            <w:r>
              <w:rPr>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53" w:type="dxa"/>
            <w:tcBorders>
              <w:tl2br w:val="nil"/>
              <w:tr2bl w:val="nil"/>
            </w:tcBorders>
            <w:vAlign w:val="center"/>
          </w:tcPr>
          <w:p>
            <w:pPr>
              <w:jc w:val="center"/>
              <w:rPr>
                <w:szCs w:val="21"/>
              </w:rPr>
            </w:pPr>
            <w:r>
              <w:rPr>
                <w:szCs w:val="21"/>
              </w:rPr>
              <w:t>三级</w:t>
            </w:r>
          </w:p>
        </w:tc>
        <w:tc>
          <w:tcPr>
            <w:tcW w:w="6169" w:type="dxa"/>
            <w:tcBorders>
              <w:tl2br w:val="nil"/>
              <w:tr2bl w:val="nil"/>
            </w:tcBorders>
            <w:vAlign w:val="center"/>
          </w:tcPr>
          <w:p>
            <w:pPr>
              <w:jc w:val="center"/>
              <w:rPr>
                <w:szCs w:val="21"/>
              </w:rPr>
            </w:pPr>
            <w:r>
              <w:rPr>
                <w:szCs w:val="21"/>
              </w:rPr>
              <w:t>P</w:t>
            </w:r>
            <w:r>
              <w:rPr>
                <w:szCs w:val="21"/>
                <w:vertAlign w:val="subscript"/>
              </w:rPr>
              <w:t>max</w:t>
            </w:r>
            <w:r>
              <w:rPr>
                <w:szCs w:val="21"/>
              </w:rPr>
              <w:t>&lt;1%</w:t>
            </w:r>
          </w:p>
        </w:tc>
      </w:tr>
    </w:tbl>
    <w:p>
      <w:pPr>
        <w:autoSpaceDE w:val="0"/>
        <w:autoSpaceDN w:val="0"/>
        <w:adjustRightInd w:val="0"/>
        <w:spacing w:line="480" w:lineRule="exact"/>
        <w:ind w:firstLine="480" w:firstLineChars="200"/>
        <w:rPr>
          <w:sz w:val="24"/>
        </w:rPr>
      </w:pPr>
      <w:r>
        <w:rPr>
          <w:sz w:val="24"/>
        </w:rPr>
        <w:t>由</w:t>
      </w:r>
      <w:r>
        <w:rPr>
          <w:rFonts w:hint="eastAsia"/>
          <w:sz w:val="24"/>
        </w:rPr>
        <w:t>以上可知</w:t>
      </w:r>
      <w:r>
        <w:rPr>
          <w:sz w:val="24"/>
        </w:rPr>
        <w:t>，本项目</w:t>
      </w:r>
      <w:r>
        <w:rPr>
          <w:rFonts w:hint="eastAsia"/>
          <w:sz w:val="24"/>
        </w:rPr>
        <w:t>各污染物预测</w:t>
      </w:r>
      <w:r>
        <w:rPr>
          <w:rFonts w:hint="eastAsia" w:cs="Arial"/>
          <w:sz w:val="24"/>
        </w:rPr>
        <w:t>1</w:t>
      </w:r>
      <w:r>
        <w:rPr>
          <w:sz w:val="24"/>
        </w:rPr>
        <w:t>%</w:t>
      </w:r>
      <w:r>
        <w:rPr>
          <w:rFonts w:cs="Arial"/>
          <w:sz w:val="24"/>
        </w:rPr>
        <w:t>≤</w:t>
      </w:r>
      <w:r>
        <w:rPr>
          <w:sz w:val="24"/>
        </w:rPr>
        <w:t>P</w:t>
      </w:r>
      <w:r>
        <w:rPr>
          <w:sz w:val="24"/>
          <w:vertAlign w:val="subscript"/>
        </w:rPr>
        <w:t>max</w:t>
      </w:r>
      <w:r>
        <w:rPr>
          <w:sz w:val="24"/>
        </w:rPr>
        <w:t>&lt;1</w:t>
      </w:r>
      <w:r>
        <w:rPr>
          <w:rFonts w:hint="eastAsia"/>
          <w:sz w:val="24"/>
        </w:rPr>
        <w:t>0</w:t>
      </w:r>
      <w:r>
        <w:rPr>
          <w:sz w:val="24"/>
        </w:rPr>
        <w:t>%，</w:t>
      </w:r>
      <w:r>
        <w:rPr>
          <w:rFonts w:hint="eastAsia"/>
          <w:sz w:val="24"/>
        </w:rPr>
        <w:t>本项目大气环境评价等级为二级。</w:t>
      </w:r>
    </w:p>
    <w:p>
      <w:pPr>
        <w:pStyle w:val="6"/>
        <w:spacing w:line="480" w:lineRule="exact"/>
      </w:pPr>
      <w:r>
        <w:t>2.4.2 地表水环境</w:t>
      </w:r>
    </w:p>
    <w:p>
      <w:pPr>
        <w:spacing w:line="480" w:lineRule="exact"/>
        <w:ind w:firstLine="480" w:firstLineChars="200"/>
        <w:rPr>
          <w:sz w:val="24"/>
        </w:rPr>
      </w:pPr>
      <w:r>
        <w:rPr>
          <w:rFonts w:hint="eastAsia"/>
          <w:sz w:val="24"/>
        </w:rPr>
        <w:t>项目废水主要为库区垃圾渗滤液、少量职工生活废水及洗车废水等，场内设渗滤液处理站和收集池，渗滤液处理工艺为区域较为普遍成熟的“预处理+两级DTRO反渗透”，生活废水经化粪池、洗车废水经沉淀循环后，均随库区垃圾渗滤液进入调节池和渗滤液处理站，经处理达标后，优先回用于场内绿化及道路等抑尘，剩余全部用于县城道路洒水、环卫绿化等，不外排，根据《环境影响评价技术导则地表水环境》（HJ2.3-2018），本项目地表水评价等级参照三级B。</w:t>
      </w:r>
    </w:p>
    <w:p>
      <w:pPr>
        <w:pStyle w:val="6"/>
        <w:spacing w:line="480" w:lineRule="exact"/>
      </w:pPr>
      <w:r>
        <w:t>2.4.3 地下水环境</w:t>
      </w:r>
    </w:p>
    <w:p>
      <w:pPr>
        <w:autoSpaceDE w:val="0"/>
        <w:autoSpaceDN w:val="0"/>
        <w:adjustRightInd w:val="0"/>
        <w:spacing w:line="480" w:lineRule="exact"/>
        <w:ind w:firstLine="480" w:firstLineChars="200"/>
        <w:rPr>
          <w:kern w:val="24"/>
          <w:sz w:val="24"/>
        </w:rPr>
      </w:pPr>
      <w:r>
        <w:rPr>
          <w:kern w:val="24"/>
          <w:sz w:val="24"/>
        </w:rPr>
        <w:t>根据《环境影响评价技术导则  地下水环境》（HJ610-2016）附录A地下水环境影响评价行业分类表，本项目行业类别为：U 城镇基础设施及房地产/149、生活垃圾（含餐厨废弃物）集中处置</w:t>
      </w:r>
      <w:r>
        <w:rPr>
          <w:rFonts w:hint="eastAsia"/>
          <w:kern w:val="24"/>
          <w:sz w:val="24"/>
        </w:rPr>
        <w:t>-</w:t>
      </w:r>
      <w:r>
        <w:rPr>
          <w:kern w:val="24"/>
          <w:sz w:val="24"/>
        </w:rPr>
        <w:t>“</w:t>
      </w:r>
      <w:r>
        <w:rPr>
          <w:rFonts w:hint="eastAsia"/>
          <w:kern w:val="24"/>
          <w:sz w:val="24"/>
        </w:rPr>
        <w:t>生活垃圾填埋处置项目</w:t>
      </w:r>
      <w:r>
        <w:rPr>
          <w:kern w:val="24"/>
          <w:sz w:val="24"/>
        </w:rPr>
        <w:t>”，属于</w:t>
      </w:r>
      <w:r>
        <w:rPr>
          <w:kern w:val="24"/>
          <w:sz w:val="24"/>
        </w:rPr>
        <w:fldChar w:fldCharType="begin"/>
      </w:r>
      <w:r>
        <w:rPr>
          <w:kern w:val="24"/>
          <w:sz w:val="24"/>
        </w:rPr>
        <w:instrText xml:space="preserve"> = 1 \* ROMAN \* MERGEFORMAT </w:instrText>
      </w:r>
      <w:r>
        <w:rPr>
          <w:kern w:val="24"/>
          <w:sz w:val="24"/>
        </w:rPr>
        <w:fldChar w:fldCharType="separate"/>
      </w:r>
      <w:r>
        <w:rPr>
          <w:sz w:val="24"/>
        </w:rPr>
        <w:t>I</w:t>
      </w:r>
      <w:r>
        <w:rPr>
          <w:kern w:val="24"/>
          <w:sz w:val="24"/>
        </w:rPr>
        <w:fldChar w:fldCharType="end"/>
      </w:r>
      <w:r>
        <w:rPr>
          <w:kern w:val="24"/>
          <w:sz w:val="24"/>
        </w:rPr>
        <w:t>类项目。</w:t>
      </w:r>
    </w:p>
    <w:p>
      <w:pPr>
        <w:autoSpaceDE w:val="0"/>
        <w:autoSpaceDN w:val="0"/>
        <w:adjustRightInd w:val="0"/>
        <w:spacing w:line="480" w:lineRule="exact"/>
        <w:ind w:firstLine="480" w:firstLineChars="200"/>
        <w:rPr>
          <w:kern w:val="24"/>
          <w:sz w:val="24"/>
        </w:rPr>
      </w:pPr>
      <w:r>
        <w:rPr>
          <w:kern w:val="24"/>
          <w:sz w:val="24"/>
        </w:rPr>
        <w:t>项目场地</w:t>
      </w:r>
      <w:r>
        <w:rPr>
          <w:rFonts w:hint="eastAsia"/>
          <w:kern w:val="24"/>
          <w:sz w:val="24"/>
        </w:rPr>
        <w:t>位于辛安泉域范围内，不属于泉域重点保护范围，东北距最近的文王山地垒渗漏段重点保护区约16km，</w:t>
      </w:r>
      <w:r>
        <w:rPr>
          <w:kern w:val="24"/>
          <w:sz w:val="24"/>
        </w:rPr>
        <w:t>区域地下水环境敏感程度应为“</w:t>
      </w:r>
      <w:r>
        <w:rPr>
          <w:rFonts w:hint="eastAsia"/>
          <w:kern w:val="24"/>
          <w:sz w:val="24"/>
        </w:rPr>
        <w:t>较</w:t>
      </w:r>
      <w:r>
        <w:rPr>
          <w:kern w:val="24"/>
          <w:sz w:val="24"/>
        </w:rPr>
        <w:t>敏感”。</w:t>
      </w:r>
    </w:p>
    <w:p>
      <w:pPr>
        <w:spacing w:line="500" w:lineRule="exact"/>
        <w:ind w:firstLine="482" w:firstLineChars="200"/>
        <w:jc w:val="center"/>
        <w:rPr>
          <w:b/>
          <w:bCs/>
          <w:sz w:val="24"/>
        </w:rPr>
      </w:pPr>
      <w:r>
        <w:rPr>
          <w:b/>
          <w:bCs/>
          <w:sz w:val="24"/>
        </w:rPr>
        <w:t>表2.4-3 地下水评价工作等级依据表</w:t>
      </w:r>
    </w:p>
    <w:tbl>
      <w:tblPr>
        <w:tblStyle w:val="29"/>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76"/>
        <w:gridCol w:w="1884"/>
        <w:gridCol w:w="2131"/>
        <w:gridCol w:w="21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76" w:type="dxa"/>
            <w:tcBorders>
              <w:tl2br w:val="nil"/>
              <w:tr2bl w:val="nil"/>
            </w:tcBorders>
            <w:vAlign w:val="center"/>
          </w:tcPr>
          <w:p>
            <w:pPr>
              <w:autoSpaceDE w:val="0"/>
              <w:autoSpaceDN w:val="0"/>
              <w:adjustRightInd w:val="0"/>
              <w:snapToGrid w:val="0"/>
              <w:spacing w:line="300" w:lineRule="exact"/>
              <w:jc w:val="center"/>
              <w:rPr>
                <w:szCs w:val="21"/>
              </w:rPr>
            </w:pPr>
            <w:r>
              <w:rPr>
                <w:szCs w:val="21"/>
              </w:rPr>
              <w:t>环境敏感程度项目类别</w:t>
            </w:r>
          </w:p>
        </w:tc>
        <w:tc>
          <w:tcPr>
            <w:tcW w:w="1884" w:type="dxa"/>
            <w:tcBorders>
              <w:tl2br w:val="nil"/>
              <w:tr2bl w:val="nil"/>
            </w:tcBorders>
            <w:vAlign w:val="center"/>
          </w:tcPr>
          <w:p>
            <w:pPr>
              <w:autoSpaceDE w:val="0"/>
              <w:autoSpaceDN w:val="0"/>
              <w:adjustRightInd w:val="0"/>
              <w:snapToGrid w:val="0"/>
              <w:spacing w:line="300" w:lineRule="exact"/>
              <w:jc w:val="center"/>
              <w:rPr>
                <w:szCs w:val="21"/>
              </w:rPr>
            </w:pPr>
            <w:r>
              <w:rPr>
                <w:szCs w:val="21"/>
              </w:rPr>
              <w:t>Ⅰ类项目</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Ⅱ类项目</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Ⅲ类项目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76" w:type="dxa"/>
            <w:tcBorders>
              <w:tl2br w:val="nil"/>
              <w:tr2bl w:val="nil"/>
            </w:tcBorders>
            <w:vAlign w:val="center"/>
          </w:tcPr>
          <w:p>
            <w:pPr>
              <w:autoSpaceDE w:val="0"/>
              <w:autoSpaceDN w:val="0"/>
              <w:adjustRightInd w:val="0"/>
              <w:snapToGrid w:val="0"/>
              <w:spacing w:line="300" w:lineRule="exact"/>
              <w:jc w:val="center"/>
              <w:rPr>
                <w:szCs w:val="21"/>
              </w:rPr>
            </w:pPr>
            <w:r>
              <w:rPr>
                <w:szCs w:val="21"/>
              </w:rPr>
              <w:t>敏感</w:t>
            </w:r>
          </w:p>
        </w:tc>
        <w:tc>
          <w:tcPr>
            <w:tcW w:w="1884" w:type="dxa"/>
            <w:tcBorders>
              <w:tl2br w:val="nil"/>
              <w:tr2bl w:val="nil"/>
            </w:tcBorders>
            <w:vAlign w:val="center"/>
          </w:tcPr>
          <w:p>
            <w:pPr>
              <w:autoSpaceDE w:val="0"/>
              <w:autoSpaceDN w:val="0"/>
              <w:adjustRightInd w:val="0"/>
              <w:snapToGrid w:val="0"/>
              <w:spacing w:line="300" w:lineRule="exact"/>
              <w:jc w:val="center"/>
              <w:rPr>
                <w:szCs w:val="21"/>
              </w:rPr>
            </w:pPr>
            <w:r>
              <w:rPr>
                <w:szCs w:val="21"/>
              </w:rPr>
              <w:t>一</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一</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76" w:type="dxa"/>
            <w:tcBorders>
              <w:tl2br w:val="nil"/>
              <w:tr2bl w:val="nil"/>
            </w:tcBorders>
            <w:vAlign w:val="center"/>
          </w:tcPr>
          <w:p>
            <w:pPr>
              <w:autoSpaceDE w:val="0"/>
              <w:autoSpaceDN w:val="0"/>
              <w:adjustRightInd w:val="0"/>
              <w:snapToGrid w:val="0"/>
              <w:spacing w:line="300" w:lineRule="exact"/>
              <w:jc w:val="center"/>
              <w:rPr>
                <w:szCs w:val="21"/>
              </w:rPr>
            </w:pPr>
            <w:r>
              <w:rPr>
                <w:szCs w:val="21"/>
              </w:rPr>
              <w:t>较敏感</w:t>
            </w:r>
          </w:p>
        </w:tc>
        <w:tc>
          <w:tcPr>
            <w:tcW w:w="1884" w:type="dxa"/>
            <w:tcBorders>
              <w:tl2br w:val="nil"/>
              <w:tr2bl w:val="nil"/>
            </w:tcBorders>
            <w:vAlign w:val="center"/>
          </w:tcPr>
          <w:p>
            <w:pPr>
              <w:autoSpaceDE w:val="0"/>
              <w:autoSpaceDN w:val="0"/>
              <w:adjustRightInd w:val="0"/>
              <w:snapToGrid w:val="0"/>
              <w:spacing w:line="300" w:lineRule="exact"/>
              <w:jc w:val="center"/>
              <w:rPr>
                <w:szCs w:val="21"/>
              </w:rPr>
            </w:pPr>
            <w:r>
              <w:rPr>
                <w:szCs w:val="21"/>
              </w:rPr>
              <w:t>一</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二</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376" w:type="dxa"/>
            <w:tcBorders>
              <w:tl2br w:val="nil"/>
              <w:tr2bl w:val="nil"/>
            </w:tcBorders>
            <w:vAlign w:val="center"/>
          </w:tcPr>
          <w:p>
            <w:pPr>
              <w:autoSpaceDE w:val="0"/>
              <w:autoSpaceDN w:val="0"/>
              <w:adjustRightInd w:val="0"/>
              <w:snapToGrid w:val="0"/>
              <w:spacing w:line="300" w:lineRule="exact"/>
              <w:jc w:val="center"/>
              <w:rPr>
                <w:szCs w:val="21"/>
              </w:rPr>
            </w:pPr>
            <w:r>
              <w:rPr>
                <w:szCs w:val="21"/>
              </w:rPr>
              <w:t>不敏感</w:t>
            </w:r>
          </w:p>
        </w:tc>
        <w:tc>
          <w:tcPr>
            <w:tcW w:w="1884" w:type="dxa"/>
            <w:tcBorders>
              <w:tl2br w:val="nil"/>
              <w:tr2bl w:val="nil"/>
            </w:tcBorders>
            <w:vAlign w:val="center"/>
          </w:tcPr>
          <w:p>
            <w:pPr>
              <w:autoSpaceDE w:val="0"/>
              <w:autoSpaceDN w:val="0"/>
              <w:adjustRightInd w:val="0"/>
              <w:snapToGrid w:val="0"/>
              <w:spacing w:line="300" w:lineRule="exact"/>
              <w:jc w:val="center"/>
              <w:rPr>
                <w:szCs w:val="21"/>
              </w:rPr>
            </w:pPr>
            <w:r>
              <w:rPr>
                <w:szCs w:val="21"/>
              </w:rPr>
              <w:t>二</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三</w:t>
            </w:r>
          </w:p>
        </w:tc>
        <w:tc>
          <w:tcPr>
            <w:tcW w:w="2131" w:type="dxa"/>
            <w:tcBorders>
              <w:tl2br w:val="nil"/>
              <w:tr2bl w:val="nil"/>
            </w:tcBorders>
            <w:vAlign w:val="center"/>
          </w:tcPr>
          <w:p>
            <w:pPr>
              <w:autoSpaceDE w:val="0"/>
              <w:autoSpaceDN w:val="0"/>
              <w:adjustRightInd w:val="0"/>
              <w:snapToGrid w:val="0"/>
              <w:spacing w:line="300" w:lineRule="exact"/>
              <w:jc w:val="center"/>
              <w:rPr>
                <w:szCs w:val="21"/>
              </w:rPr>
            </w:pPr>
            <w:r>
              <w:rPr>
                <w:szCs w:val="21"/>
              </w:rPr>
              <w:t>三</w:t>
            </w:r>
          </w:p>
        </w:tc>
      </w:tr>
    </w:tbl>
    <w:p>
      <w:pPr>
        <w:autoSpaceDE w:val="0"/>
        <w:autoSpaceDN w:val="0"/>
        <w:adjustRightInd w:val="0"/>
        <w:spacing w:line="500" w:lineRule="exact"/>
        <w:ind w:firstLine="480" w:firstLineChars="200"/>
        <w:rPr>
          <w:kern w:val="24"/>
          <w:sz w:val="24"/>
        </w:rPr>
      </w:pPr>
      <w:r>
        <w:rPr>
          <w:rFonts w:hint="eastAsia"/>
          <w:kern w:val="24"/>
          <w:sz w:val="24"/>
        </w:rPr>
        <w:t>由以上可知，本项目地下水环境评价工作等级确定为一级。</w:t>
      </w:r>
    </w:p>
    <w:p>
      <w:pPr>
        <w:pStyle w:val="6"/>
        <w:spacing w:line="500" w:lineRule="exact"/>
      </w:pPr>
      <w:r>
        <w:t>2.4.4 声</w:t>
      </w:r>
      <w:r>
        <w:rPr>
          <w:rFonts w:hint="eastAsia"/>
        </w:rPr>
        <w:t>环境</w:t>
      </w:r>
    </w:p>
    <w:p>
      <w:pPr>
        <w:spacing w:before="120" w:after="80" w:line="500" w:lineRule="exact"/>
        <w:ind w:firstLine="480" w:firstLineChars="200"/>
        <w:rPr>
          <w:kern w:val="24"/>
          <w:sz w:val="24"/>
        </w:rPr>
      </w:pPr>
      <w:r>
        <w:rPr>
          <w:kern w:val="24"/>
          <w:sz w:val="24"/>
        </w:rPr>
        <w:t>项目场址区域</w:t>
      </w:r>
      <w:r>
        <w:rPr>
          <w:rFonts w:hint="eastAsia"/>
          <w:kern w:val="24"/>
          <w:sz w:val="24"/>
        </w:rPr>
        <w:t>为农村地区，</w:t>
      </w:r>
      <w:r>
        <w:rPr>
          <w:kern w:val="24"/>
          <w:sz w:val="24"/>
        </w:rPr>
        <w:t>属1类声环境功能区，项目建设导致评价范围内敏感目标噪声级增加量﹤5dB（A），受噪声影响的人口数量增加较少。根据《环境影响评价技术导则  声环境》（HJ2.4-20</w:t>
      </w:r>
      <w:r>
        <w:rPr>
          <w:rFonts w:hint="eastAsia"/>
          <w:kern w:val="24"/>
          <w:sz w:val="24"/>
        </w:rPr>
        <w:t>21</w:t>
      </w:r>
      <w:r>
        <w:rPr>
          <w:kern w:val="24"/>
          <w:sz w:val="24"/>
        </w:rPr>
        <w:t>），本项目声环境影响评价等级为二级。</w:t>
      </w:r>
    </w:p>
    <w:p>
      <w:pPr>
        <w:pStyle w:val="6"/>
        <w:spacing w:line="500" w:lineRule="exact"/>
      </w:pPr>
      <w:r>
        <w:t>2.4.</w:t>
      </w:r>
      <w:r>
        <w:rPr>
          <w:rFonts w:hint="eastAsia"/>
        </w:rPr>
        <w:t>5</w:t>
      </w:r>
      <w:r>
        <w:t>生态</w:t>
      </w:r>
      <w:r>
        <w:rPr>
          <w:rFonts w:hint="eastAsia"/>
        </w:rPr>
        <w:t>环境</w:t>
      </w:r>
    </w:p>
    <w:p>
      <w:pPr>
        <w:autoSpaceDE w:val="0"/>
        <w:autoSpaceDN w:val="0"/>
        <w:adjustRightInd w:val="0"/>
        <w:spacing w:line="500" w:lineRule="exact"/>
        <w:ind w:firstLine="480" w:firstLineChars="200"/>
        <w:rPr>
          <w:kern w:val="24"/>
          <w:sz w:val="24"/>
        </w:rPr>
      </w:pPr>
      <w:r>
        <w:rPr>
          <w:rFonts w:hint="eastAsia"/>
          <w:kern w:val="24"/>
          <w:sz w:val="24"/>
        </w:rPr>
        <w:t>本</w:t>
      </w:r>
      <w:r>
        <w:rPr>
          <w:kern w:val="24"/>
          <w:sz w:val="24"/>
        </w:rPr>
        <w:t>项目占地面积</w:t>
      </w:r>
      <w:r>
        <w:rPr>
          <w:sz w:val="24"/>
        </w:rPr>
        <w:t>53397.44</w:t>
      </w:r>
      <w:r>
        <w:rPr>
          <w:rFonts w:hint="eastAsia"/>
          <w:sz w:val="24"/>
        </w:rPr>
        <w:t>m</w:t>
      </w:r>
      <w:r>
        <w:rPr>
          <w:rFonts w:hint="eastAsia"/>
          <w:sz w:val="24"/>
          <w:vertAlign w:val="superscript"/>
        </w:rPr>
        <w:t>2</w:t>
      </w:r>
      <w:r>
        <w:rPr>
          <w:kern w:val="24"/>
          <w:sz w:val="24"/>
        </w:rPr>
        <w:t>，占地规模小于20km</w:t>
      </w:r>
      <w:r>
        <w:rPr>
          <w:kern w:val="24"/>
          <w:sz w:val="24"/>
          <w:vertAlign w:val="superscript"/>
        </w:rPr>
        <w:t>2</w:t>
      </w:r>
      <w:r>
        <w:rPr>
          <w:kern w:val="24"/>
          <w:sz w:val="24"/>
        </w:rPr>
        <w:t>，项目选址区域不涉及国家公园、自然保护区、世界自然遗产、重要生态生境等特殊生态敏感区，也不涉及自然公园、生态保护红线等其他重要生态敏感区；地下水水位及土壤环境影响范围内不分布有天然林、公益林、湿地等生态保护目标；项目的建设不涉及对保护生物多样性具有重要意义的区域，不涉及陆生、水生生态影响，因此所处区域为一般区域。根据《环境影响评价技术导则生态影响》（HJ19-2022），确定本项目生态影响评价等级为三级评价。</w:t>
      </w:r>
    </w:p>
    <w:p>
      <w:pPr>
        <w:pStyle w:val="6"/>
        <w:spacing w:line="500" w:lineRule="exact"/>
      </w:pPr>
      <w:r>
        <w:t>2.4.</w:t>
      </w:r>
      <w:r>
        <w:rPr>
          <w:rFonts w:hint="eastAsia"/>
        </w:rPr>
        <w:t>6土壤环境</w:t>
      </w:r>
    </w:p>
    <w:p>
      <w:pPr>
        <w:autoSpaceDE w:val="0"/>
        <w:autoSpaceDN w:val="0"/>
        <w:adjustRightInd w:val="0"/>
        <w:spacing w:line="500" w:lineRule="exact"/>
        <w:ind w:firstLine="480" w:firstLineChars="200"/>
        <w:rPr>
          <w:kern w:val="24"/>
          <w:sz w:val="24"/>
        </w:rPr>
      </w:pPr>
      <w:r>
        <w:rPr>
          <w:rFonts w:hint="eastAsia"/>
          <w:kern w:val="24"/>
          <w:sz w:val="24"/>
        </w:rPr>
        <w:t>项目土壤环境影响途径主要为污染影响，</w:t>
      </w:r>
      <w:r>
        <w:rPr>
          <w:kern w:val="24"/>
          <w:sz w:val="24"/>
        </w:rPr>
        <w:t>根据《环境影响评价技术导则 土壤环境（试行）》（HJ964-2018）附录A，项目类别属“</w:t>
      </w:r>
      <w:r>
        <w:rPr>
          <w:rFonts w:hint="eastAsia"/>
          <w:kern w:val="24"/>
          <w:sz w:val="24"/>
        </w:rPr>
        <w:t>城镇</w:t>
      </w:r>
      <w:r>
        <w:rPr>
          <w:kern w:val="24"/>
          <w:sz w:val="24"/>
        </w:rPr>
        <w:t>生活垃圾（</w:t>
      </w:r>
      <w:r>
        <w:rPr>
          <w:rFonts w:hint="eastAsia"/>
          <w:kern w:val="24"/>
          <w:sz w:val="24"/>
        </w:rPr>
        <w:t>不</w:t>
      </w:r>
      <w:r>
        <w:rPr>
          <w:kern w:val="24"/>
          <w:sz w:val="24"/>
        </w:rPr>
        <w:t>含餐厨废弃物）集中处置”，为II类，</w:t>
      </w:r>
      <w:r>
        <w:rPr>
          <w:rFonts w:hint="eastAsia"/>
          <w:kern w:val="24"/>
          <w:sz w:val="24"/>
        </w:rPr>
        <w:t>场地总面积</w:t>
      </w:r>
      <w:r>
        <w:rPr>
          <w:sz w:val="24"/>
        </w:rPr>
        <w:t>53397.44</w:t>
      </w:r>
      <w:r>
        <w:rPr>
          <w:rFonts w:hint="eastAsia"/>
          <w:sz w:val="24"/>
        </w:rPr>
        <w:t>m</w:t>
      </w:r>
      <w:r>
        <w:rPr>
          <w:rFonts w:hint="eastAsia"/>
          <w:sz w:val="24"/>
          <w:vertAlign w:val="superscript"/>
        </w:rPr>
        <w:t>2</w:t>
      </w:r>
      <w:r>
        <w:rPr>
          <w:kern w:val="24"/>
          <w:sz w:val="24"/>
        </w:rPr>
        <w:t>，占地规模为</w:t>
      </w:r>
      <w:r>
        <w:rPr>
          <w:rFonts w:hint="eastAsia"/>
          <w:kern w:val="24"/>
          <w:sz w:val="24"/>
        </w:rPr>
        <w:t>中</w:t>
      </w:r>
      <w:r>
        <w:rPr>
          <w:kern w:val="24"/>
          <w:sz w:val="24"/>
        </w:rPr>
        <w:t>型，</w:t>
      </w:r>
      <w:r>
        <w:rPr>
          <w:rFonts w:hint="eastAsia"/>
          <w:kern w:val="24"/>
          <w:sz w:val="24"/>
        </w:rPr>
        <w:t>地</w:t>
      </w:r>
      <w:r>
        <w:rPr>
          <w:kern w:val="24"/>
          <w:sz w:val="24"/>
        </w:rPr>
        <w:t>周边分布有农田等敏感目标，土壤环境敏感程度为敏感</w:t>
      </w:r>
      <w:r>
        <w:rPr>
          <w:rFonts w:hint="eastAsia"/>
          <w:kern w:val="24"/>
          <w:sz w:val="24"/>
        </w:rPr>
        <w:t>。</w:t>
      </w:r>
    </w:p>
    <w:p>
      <w:pPr>
        <w:spacing w:line="500" w:lineRule="exact"/>
        <w:ind w:firstLine="482" w:firstLineChars="200"/>
        <w:jc w:val="center"/>
        <w:rPr>
          <w:b/>
          <w:bCs/>
          <w:sz w:val="24"/>
        </w:rPr>
      </w:pPr>
      <w:r>
        <w:rPr>
          <w:b/>
          <w:bCs/>
          <w:sz w:val="24"/>
        </w:rPr>
        <w:t>表</w:t>
      </w:r>
      <w:r>
        <w:rPr>
          <w:rFonts w:hint="eastAsia"/>
          <w:b/>
          <w:bCs/>
          <w:sz w:val="24"/>
        </w:rPr>
        <w:t>2.4-4污染影响型土壤环境评价工作等级划分</w:t>
      </w:r>
      <w:r>
        <w:rPr>
          <w:b/>
          <w:bCs/>
          <w:sz w:val="24"/>
        </w:rPr>
        <w:t>表</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96"/>
        <w:gridCol w:w="648"/>
        <w:gridCol w:w="648"/>
        <w:gridCol w:w="649"/>
        <w:gridCol w:w="649"/>
        <w:gridCol w:w="648"/>
        <w:gridCol w:w="647"/>
        <w:gridCol w:w="648"/>
        <w:gridCol w:w="648"/>
        <w:gridCol w:w="6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jc w:val="center"/>
        </w:trPr>
        <w:tc>
          <w:tcPr>
            <w:tcW w:w="2996" w:type="dxa"/>
            <w:vMerge w:val="restart"/>
            <w:tcBorders>
              <w:tl2br w:val="single" w:color="auto" w:sz="4" w:space="0"/>
              <w:tr2bl w:val="nil"/>
            </w:tcBorders>
            <w:vAlign w:val="center"/>
          </w:tcPr>
          <w:p>
            <w:pPr>
              <w:snapToGrid w:val="0"/>
              <w:rPr>
                <w:rFonts w:cs="宋体"/>
                <w:szCs w:val="21"/>
              </w:rPr>
            </w:pPr>
          </w:p>
          <w:p>
            <w:pPr>
              <w:snapToGrid w:val="0"/>
              <w:ind w:firstLine="1470" w:firstLineChars="700"/>
              <w:rPr>
                <w:rFonts w:cs="宋体"/>
                <w:szCs w:val="21"/>
              </w:rPr>
            </w:pPr>
            <w:r>
              <w:rPr>
                <w:rFonts w:hint="eastAsia" w:cs="宋体"/>
                <w:szCs w:val="21"/>
              </w:rPr>
              <w:t>评价工作等级</w:t>
            </w:r>
          </w:p>
          <w:p>
            <w:pPr>
              <w:snapToGrid w:val="0"/>
              <w:spacing w:line="240" w:lineRule="exact"/>
              <w:ind w:firstLine="1680" w:firstLineChars="800"/>
              <w:rPr>
                <w:rFonts w:cs="宋体"/>
                <w:szCs w:val="21"/>
              </w:rPr>
            </w:pPr>
            <w:r>
              <w:rPr>
                <w:rFonts w:hint="eastAsia" w:cs="宋体"/>
                <w:szCs w:val="21"/>
              </w:rPr>
              <w:t>占地规模</w:t>
            </w:r>
          </w:p>
          <w:p>
            <w:pPr>
              <w:snapToGrid w:val="0"/>
              <w:spacing w:line="240" w:lineRule="exact"/>
              <w:rPr>
                <w:rFonts w:cs="宋体"/>
                <w:szCs w:val="21"/>
              </w:rPr>
            </w:pPr>
            <w:r>
              <w:rPr>
                <w:rFonts w:hint="eastAsia" w:cs="宋体"/>
                <w:szCs w:val="21"/>
              </w:rPr>
              <w:t>敏感程度</w:t>
            </w:r>
          </w:p>
          <w:p>
            <w:pPr>
              <w:snapToGrid w:val="0"/>
              <w:ind w:firstLine="210" w:firstLineChars="100"/>
              <w:rPr>
                <w:rFonts w:cs="宋体"/>
                <w:szCs w:val="21"/>
              </w:rPr>
            </w:pPr>
          </w:p>
        </w:tc>
        <w:tc>
          <w:tcPr>
            <w:tcW w:w="1945" w:type="dxa"/>
            <w:gridSpan w:val="3"/>
            <w:tcBorders>
              <w:tl2br w:val="nil"/>
              <w:tr2bl w:val="nil"/>
            </w:tcBorders>
            <w:vAlign w:val="center"/>
          </w:tcPr>
          <w:p>
            <w:pPr>
              <w:spacing w:line="240" w:lineRule="exact"/>
              <w:jc w:val="center"/>
              <w:rPr>
                <w:szCs w:val="21"/>
              </w:rPr>
            </w:pPr>
            <w:r>
              <w:rPr>
                <w:rFonts w:hint="eastAsia"/>
                <w:szCs w:val="21"/>
              </w:rPr>
              <w:t>I</w:t>
            </w:r>
            <w:r>
              <w:rPr>
                <w:rFonts w:hint="eastAsia" w:cs="宋体"/>
                <w:szCs w:val="21"/>
              </w:rPr>
              <w:t>类</w:t>
            </w:r>
          </w:p>
        </w:tc>
        <w:tc>
          <w:tcPr>
            <w:tcW w:w="1944" w:type="dxa"/>
            <w:gridSpan w:val="3"/>
            <w:tcBorders>
              <w:tl2br w:val="nil"/>
              <w:tr2bl w:val="nil"/>
            </w:tcBorders>
            <w:vAlign w:val="center"/>
          </w:tcPr>
          <w:p>
            <w:pPr>
              <w:spacing w:line="240" w:lineRule="exact"/>
              <w:jc w:val="center"/>
              <w:rPr>
                <w:szCs w:val="21"/>
              </w:rPr>
            </w:pPr>
            <w:r>
              <w:rPr>
                <w:rFonts w:hint="eastAsia"/>
                <w:szCs w:val="21"/>
              </w:rPr>
              <w:t>II</w:t>
            </w:r>
            <w:r>
              <w:rPr>
                <w:rFonts w:hint="eastAsia" w:cs="宋体"/>
                <w:szCs w:val="21"/>
              </w:rPr>
              <w:t>类</w:t>
            </w:r>
          </w:p>
        </w:tc>
        <w:tc>
          <w:tcPr>
            <w:tcW w:w="1949" w:type="dxa"/>
            <w:gridSpan w:val="3"/>
            <w:tcBorders>
              <w:tl2br w:val="nil"/>
              <w:tr2bl w:val="nil"/>
            </w:tcBorders>
            <w:vAlign w:val="center"/>
          </w:tcPr>
          <w:p>
            <w:pPr>
              <w:spacing w:line="240" w:lineRule="exact"/>
              <w:jc w:val="center"/>
              <w:rPr>
                <w:rFonts w:cs="宋体"/>
                <w:szCs w:val="21"/>
              </w:rPr>
            </w:pPr>
            <w:r>
              <w:rPr>
                <w:rFonts w:hint="eastAsia" w:cs="宋体"/>
                <w:szCs w:val="21"/>
              </w:rPr>
              <w:t>III</w:t>
            </w:r>
            <w:r>
              <w:rPr>
                <w:rFonts w:hint="eastAsia"/>
                <w:szCs w:val="21"/>
              </w:rPr>
              <w:t>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exact"/>
          <w:jc w:val="center"/>
        </w:trPr>
        <w:tc>
          <w:tcPr>
            <w:tcW w:w="2996" w:type="dxa"/>
            <w:vMerge w:val="continue"/>
            <w:tcBorders>
              <w:tl2br w:val="nil"/>
              <w:tr2bl w:val="nil"/>
            </w:tcBorders>
            <w:vAlign w:val="center"/>
          </w:tcPr>
          <w:p>
            <w:pPr>
              <w:spacing w:line="240" w:lineRule="exact"/>
              <w:jc w:val="center"/>
              <w:rPr>
                <w:rFonts w:cs="宋体"/>
                <w:szCs w:val="21"/>
              </w:rPr>
            </w:pPr>
          </w:p>
        </w:tc>
        <w:tc>
          <w:tcPr>
            <w:tcW w:w="648" w:type="dxa"/>
            <w:tcBorders>
              <w:tl2br w:val="nil"/>
              <w:tr2bl w:val="nil"/>
            </w:tcBorders>
            <w:vAlign w:val="center"/>
          </w:tcPr>
          <w:p>
            <w:pPr>
              <w:spacing w:line="240" w:lineRule="exact"/>
              <w:jc w:val="center"/>
              <w:rPr>
                <w:szCs w:val="21"/>
              </w:rPr>
            </w:pPr>
            <w:r>
              <w:rPr>
                <w:rFonts w:hint="eastAsia"/>
                <w:szCs w:val="21"/>
              </w:rPr>
              <w:t>大</w:t>
            </w:r>
          </w:p>
        </w:tc>
        <w:tc>
          <w:tcPr>
            <w:tcW w:w="648" w:type="dxa"/>
            <w:tcBorders>
              <w:tl2br w:val="nil"/>
              <w:tr2bl w:val="nil"/>
            </w:tcBorders>
            <w:vAlign w:val="center"/>
          </w:tcPr>
          <w:p>
            <w:pPr>
              <w:spacing w:line="240" w:lineRule="exact"/>
              <w:jc w:val="center"/>
              <w:rPr>
                <w:szCs w:val="21"/>
              </w:rPr>
            </w:pPr>
            <w:r>
              <w:rPr>
                <w:rFonts w:hint="eastAsia"/>
                <w:szCs w:val="21"/>
              </w:rPr>
              <w:t>中</w:t>
            </w:r>
          </w:p>
        </w:tc>
        <w:tc>
          <w:tcPr>
            <w:tcW w:w="649" w:type="dxa"/>
            <w:tcBorders>
              <w:tl2br w:val="nil"/>
              <w:tr2bl w:val="nil"/>
            </w:tcBorders>
            <w:vAlign w:val="center"/>
          </w:tcPr>
          <w:p>
            <w:pPr>
              <w:spacing w:line="240" w:lineRule="exact"/>
              <w:jc w:val="center"/>
              <w:rPr>
                <w:szCs w:val="21"/>
              </w:rPr>
            </w:pPr>
            <w:r>
              <w:rPr>
                <w:rFonts w:hint="eastAsia"/>
                <w:szCs w:val="21"/>
              </w:rPr>
              <w:t>小</w:t>
            </w:r>
          </w:p>
        </w:tc>
        <w:tc>
          <w:tcPr>
            <w:tcW w:w="649" w:type="dxa"/>
            <w:tcBorders>
              <w:tl2br w:val="nil"/>
              <w:tr2bl w:val="nil"/>
            </w:tcBorders>
            <w:vAlign w:val="center"/>
          </w:tcPr>
          <w:p>
            <w:pPr>
              <w:spacing w:line="240" w:lineRule="exact"/>
              <w:jc w:val="center"/>
              <w:rPr>
                <w:szCs w:val="21"/>
              </w:rPr>
            </w:pPr>
            <w:r>
              <w:rPr>
                <w:rFonts w:hint="eastAsia"/>
                <w:szCs w:val="21"/>
              </w:rPr>
              <w:t>大</w:t>
            </w:r>
          </w:p>
        </w:tc>
        <w:tc>
          <w:tcPr>
            <w:tcW w:w="648" w:type="dxa"/>
            <w:tcBorders>
              <w:tl2br w:val="nil"/>
              <w:tr2bl w:val="nil"/>
            </w:tcBorders>
            <w:vAlign w:val="center"/>
          </w:tcPr>
          <w:p>
            <w:pPr>
              <w:spacing w:line="240" w:lineRule="exact"/>
              <w:jc w:val="center"/>
              <w:rPr>
                <w:szCs w:val="21"/>
              </w:rPr>
            </w:pPr>
            <w:r>
              <w:rPr>
                <w:rFonts w:hint="eastAsia"/>
                <w:szCs w:val="21"/>
              </w:rPr>
              <w:t>中</w:t>
            </w:r>
          </w:p>
        </w:tc>
        <w:tc>
          <w:tcPr>
            <w:tcW w:w="647" w:type="dxa"/>
            <w:tcBorders>
              <w:tl2br w:val="nil"/>
              <w:tr2bl w:val="nil"/>
            </w:tcBorders>
            <w:vAlign w:val="center"/>
          </w:tcPr>
          <w:p>
            <w:pPr>
              <w:spacing w:line="240" w:lineRule="exact"/>
              <w:jc w:val="center"/>
              <w:rPr>
                <w:szCs w:val="21"/>
              </w:rPr>
            </w:pPr>
            <w:r>
              <w:rPr>
                <w:rFonts w:hint="eastAsia"/>
                <w:szCs w:val="21"/>
              </w:rPr>
              <w:t>小</w:t>
            </w:r>
          </w:p>
        </w:tc>
        <w:tc>
          <w:tcPr>
            <w:tcW w:w="648" w:type="dxa"/>
            <w:tcBorders>
              <w:tl2br w:val="nil"/>
              <w:tr2bl w:val="nil"/>
            </w:tcBorders>
            <w:vAlign w:val="center"/>
          </w:tcPr>
          <w:p>
            <w:pPr>
              <w:spacing w:line="240" w:lineRule="exact"/>
              <w:jc w:val="center"/>
              <w:rPr>
                <w:szCs w:val="21"/>
              </w:rPr>
            </w:pPr>
            <w:r>
              <w:rPr>
                <w:rFonts w:hint="eastAsia"/>
                <w:szCs w:val="21"/>
              </w:rPr>
              <w:t>大</w:t>
            </w:r>
          </w:p>
        </w:tc>
        <w:tc>
          <w:tcPr>
            <w:tcW w:w="648" w:type="dxa"/>
            <w:tcBorders>
              <w:tl2br w:val="nil"/>
              <w:tr2bl w:val="nil"/>
            </w:tcBorders>
            <w:vAlign w:val="center"/>
          </w:tcPr>
          <w:p>
            <w:pPr>
              <w:spacing w:line="240" w:lineRule="exact"/>
              <w:jc w:val="center"/>
              <w:rPr>
                <w:szCs w:val="21"/>
              </w:rPr>
            </w:pPr>
            <w:r>
              <w:rPr>
                <w:rFonts w:hint="eastAsia"/>
                <w:szCs w:val="21"/>
              </w:rPr>
              <w:t>中</w:t>
            </w:r>
          </w:p>
        </w:tc>
        <w:tc>
          <w:tcPr>
            <w:tcW w:w="653" w:type="dxa"/>
            <w:tcBorders>
              <w:tl2br w:val="nil"/>
              <w:tr2bl w:val="nil"/>
            </w:tcBorders>
            <w:vAlign w:val="center"/>
          </w:tcPr>
          <w:p>
            <w:pPr>
              <w:spacing w:line="240" w:lineRule="exact"/>
              <w:jc w:val="center"/>
              <w:rPr>
                <w:szCs w:val="21"/>
              </w:rPr>
            </w:pPr>
            <w:r>
              <w:rPr>
                <w:rFonts w:hint="eastAsia"/>
                <w:szCs w:val="21"/>
              </w:rPr>
              <w:t>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996" w:type="dxa"/>
            <w:tcBorders>
              <w:tl2br w:val="nil"/>
              <w:tr2bl w:val="nil"/>
            </w:tcBorders>
            <w:vAlign w:val="center"/>
          </w:tcPr>
          <w:p>
            <w:pPr>
              <w:spacing w:line="240" w:lineRule="exact"/>
              <w:jc w:val="center"/>
              <w:rPr>
                <w:rFonts w:cs="宋体"/>
                <w:szCs w:val="21"/>
              </w:rPr>
            </w:pPr>
            <w:r>
              <w:rPr>
                <w:rFonts w:hint="eastAsia" w:cs="宋体"/>
                <w:szCs w:val="21"/>
              </w:rPr>
              <w:t>敏感</w:t>
            </w:r>
          </w:p>
        </w:tc>
        <w:tc>
          <w:tcPr>
            <w:tcW w:w="648" w:type="dxa"/>
            <w:tcBorders>
              <w:tl2br w:val="nil"/>
              <w:tr2bl w:val="nil"/>
            </w:tcBorders>
            <w:vAlign w:val="center"/>
          </w:tcPr>
          <w:p>
            <w:pPr>
              <w:spacing w:line="240" w:lineRule="exact"/>
              <w:jc w:val="center"/>
              <w:rPr>
                <w:szCs w:val="21"/>
              </w:rPr>
            </w:pPr>
            <w:r>
              <w:rPr>
                <w:rFonts w:hint="eastAsia"/>
                <w:szCs w:val="21"/>
              </w:rPr>
              <w:t>一级</w:t>
            </w:r>
          </w:p>
        </w:tc>
        <w:tc>
          <w:tcPr>
            <w:tcW w:w="648" w:type="dxa"/>
            <w:tcBorders>
              <w:tl2br w:val="nil"/>
              <w:tr2bl w:val="nil"/>
            </w:tcBorders>
            <w:vAlign w:val="center"/>
          </w:tcPr>
          <w:p>
            <w:pPr>
              <w:spacing w:line="240" w:lineRule="exact"/>
              <w:jc w:val="center"/>
              <w:rPr>
                <w:szCs w:val="21"/>
              </w:rPr>
            </w:pPr>
            <w:r>
              <w:rPr>
                <w:rFonts w:hint="eastAsia"/>
                <w:szCs w:val="21"/>
              </w:rPr>
              <w:t>一级</w:t>
            </w:r>
          </w:p>
        </w:tc>
        <w:tc>
          <w:tcPr>
            <w:tcW w:w="649" w:type="dxa"/>
            <w:tcBorders>
              <w:tl2br w:val="nil"/>
              <w:tr2bl w:val="nil"/>
            </w:tcBorders>
            <w:vAlign w:val="center"/>
          </w:tcPr>
          <w:p>
            <w:pPr>
              <w:spacing w:line="240" w:lineRule="exact"/>
              <w:jc w:val="center"/>
              <w:rPr>
                <w:szCs w:val="21"/>
              </w:rPr>
            </w:pPr>
            <w:r>
              <w:rPr>
                <w:rFonts w:hint="eastAsia"/>
                <w:szCs w:val="21"/>
              </w:rPr>
              <w:t>一级</w:t>
            </w:r>
          </w:p>
        </w:tc>
        <w:tc>
          <w:tcPr>
            <w:tcW w:w="649" w:type="dxa"/>
            <w:tcBorders>
              <w:tl2br w:val="nil"/>
              <w:tr2bl w:val="nil"/>
            </w:tcBorders>
            <w:vAlign w:val="center"/>
          </w:tcPr>
          <w:p>
            <w:pPr>
              <w:spacing w:line="240" w:lineRule="exact"/>
              <w:jc w:val="center"/>
              <w:rPr>
                <w:rFonts w:cs="宋体"/>
                <w:szCs w:val="21"/>
              </w:rPr>
            </w:pPr>
            <w:r>
              <w:rPr>
                <w:rFonts w:hint="eastAsia" w:cs="宋体"/>
                <w:szCs w:val="21"/>
              </w:rPr>
              <w:t>二级</w:t>
            </w:r>
          </w:p>
        </w:tc>
        <w:tc>
          <w:tcPr>
            <w:tcW w:w="648" w:type="dxa"/>
            <w:tcBorders>
              <w:tl2br w:val="nil"/>
              <w:tr2bl w:val="nil"/>
            </w:tcBorders>
            <w:vAlign w:val="center"/>
          </w:tcPr>
          <w:p>
            <w:pPr>
              <w:spacing w:line="240" w:lineRule="exact"/>
              <w:jc w:val="center"/>
              <w:rPr>
                <w:szCs w:val="21"/>
              </w:rPr>
            </w:pPr>
            <w:r>
              <w:rPr>
                <w:rFonts w:hint="eastAsia"/>
                <w:szCs w:val="21"/>
              </w:rPr>
              <w:t>二级</w:t>
            </w:r>
          </w:p>
        </w:tc>
        <w:tc>
          <w:tcPr>
            <w:tcW w:w="647" w:type="dxa"/>
            <w:tcBorders>
              <w:tl2br w:val="nil"/>
              <w:tr2bl w:val="nil"/>
            </w:tcBorders>
            <w:vAlign w:val="center"/>
          </w:tcPr>
          <w:p>
            <w:pPr>
              <w:spacing w:line="240" w:lineRule="exact"/>
              <w:jc w:val="center"/>
              <w:rPr>
                <w:szCs w:val="21"/>
              </w:rPr>
            </w:pPr>
            <w:r>
              <w:rPr>
                <w:rFonts w:hint="eastAsia"/>
                <w:szCs w:val="21"/>
              </w:rPr>
              <w:t>二级</w:t>
            </w:r>
          </w:p>
        </w:tc>
        <w:tc>
          <w:tcPr>
            <w:tcW w:w="648" w:type="dxa"/>
            <w:tcBorders>
              <w:tl2br w:val="nil"/>
              <w:tr2bl w:val="nil"/>
            </w:tcBorders>
            <w:vAlign w:val="center"/>
          </w:tcPr>
          <w:p>
            <w:pPr>
              <w:spacing w:line="240" w:lineRule="exact"/>
              <w:jc w:val="center"/>
              <w:rPr>
                <w:rFonts w:cs="宋体"/>
                <w:szCs w:val="21"/>
              </w:rPr>
            </w:pPr>
            <w:r>
              <w:rPr>
                <w:rFonts w:hint="eastAsia" w:cs="宋体"/>
                <w:szCs w:val="21"/>
              </w:rPr>
              <w:t>三级</w:t>
            </w:r>
          </w:p>
        </w:tc>
        <w:tc>
          <w:tcPr>
            <w:tcW w:w="648" w:type="dxa"/>
            <w:tcBorders>
              <w:tl2br w:val="nil"/>
              <w:tr2bl w:val="nil"/>
            </w:tcBorders>
            <w:vAlign w:val="center"/>
          </w:tcPr>
          <w:p>
            <w:pPr>
              <w:spacing w:line="240" w:lineRule="exact"/>
              <w:jc w:val="center"/>
              <w:rPr>
                <w:szCs w:val="21"/>
              </w:rPr>
            </w:pPr>
            <w:r>
              <w:rPr>
                <w:rFonts w:hint="eastAsia"/>
                <w:szCs w:val="21"/>
              </w:rPr>
              <w:t>三级</w:t>
            </w:r>
          </w:p>
        </w:tc>
        <w:tc>
          <w:tcPr>
            <w:tcW w:w="653" w:type="dxa"/>
            <w:tcBorders>
              <w:tl2br w:val="nil"/>
              <w:tr2bl w:val="nil"/>
            </w:tcBorders>
            <w:vAlign w:val="center"/>
          </w:tcPr>
          <w:p>
            <w:pPr>
              <w:spacing w:line="240" w:lineRule="exact"/>
              <w:jc w:val="center"/>
              <w:rPr>
                <w:szCs w:val="21"/>
              </w:rPr>
            </w:pPr>
            <w:r>
              <w:rPr>
                <w:rFonts w:hint="eastAsia"/>
                <w:szCs w:val="21"/>
              </w:rPr>
              <w:t>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996" w:type="dxa"/>
            <w:tcBorders>
              <w:tl2br w:val="nil"/>
              <w:tr2bl w:val="nil"/>
            </w:tcBorders>
            <w:vAlign w:val="center"/>
          </w:tcPr>
          <w:p>
            <w:pPr>
              <w:spacing w:line="240" w:lineRule="exact"/>
              <w:jc w:val="center"/>
              <w:rPr>
                <w:rFonts w:cs="宋体"/>
                <w:szCs w:val="21"/>
              </w:rPr>
            </w:pPr>
            <w:r>
              <w:rPr>
                <w:rFonts w:hint="eastAsia" w:cs="宋体"/>
                <w:szCs w:val="21"/>
              </w:rPr>
              <w:t>较</w:t>
            </w:r>
            <w:r>
              <w:rPr>
                <w:rFonts w:hint="eastAsia"/>
                <w:szCs w:val="21"/>
              </w:rPr>
              <w:t>敏感</w:t>
            </w:r>
          </w:p>
        </w:tc>
        <w:tc>
          <w:tcPr>
            <w:tcW w:w="648" w:type="dxa"/>
            <w:tcBorders>
              <w:tl2br w:val="nil"/>
              <w:tr2bl w:val="nil"/>
            </w:tcBorders>
            <w:vAlign w:val="center"/>
          </w:tcPr>
          <w:p>
            <w:pPr>
              <w:spacing w:line="240" w:lineRule="exact"/>
              <w:jc w:val="center"/>
              <w:rPr>
                <w:rFonts w:cs="宋体"/>
                <w:szCs w:val="21"/>
              </w:rPr>
            </w:pPr>
            <w:r>
              <w:rPr>
                <w:rFonts w:hint="eastAsia"/>
                <w:szCs w:val="21"/>
              </w:rPr>
              <w:t>一级</w:t>
            </w:r>
          </w:p>
        </w:tc>
        <w:tc>
          <w:tcPr>
            <w:tcW w:w="648" w:type="dxa"/>
            <w:tcBorders>
              <w:tl2br w:val="nil"/>
              <w:tr2bl w:val="nil"/>
            </w:tcBorders>
            <w:vAlign w:val="center"/>
          </w:tcPr>
          <w:p>
            <w:pPr>
              <w:spacing w:line="240" w:lineRule="exact"/>
              <w:jc w:val="center"/>
              <w:rPr>
                <w:szCs w:val="21"/>
              </w:rPr>
            </w:pPr>
            <w:r>
              <w:rPr>
                <w:rFonts w:hint="eastAsia"/>
                <w:szCs w:val="21"/>
              </w:rPr>
              <w:t>一级</w:t>
            </w:r>
          </w:p>
        </w:tc>
        <w:tc>
          <w:tcPr>
            <w:tcW w:w="649" w:type="dxa"/>
            <w:tcBorders>
              <w:tl2br w:val="nil"/>
              <w:tr2bl w:val="nil"/>
            </w:tcBorders>
            <w:vAlign w:val="center"/>
          </w:tcPr>
          <w:p>
            <w:pPr>
              <w:spacing w:line="240" w:lineRule="exact"/>
              <w:jc w:val="center"/>
              <w:rPr>
                <w:szCs w:val="21"/>
              </w:rPr>
            </w:pPr>
            <w:r>
              <w:rPr>
                <w:rFonts w:hint="eastAsia" w:cs="宋体"/>
                <w:szCs w:val="21"/>
              </w:rPr>
              <w:t>二级</w:t>
            </w:r>
          </w:p>
        </w:tc>
        <w:tc>
          <w:tcPr>
            <w:tcW w:w="649" w:type="dxa"/>
            <w:tcBorders>
              <w:tl2br w:val="nil"/>
              <w:tr2bl w:val="nil"/>
            </w:tcBorders>
            <w:vAlign w:val="center"/>
          </w:tcPr>
          <w:p>
            <w:pPr>
              <w:spacing w:line="240" w:lineRule="exact"/>
              <w:jc w:val="center"/>
              <w:rPr>
                <w:rFonts w:cs="宋体"/>
                <w:szCs w:val="21"/>
              </w:rPr>
            </w:pPr>
            <w:r>
              <w:rPr>
                <w:rFonts w:hint="eastAsia" w:cs="宋体"/>
                <w:szCs w:val="21"/>
              </w:rPr>
              <w:t>二级</w:t>
            </w:r>
          </w:p>
        </w:tc>
        <w:tc>
          <w:tcPr>
            <w:tcW w:w="648" w:type="dxa"/>
            <w:tcBorders>
              <w:tl2br w:val="nil"/>
              <w:tr2bl w:val="nil"/>
            </w:tcBorders>
            <w:vAlign w:val="center"/>
          </w:tcPr>
          <w:p>
            <w:pPr>
              <w:spacing w:line="240" w:lineRule="exact"/>
              <w:jc w:val="center"/>
              <w:rPr>
                <w:szCs w:val="21"/>
              </w:rPr>
            </w:pPr>
            <w:r>
              <w:rPr>
                <w:rFonts w:hint="eastAsia"/>
                <w:szCs w:val="21"/>
              </w:rPr>
              <w:t>二级</w:t>
            </w:r>
          </w:p>
        </w:tc>
        <w:tc>
          <w:tcPr>
            <w:tcW w:w="647" w:type="dxa"/>
            <w:tcBorders>
              <w:tl2br w:val="nil"/>
              <w:tr2bl w:val="nil"/>
            </w:tcBorders>
            <w:vAlign w:val="center"/>
          </w:tcPr>
          <w:p>
            <w:pPr>
              <w:spacing w:line="240" w:lineRule="exact"/>
              <w:jc w:val="center"/>
              <w:rPr>
                <w:szCs w:val="21"/>
              </w:rPr>
            </w:pPr>
            <w:r>
              <w:rPr>
                <w:rFonts w:hint="eastAsia" w:cs="宋体"/>
                <w:szCs w:val="21"/>
              </w:rPr>
              <w:t>三级</w:t>
            </w:r>
          </w:p>
        </w:tc>
        <w:tc>
          <w:tcPr>
            <w:tcW w:w="648" w:type="dxa"/>
            <w:tcBorders>
              <w:tl2br w:val="nil"/>
              <w:tr2bl w:val="nil"/>
            </w:tcBorders>
            <w:vAlign w:val="center"/>
          </w:tcPr>
          <w:p>
            <w:pPr>
              <w:spacing w:line="240" w:lineRule="exact"/>
              <w:jc w:val="center"/>
              <w:rPr>
                <w:rFonts w:cs="宋体"/>
                <w:szCs w:val="21"/>
              </w:rPr>
            </w:pPr>
            <w:r>
              <w:rPr>
                <w:rFonts w:hint="eastAsia" w:cs="宋体"/>
                <w:szCs w:val="21"/>
              </w:rPr>
              <w:t>三级</w:t>
            </w:r>
          </w:p>
        </w:tc>
        <w:tc>
          <w:tcPr>
            <w:tcW w:w="648" w:type="dxa"/>
            <w:tcBorders>
              <w:tl2br w:val="nil"/>
              <w:tr2bl w:val="nil"/>
            </w:tcBorders>
            <w:vAlign w:val="center"/>
          </w:tcPr>
          <w:p>
            <w:pPr>
              <w:spacing w:line="240" w:lineRule="exact"/>
              <w:jc w:val="center"/>
              <w:rPr>
                <w:szCs w:val="21"/>
              </w:rPr>
            </w:pPr>
            <w:r>
              <w:rPr>
                <w:rFonts w:hint="eastAsia"/>
                <w:szCs w:val="21"/>
              </w:rPr>
              <w:t>三级</w:t>
            </w:r>
          </w:p>
        </w:tc>
        <w:tc>
          <w:tcPr>
            <w:tcW w:w="653" w:type="dxa"/>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996" w:type="dxa"/>
            <w:tcBorders>
              <w:tl2br w:val="nil"/>
              <w:tr2bl w:val="nil"/>
            </w:tcBorders>
            <w:vAlign w:val="center"/>
          </w:tcPr>
          <w:p>
            <w:pPr>
              <w:spacing w:line="240" w:lineRule="exact"/>
              <w:jc w:val="center"/>
              <w:rPr>
                <w:szCs w:val="21"/>
              </w:rPr>
            </w:pPr>
            <w:r>
              <w:rPr>
                <w:rFonts w:hint="eastAsia"/>
                <w:szCs w:val="21"/>
              </w:rPr>
              <w:t>不敏感</w:t>
            </w:r>
          </w:p>
        </w:tc>
        <w:tc>
          <w:tcPr>
            <w:tcW w:w="648" w:type="dxa"/>
            <w:tcBorders>
              <w:tl2br w:val="nil"/>
              <w:tr2bl w:val="nil"/>
            </w:tcBorders>
            <w:vAlign w:val="center"/>
          </w:tcPr>
          <w:p>
            <w:pPr>
              <w:spacing w:line="240" w:lineRule="exact"/>
              <w:jc w:val="center"/>
              <w:rPr>
                <w:rFonts w:cs="宋体"/>
                <w:szCs w:val="21"/>
              </w:rPr>
            </w:pPr>
            <w:r>
              <w:rPr>
                <w:rFonts w:hint="eastAsia"/>
                <w:szCs w:val="21"/>
              </w:rPr>
              <w:t>一级</w:t>
            </w:r>
          </w:p>
        </w:tc>
        <w:tc>
          <w:tcPr>
            <w:tcW w:w="648" w:type="dxa"/>
            <w:tcBorders>
              <w:tl2br w:val="nil"/>
              <w:tr2bl w:val="nil"/>
            </w:tcBorders>
            <w:vAlign w:val="center"/>
          </w:tcPr>
          <w:p>
            <w:pPr>
              <w:spacing w:line="240" w:lineRule="exact"/>
              <w:jc w:val="center"/>
              <w:rPr>
                <w:szCs w:val="21"/>
              </w:rPr>
            </w:pPr>
            <w:r>
              <w:rPr>
                <w:rFonts w:hint="eastAsia" w:cs="宋体"/>
                <w:szCs w:val="21"/>
              </w:rPr>
              <w:t>二级</w:t>
            </w:r>
          </w:p>
        </w:tc>
        <w:tc>
          <w:tcPr>
            <w:tcW w:w="649" w:type="dxa"/>
            <w:tcBorders>
              <w:tl2br w:val="nil"/>
              <w:tr2bl w:val="nil"/>
            </w:tcBorders>
            <w:vAlign w:val="center"/>
          </w:tcPr>
          <w:p>
            <w:pPr>
              <w:spacing w:line="240" w:lineRule="exact"/>
              <w:jc w:val="center"/>
              <w:rPr>
                <w:szCs w:val="21"/>
              </w:rPr>
            </w:pPr>
            <w:r>
              <w:rPr>
                <w:rFonts w:hint="eastAsia" w:cs="宋体"/>
                <w:szCs w:val="21"/>
              </w:rPr>
              <w:t>二级</w:t>
            </w:r>
          </w:p>
        </w:tc>
        <w:tc>
          <w:tcPr>
            <w:tcW w:w="649" w:type="dxa"/>
            <w:tcBorders>
              <w:tl2br w:val="nil"/>
              <w:tr2bl w:val="nil"/>
            </w:tcBorders>
            <w:vAlign w:val="center"/>
          </w:tcPr>
          <w:p>
            <w:pPr>
              <w:spacing w:line="240" w:lineRule="exact"/>
              <w:jc w:val="center"/>
              <w:rPr>
                <w:szCs w:val="21"/>
              </w:rPr>
            </w:pPr>
            <w:r>
              <w:rPr>
                <w:rFonts w:hint="eastAsia"/>
                <w:szCs w:val="21"/>
              </w:rPr>
              <w:t>二级</w:t>
            </w:r>
          </w:p>
        </w:tc>
        <w:tc>
          <w:tcPr>
            <w:tcW w:w="648" w:type="dxa"/>
            <w:tcBorders>
              <w:tl2br w:val="nil"/>
              <w:tr2bl w:val="nil"/>
            </w:tcBorders>
            <w:vAlign w:val="center"/>
          </w:tcPr>
          <w:p>
            <w:pPr>
              <w:spacing w:line="240" w:lineRule="exact"/>
              <w:jc w:val="center"/>
              <w:rPr>
                <w:szCs w:val="21"/>
              </w:rPr>
            </w:pPr>
            <w:r>
              <w:rPr>
                <w:rFonts w:hint="eastAsia" w:cs="宋体"/>
                <w:szCs w:val="21"/>
              </w:rPr>
              <w:t>三级</w:t>
            </w:r>
          </w:p>
        </w:tc>
        <w:tc>
          <w:tcPr>
            <w:tcW w:w="647" w:type="dxa"/>
            <w:tcBorders>
              <w:tl2br w:val="nil"/>
              <w:tr2bl w:val="nil"/>
            </w:tcBorders>
            <w:vAlign w:val="center"/>
          </w:tcPr>
          <w:p>
            <w:pPr>
              <w:spacing w:line="240" w:lineRule="exact"/>
              <w:jc w:val="center"/>
              <w:rPr>
                <w:szCs w:val="21"/>
              </w:rPr>
            </w:pPr>
            <w:r>
              <w:rPr>
                <w:rFonts w:hint="eastAsia" w:cs="宋体"/>
                <w:szCs w:val="21"/>
              </w:rPr>
              <w:t>三级</w:t>
            </w:r>
          </w:p>
        </w:tc>
        <w:tc>
          <w:tcPr>
            <w:tcW w:w="648" w:type="dxa"/>
            <w:tcBorders>
              <w:tl2br w:val="nil"/>
              <w:tr2bl w:val="nil"/>
            </w:tcBorders>
            <w:vAlign w:val="center"/>
          </w:tcPr>
          <w:p>
            <w:pPr>
              <w:spacing w:line="240" w:lineRule="exact"/>
              <w:jc w:val="center"/>
              <w:rPr>
                <w:rFonts w:cs="宋体"/>
                <w:szCs w:val="21"/>
              </w:rPr>
            </w:pPr>
            <w:r>
              <w:rPr>
                <w:rFonts w:hint="eastAsia"/>
                <w:szCs w:val="21"/>
              </w:rPr>
              <w:t>三级</w:t>
            </w:r>
          </w:p>
        </w:tc>
        <w:tc>
          <w:tcPr>
            <w:tcW w:w="648" w:type="dxa"/>
            <w:tcBorders>
              <w:tl2br w:val="nil"/>
              <w:tr2bl w:val="nil"/>
            </w:tcBorders>
            <w:vAlign w:val="center"/>
          </w:tcPr>
          <w:p>
            <w:pPr>
              <w:spacing w:line="240" w:lineRule="exact"/>
              <w:jc w:val="center"/>
              <w:rPr>
                <w:szCs w:val="21"/>
              </w:rPr>
            </w:pPr>
            <w:r>
              <w:rPr>
                <w:rFonts w:hint="eastAsia"/>
                <w:szCs w:val="21"/>
              </w:rPr>
              <w:t>—</w:t>
            </w:r>
          </w:p>
        </w:tc>
        <w:tc>
          <w:tcPr>
            <w:tcW w:w="653" w:type="dxa"/>
            <w:tcBorders>
              <w:tl2br w:val="nil"/>
              <w:tr2bl w:val="nil"/>
            </w:tcBorders>
            <w:vAlign w:val="center"/>
          </w:tcPr>
          <w:p>
            <w:pPr>
              <w:spacing w:line="24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834" w:type="dxa"/>
            <w:gridSpan w:val="10"/>
            <w:tcBorders>
              <w:tl2br w:val="nil"/>
              <w:tr2bl w:val="nil"/>
            </w:tcBorders>
            <w:vAlign w:val="center"/>
          </w:tcPr>
          <w:p>
            <w:pPr>
              <w:spacing w:line="240" w:lineRule="exact"/>
              <w:jc w:val="center"/>
              <w:rPr>
                <w:szCs w:val="21"/>
              </w:rPr>
            </w:pPr>
            <w:r>
              <w:rPr>
                <w:rFonts w:hint="eastAsia"/>
                <w:szCs w:val="21"/>
              </w:rPr>
              <w:t>备注：“—”表示可不开展土壤环境影响评价工作。</w:t>
            </w:r>
          </w:p>
        </w:tc>
      </w:tr>
    </w:tbl>
    <w:p>
      <w:pPr>
        <w:autoSpaceDE w:val="0"/>
        <w:autoSpaceDN w:val="0"/>
        <w:adjustRightInd w:val="0"/>
        <w:spacing w:line="500" w:lineRule="exact"/>
        <w:ind w:firstLine="480" w:firstLineChars="200"/>
        <w:rPr>
          <w:kern w:val="24"/>
          <w:sz w:val="24"/>
        </w:rPr>
      </w:pPr>
      <w:r>
        <w:rPr>
          <w:rFonts w:hint="eastAsia"/>
          <w:kern w:val="24"/>
          <w:sz w:val="24"/>
        </w:rPr>
        <w:t>由以上可知，项目土壤环境</w:t>
      </w:r>
      <w:r>
        <w:rPr>
          <w:kern w:val="24"/>
          <w:sz w:val="24"/>
        </w:rPr>
        <w:t>评价等级判定为二级。</w:t>
      </w:r>
    </w:p>
    <w:p>
      <w:pPr>
        <w:pStyle w:val="5"/>
        <w:spacing w:beforeLines="0" w:after="120" w:line="500" w:lineRule="exact"/>
        <w:rPr>
          <w:rFonts w:eastAsia="宋体"/>
          <w:b/>
          <w:bCs w:val="0"/>
          <w:color w:val="auto"/>
          <w:szCs w:val="30"/>
        </w:rPr>
      </w:pPr>
      <w:bookmarkStart w:id="89" w:name="_Toc409719102"/>
      <w:bookmarkStart w:id="90" w:name="_Toc30551"/>
      <w:r>
        <w:rPr>
          <w:rFonts w:eastAsia="宋体"/>
          <w:b/>
          <w:bCs w:val="0"/>
          <w:color w:val="auto"/>
          <w:szCs w:val="30"/>
        </w:rPr>
        <w:t>2.5 评价范围</w:t>
      </w:r>
      <w:bookmarkEnd w:id="89"/>
      <w:bookmarkEnd w:id="90"/>
    </w:p>
    <w:p>
      <w:pPr>
        <w:autoSpaceDE w:val="0"/>
        <w:autoSpaceDN w:val="0"/>
        <w:adjustRightInd w:val="0"/>
        <w:spacing w:line="500" w:lineRule="exact"/>
        <w:ind w:firstLine="480" w:firstLineChars="200"/>
        <w:rPr>
          <w:kern w:val="24"/>
          <w:sz w:val="24"/>
        </w:rPr>
      </w:pPr>
      <w:r>
        <w:rPr>
          <w:rFonts w:hint="eastAsia"/>
          <w:kern w:val="24"/>
          <w:sz w:val="24"/>
        </w:rPr>
        <w:t>根据不同评价级别工作深度要求，结合本工程特点、所处的地理位置及当地的自然、社会环境条件，确定本次环境评价范围。</w:t>
      </w:r>
    </w:p>
    <w:p>
      <w:pPr>
        <w:autoSpaceDE w:val="0"/>
        <w:autoSpaceDN w:val="0"/>
        <w:adjustRightInd w:val="0"/>
        <w:spacing w:line="500" w:lineRule="exact"/>
        <w:ind w:firstLine="480" w:firstLineChars="200"/>
        <w:rPr>
          <w:kern w:val="24"/>
          <w:sz w:val="24"/>
        </w:rPr>
      </w:pPr>
      <w:r>
        <w:rPr>
          <w:rFonts w:hint="eastAsia"/>
          <w:kern w:val="24"/>
          <w:sz w:val="24"/>
        </w:rPr>
        <w:t>大气环境影响评价范围：以场址为中心，边长5.0km的矩形区域，详见附图2.7-1。</w:t>
      </w:r>
    </w:p>
    <w:p>
      <w:pPr>
        <w:autoSpaceDE w:val="0"/>
        <w:autoSpaceDN w:val="0"/>
        <w:adjustRightInd w:val="0"/>
        <w:spacing w:line="500" w:lineRule="exact"/>
        <w:ind w:firstLine="480" w:firstLineChars="200"/>
        <w:rPr>
          <w:kern w:val="24"/>
          <w:sz w:val="24"/>
        </w:rPr>
      </w:pPr>
      <w:r>
        <w:rPr>
          <w:rFonts w:hint="eastAsia"/>
          <w:kern w:val="24"/>
          <w:sz w:val="24"/>
        </w:rPr>
        <w:t>地下水环境影响评价范围：根据区域水文地质条件、地下水埋藏和径流方向，以及工程特点、地下水环境保护目标调查情况，确定本项目地下水评价范围为：以场址为中心，地下水流向上游3km，下游6km，左右两侧各3km区域，面积约54km</w:t>
      </w:r>
      <w:r>
        <w:rPr>
          <w:rFonts w:hint="eastAsia"/>
          <w:kern w:val="24"/>
          <w:sz w:val="24"/>
          <w:vertAlign w:val="superscript"/>
        </w:rPr>
        <w:t>2</w:t>
      </w:r>
      <w:r>
        <w:rPr>
          <w:rFonts w:hint="eastAsia"/>
          <w:kern w:val="24"/>
          <w:sz w:val="24"/>
        </w:rPr>
        <w:t>，地下水评价范围详见附图2.7-1。</w:t>
      </w:r>
    </w:p>
    <w:p>
      <w:pPr>
        <w:autoSpaceDE w:val="0"/>
        <w:autoSpaceDN w:val="0"/>
        <w:adjustRightInd w:val="0"/>
        <w:spacing w:line="500" w:lineRule="exact"/>
        <w:ind w:firstLine="480" w:firstLineChars="200"/>
        <w:rPr>
          <w:kern w:val="24"/>
          <w:sz w:val="24"/>
        </w:rPr>
      </w:pPr>
      <w:r>
        <w:rPr>
          <w:rFonts w:hint="eastAsia"/>
          <w:kern w:val="24"/>
          <w:sz w:val="24"/>
        </w:rPr>
        <w:t>生态环境影响评价范围：场地周边外扩500m范围。</w:t>
      </w:r>
    </w:p>
    <w:p>
      <w:pPr>
        <w:autoSpaceDE w:val="0"/>
        <w:autoSpaceDN w:val="0"/>
        <w:adjustRightInd w:val="0"/>
        <w:spacing w:line="500" w:lineRule="exact"/>
        <w:ind w:firstLine="480" w:firstLineChars="200"/>
        <w:rPr>
          <w:kern w:val="24"/>
          <w:sz w:val="24"/>
        </w:rPr>
      </w:pPr>
      <w:r>
        <w:rPr>
          <w:rFonts w:hint="eastAsia"/>
          <w:kern w:val="24"/>
          <w:sz w:val="24"/>
        </w:rPr>
        <w:t>声环境影响评价范围：场界外及运输道路两侧200m范围。</w:t>
      </w:r>
    </w:p>
    <w:p>
      <w:pPr>
        <w:autoSpaceDE w:val="0"/>
        <w:autoSpaceDN w:val="0"/>
        <w:adjustRightInd w:val="0"/>
        <w:spacing w:line="500" w:lineRule="exact"/>
        <w:ind w:firstLine="480" w:firstLineChars="200"/>
        <w:rPr>
          <w:kern w:val="24"/>
          <w:sz w:val="24"/>
        </w:rPr>
      </w:pPr>
      <w:r>
        <w:rPr>
          <w:rFonts w:hint="eastAsia"/>
          <w:kern w:val="24"/>
          <w:sz w:val="24"/>
        </w:rPr>
        <w:t>土壤环境影响评价范围：场地周边外扩200m范围。</w:t>
      </w:r>
    </w:p>
    <w:p>
      <w:pPr>
        <w:pStyle w:val="5"/>
        <w:spacing w:beforeLines="0" w:after="120" w:line="500" w:lineRule="exact"/>
        <w:rPr>
          <w:rFonts w:eastAsia="宋体"/>
          <w:b/>
          <w:bCs w:val="0"/>
          <w:color w:val="auto"/>
          <w:szCs w:val="30"/>
        </w:rPr>
      </w:pPr>
      <w:bookmarkStart w:id="91" w:name="_Toc364787125"/>
      <w:bookmarkStart w:id="92" w:name="_Toc12369"/>
      <w:bookmarkStart w:id="93" w:name="_Toc1599121624"/>
      <w:bookmarkStart w:id="94" w:name="_Toc9392"/>
      <w:r>
        <w:rPr>
          <w:rFonts w:eastAsia="宋体"/>
          <w:b/>
          <w:bCs w:val="0"/>
          <w:color w:val="auto"/>
          <w:szCs w:val="30"/>
        </w:rPr>
        <w:t xml:space="preserve">2.6 </w:t>
      </w:r>
      <w:bookmarkEnd w:id="91"/>
      <w:bookmarkEnd w:id="92"/>
      <w:r>
        <w:rPr>
          <w:rFonts w:eastAsia="宋体"/>
          <w:b/>
          <w:bCs w:val="0"/>
          <w:color w:val="auto"/>
          <w:szCs w:val="30"/>
        </w:rPr>
        <w:t>环境功能区划</w:t>
      </w:r>
      <w:bookmarkEnd w:id="93"/>
      <w:bookmarkEnd w:id="94"/>
    </w:p>
    <w:p>
      <w:pPr>
        <w:pStyle w:val="6"/>
      </w:pPr>
      <w:r>
        <w:t xml:space="preserve">2.6.1 </w:t>
      </w:r>
      <w:r>
        <w:rPr>
          <w:rFonts w:hint="eastAsia"/>
        </w:rPr>
        <w:t>环境空气</w:t>
      </w:r>
    </w:p>
    <w:p>
      <w:pPr>
        <w:autoSpaceDE w:val="0"/>
        <w:autoSpaceDN w:val="0"/>
        <w:adjustRightInd w:val="0"/>
        <w:spacing w:line="500" w:lineRule="exact"/>
        <w:ind w:firstLine="480" w:firstLineChars="200"/>
        <w:rPr>
          <w:sz w:val="24"/>
        </w:rPr>
      </w:pPr>
      <w:r>
        <w:rPr>
          <w:sz w:val="24"/>
        </w:rPr>
        <w:t>项目评价区整体环境功能类型主要为农村地区，属于《环境空气质量标准》（GB3095-2012）中</w:t>
      </w:r>
      <w:r>
        <w:rPr>
          <w:kern w:val="24"/>
          <w:sz w:val="24"/>
        </w:rPr>
        <w:t>规定</w:t>
      </w:r>
      <w:r>
        <w:rPr>
          <w:sz w:val="24"/>
        </w:rPr>
        <w:t>的二类区。</w:t>
      </w:r>
    </w:p>
    <w:p>
      <w:pPr>
        <w:pStyle w:val="6"/>
        <w:spacing w:line="500" w:lineRule="exact"/>
      </w:pPr>
      <w:r>
        <w:t xml:space="preserve">2.6.2 </w:t>
      </w:r>
      <w:r>
        <w:rPr>
          <w:rFonts w:hint="eastAsia"/>
        </w:rPr>
        <w:t>地表水</w:t>
      </w:r>
    </w:p>
    <w:p>
      <w:pPr>
        <w:spacing w:line="500" w:lineRule="exact"/>
        <w:ind w:firstLine="523" w:firstLineChars="218"/>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区域地表河流早已断流，距项目场地最近的</w:t>
      </w:r>
      <w:r>
        <w:rPr>
          <w:rFonts w:hint="eastAsia"/>
          <w:color w:val="000000" w:themeColor="text1"/>
          <w:sz w:val="24"/>
          <w14:textFill>
            <w14:solidFill>
              <w14:schemeClr w14:val="tx1"/>
            </w14:solidFill>
          </w14:textFill>
        </w:rPr>
        <w:t>河流</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场址</w:t>
      </w:r>
      <w:r>
        <w:rPr>
          <w:color w:val="000000" w:themeColor="text1"/>
          <w:sz w:val="24"/>
          <w14:textFill>
            <w14:solidFill>
              <w14:schemeClr w14:val="tx1"/>
            </w14:solidFill>
          </w14:textFill>
        </w:rPr>
        <w:t>以东</w:t>
      </w:r>
      <w:r>
        <w:rPr>
          <w:rFonts w:hint="eastAsia"/>
          <w:color w:val="000000" w:themeColor="text1"/>
          <w:sz w:val="24"/>
          <w14:textFill>
            <w14:solidFill>
              <w14:schemeClr w14:val="tx1"/>
            </w14:solidFill>
          </w14:textFill>
        </w:rPr>
        <w:t>20m处的南大河河道，南大河为浊漳南源一级支流平顺河的支流，平顺河在辛安村附近汇入浊漳河。根据《山西省地表水环境功能区划》（DB14/67-2019），项目所在区域属浊漳河实会断面，水环境功能为保留区水源保护，水质目标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ROMAN</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类，应执行《</w:t>
      </w:r>
      <w:r>
        <w:rPr>
          <w:rFonts w:hint="eastAsia"/>
          <w:color w:val="000000" w:themeColor="text1"/>
          <w:sz w:val="24"/>
          <w14:textFill>
            <w14:solidFill>
              <w14:schemeClr w14:val="tx1"/>
            </w14:solidFill>
          </w14:textFill>
        </w:rPr>
        <w:t>地表水</w:t>
      </w:r>
      <w:r>
        <w:rPr>
          <w:color w:val="000000" w:themeColor="text1"/>
          <w:sz w:val="24"/>
          <w14:textFill>
            <w14:solidFill>
              <w14:schemeClr w14:val="tx1"/>
            </w14:solidFill>
          </w14:textFill>
        </w:rPr>
        <w:t>环境质量标准》（GB3838-2002）中Ⅲ类标准。</w:t>
      </w:r>
    </w:p>
    <w:p>
      <w:pPr>
        <w:pStyle w:val="6"/>
        <w:spacing w:line="500" w:lineRule="exact"/>
      </w:pPr>
      <w:r>
        <w:t>2.6.</w:t>
      </w:r>
      <w:r>
        <w:rPr>
          <w:rFonts w:hint="eastAsia"/>
        </w:rPr>
        <w:t>3地下水</w:t>
      </w:r>
    </w:p>
    <w:p>
      <w:pPr>
        <w:spacing w:line="500" w:lineRule="exact"/>
        <w:ind w:firstLine="480" w:firstLineChars="200"/>
        <w:rPr>
          <w:sz w:val="24"/>
          <w:szCs w:val="22"/>
        </w:rPr>
      </w:pPr>
      <w:r>
        <w:rPr>
          <w:sz w:val="24"/>
          <w:szCs w:val="22"/>
        </w:rPr>
        <w:t>根据《地下水质量标准》（GB/T14848-2017）中的分类要求，评价区地下水环境属Ⅲ类，即以人类健康基准为依据，主要适用于集中式生活饮用水水源及工业、农业用水。</w:t>
      </w:r>
    </w:p>
    <w:p>
      <w:pPr>
        <w:pStyle w:val="6"/>
        <w:spacing w:line="500" w:lineRule="exact"/>
      </w:pPr>
      <w:r>
        <w:t>2.6.</w:t>
      </w:r>
      <w:r>
        <w:rPr>
          <w:rFonts w:hint="eastAsia"/>
        </w:rPr>
        <w:t>4声环境</w:t>
      </w:r>
    </w:p>
    <w:p>
      <w:pPr>
        <w:spacing w:line="500" w:lineRule="exact"/>
        <w:ind w:firstLine="480" w:firstLineChars="200"/>
        <w:rPr>
          <w:sz w:val="24"/>
          <w:szCs w:val="22"/>
        </w:rPr>
      </w:pPr>
      <w:bookmarkStart w:id="95" w:name="_Toc364787128"/>
      <w:bookmarkStart w:id="96" w:name="_Toc25116"/>
      <w:bookmarkStart w:id="97" w:name="_Toc15354"/>
      <w:r>
        <w:rPr>
          <w:sz w:val="24"/>
          <w:szCs w:val="22"/>
        </w:rPr>
        <w:t>项目场址区域属于农村地区，声环境功能按1类区执行，噪声执行《声环境质量标准》（GB3096-2008）1类标准。</w:t>
      </w:r>
    </w:p>
    <w:p>
      <w:pPr>
        <w:pStyle w:val="5"/>
        <w:spacing w:before="156" w:line="500" w:lineRule="exact"/>
        <w:rPr>
          <w:rFonts w:eastAsia="宋体"/>
          <w:b/>
          <w:bCs w:val="0"/>
        </w:rPr>
      </w:pPr>
      <w:bookmarkStart w:id="98" w:name="_Toc1891356072"/>
      <w:r>
        <w:rPr>
          <w:rFonts w:eastAsia="宋体"/>
          <w:b/>
          <w:bCs w:val="0"/>
        </w:rPr>
        <w:t>2.7 主要环境保护目标</w:t>
      </w:r>
      <w:bookmarkEnd w:id="95"/>
      <w:bookmarkEnd w:id="96"/>
      <w:bookmarkEnd w:id="97"/>
      <w:bookmarkEnd w:id="98"/>
    </w:p>
    <w:p>
      <w:pPr>
        <w:spacing w:line="500" w:lineRule="exact"/>
        <w:ind w:firstLine="480" w:firstLineChars="200"/>
        <w:rPr>
          <w:sz w:val="24"/>
        </w:rPr>
      </w:pPr>
      <w:r>
        <w:rPr>
          <w:rFonts w:hint="eastAsia"/>
          <w:sz w:val="24"/>
        </w:rPr>
        <w:t>经调查，</w:t>
      </w:r>
      <w:r>
        <w:rPr>
          <w:sz w:val="24"/>
        </w:rPr>
        <w:t>本项目评价区内无自然保护区、风景名胜区、世界文化和自然遗产地及其他需要特别保护的特殊敏感区域，</w:t>
      </w:r>
      <w:r>
        <w:rPr>
          <w:rFonts w:hint="eastAsia"/>
          <w:sz w:val="24"/>
        </w:rPr>
        <w:t>评价范围内无集中式饮用水源地，无具有供水意义的分散式村庄饮用水井，距离项目场地距离最近的敏感目标为670m处的逢善村，结合工程特点，本</w:t>
      </w:r>
      <w:r>
        <w:rPr>
          <w:sz w:val="24"/>
        </w:rPr>
        <w:t>项目环境保护目标主要</w:t>
      </w:r>
      <w:r>
        <w:rPr>
          <w:rFonts w:hint="eastAsia"/>
          <w:sz w:val="24"/>
        </w:rPr>
        <w:t>为周边区域内</w:t>
      </w:r>
      <w:r>
        <w:rPr>
          <w:sz w:val="24"/>
        </w:rPr>
        <w:t>的村庄、</w:t>
      </w:r>
      <w:r>
        <w:rPr>
          <w:rFonts w:hint="eastAsia"/>
          <w:sz w:val="24"/>
        </w:rPr>
        <w:t>奥陶系及第四系等具有供水意义的含水层、农田</w:t>
      </w:r>
      <w:r>
        <w:rPr>
          <w:sz w:val="24"/>
        </w:rPr>
        <w:t>、</w:t>
      </w:r>
      <w:r>
        <w:rPr>
          <w:rFonts w:hint="eastAsia"/>
          <w:sz w:val="24"/>
        </w:rPr>
        <w:t>土壤植被以及生活垃圾运输道路两侧的村庄等。具体详见下表</w:t>
      </w:r>
      <w:r>
        <w:rPr>
          <w:sz w:val="24"/>
        </w:rPr>
        <w:t>2.</w:t>
      </w:r>
      <w:r>
        <w:rPr>
          <w:rFonts w:hint="eastAsia"/>
          <w:sz w:val="24"/>
        </w:rPr>
        <w:t>7</w:t>
      </w:r>
      <w:r>
        <w:rPr>
          <w:sz w:val="24"/>
        </w:rPr>
        <w:t>-1~2.</w:t>
      </w:r>
      <w:r>
        <w:rPr>
          <w:rFonts w:hint="eastAsia"/>
          <w:sz w:val="24"/>
        </w:rPr>
        <w:t>7</w:t>
      </w:r>
      <w:r>
        <w:rPr>
          <w:sz w:val="24"/>
        </w:rPr>
        <w:t>-</w:t>
      </w:r>
      <w:r>
        <w:rPr>
          <w:rFonts w:hint="eastAsia"/>
          <w:sz w:val="24"/>
        </w:rPr>
        <w:t>2和附图2.7-1、附图2.7-2。</w:t>
      </w:r>
    </w:p>
    <w:p>
      <w:pPr>
        <w:adjustRightInd w:val="0"/>
        <w:snapToGrid w:val="0"/>
        <w:jc w:val="center"/>
        <w:rPr>
          <w:b/>
          <w:color w:val="00B050"/>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r>
        <w:rPr>
          <w:b/>
          <w:sz w:val="24"/>
        </w:rPr>
        <w:t>表2.</w:t>
      </w:r>
      <w:r>
        <w:rPr>
          <w:rFonts w:hint="eastAsia"/>
          <w:b/>
          <w:sz w:val="24"/>
        </w:rPr>
        <w:t>7</w:t>
      </w:r>
      <w:r>
        <w:rPr>
          <w:b/>
          <w:sz w:val="24"/>
        </w:rPr>
        <w:t>-1</w:t>
      </w:r>
      <w:r>
        <w:rPr>
          <w:rFonts w:hint="eastAsia"/>
          <w:b/>
          <w:sz w:val="24"/>
        </w:rPr>
        <w:t>项目大气环境</w:t>
      </w:r>
      <w:r>
        <w:rPr>
          <w:b/>
          <w:sz w:val="24"/>
        </w:rPr>
        <w:t>敏感保护目标一览表</w:t>
      </w:r>
    </w:p>
    <w:tbl>
      <w:tblPr>
        <w:tblStyle w:val="29"/>
        <w:tblW w:w="54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9"/>
        <w:gridCol w:w="990"/>
        <w:gridCol w:w="1017"/>
        <w:gridCol w:w="1504"/>
        <w:gridCol w:w="1060"/>
        <w:gridCol w:w="843"/>
        <w:gridCol w:w="1531"/>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restart"/>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名称</w:t>
            </w:r>
          </w:p>
        </w:tc>
        <w:tc>
          <w:tcPr>
            <w:tcW w:w="1085" w:type="pct"/>
            <w:gridSpan w:val="2"/>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坐标</w:t>
            </w:r>
            <w:r>
              <w:rPr>
                <w:kern w:val="0"/>
                <w:szCs w:val="21"/>
              </w:rPr>
              <w:t>/m</w:t>
            </w:r>
          </w:p>
          <w:p>
            <w:pPr>
              <w:widowControl/>
              <w:jc w:val="center"/>
              <w:rPr>
                <w:kern w:val="0"/>
                <w:szCs w:val="21"/>
              </w:rPr>
            </w:pPr>
            <w:r>
              <w:rPr>
                <w:rFonts w:hint="eastAsia"/>
                <w:kern w:val="0"/>
                <w:szCs w:val="21"/>
              </w:rPr>
              <w:t>以场址中心为(0,0)</w:t>
            </w:r>
          </w:p>
        </w:tc>
        <w:tc>
          <w:tcPr>
            <w:tcW w:w="813" w:type="pct"/>
            <w:vMerge w:val="restart"/>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保护内容</w:t>
            </w:r>
          </w:p>
        </w:tc>
        <w:tc>
          <w:tcPr>
            <w:tcW w:w="573" w:type="pct"/>
            <w:vMerge w:val="restart"/>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相对场址</w:t>
            </w:r>
          </w:p>
          <w:p>
            <w:pPr>
              <w:widowControl/>
              <w:jc w:val="center"/>
              <w:rPr>
                <w:kern w:val="0"/>
                <w:szCs w:val="21"/>
              </w:rPr>
            </w:pPr>
            <w:r>
              <w:rPr>
                <w:rFonts w:hint="eastAsia"/>
                <w:kern w:val="0"/>
                <w:szCs w:val="21"/>
              </w:rPr>
              <w:t>方位</w:t>
            </w:r>
          </w:p>
        </w:tc>
        <w:tc>
          <w:tcPr>
            <w:tcW w:w="456" w:type="pct"/>
            <w:vMerge w:val="restart"/>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相对场址距离</w:t>
            </w:r>
          </w:p>
          <w:p>
            <w:pPr>
              <w:widowControl/>
              <w:jc w:val="center"/>
              <w:rPr>
                <w:kern w:val="0"/>
                <w:szCs w:val="21"/>
              </w:rPr>
            </w:pPr>
            <w:r>
              <w:rPr>
                <w:kern w:val="0"/>
                <w:szCs w:val="21"/>
              </w:rPr>
              <w:t>/m</w:t>
            </w:r>
          </w:p>
        </w:tc>
        <w:tc>
          <w:tcPr>
            <w:tcW w:w="828" w:type="pct"/>
            <w:vMerge w:val="restart"/>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行政区划</w:t>
            </w:r>
          </w:p>
        </w:tc>
        <w:tc>
          <w:tcPr>
            <w:tcW w:w="663" w:type="pct"/>
            <w:vMerge w:val="restart"/>
            <w:shd w:val="clear" w:color="auto" w:fill="FFFFFF"/>
            <w:tcMar>
              <w:top w:w="15" w:type="dxa"/>
              <w:left w:w="108" w:type="dxa"/>
              <w:bottom w:w="15" w:type="dxa"/>
              <w:right w:w="108" w:type="dxa"/>
            </w:tcMar>
            <w:vAlign w:val="center"/>
          </w:tcPr>
          <w:p>
            <w:pPr>
              <w:widowControl/>
              <w:jc w:val="center"/>
              <w:rPr>
                <w:kern w:val="0"/>
                <w:szCs w:val="21"/>
              </w:rPr>
            </w:pPr>
            <w:r>
              <w:rPr>
                <w:rFonts w:hint="eastAsia"/>
                <w:kern w:val="0"/>
                <w:szCs w:val="21"/>
              </w:rPr>
              <w:t>环境</w:t>
            </w:r>
          </w:p>
          <w:p>
            <w:pPr>
              <w:widowControl/>
              <w:jc w:val="center"/>
              <w:rPr>
                <w:kern w:val="0"/>
                <w:szCs w:val="21"/>
              </w:rPr>
            </w:pPr>
            <w:r>
              <w:rPr>
                <w:rFonts w:hint="eastAsia"/>
                <w:kern w:val="0"/>
                <w:szCs w:val="21"/>
              </w:rPr>
              <w:t>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continue"/>
            <w:vAlign w:val="center"/>
          </w:tcPr>
          <w:p>
            <w:pPr>
              <w:widowControl/>
              <w:jc w:val="center"/>
              <w:rPr>
                <w:kern w:val="0"/>
                <w:szCs w:val="21"/>
              </w:rPr>
            </w:pPr>
          </w:p>
        </w:tc>
        <w:tc>
          <w:tcPr>
            <w:tcW w:w="535" w:type="pct"/>
            <w:shd w:val="clear" w:color="auto" w:fill="FFFFFF"/>
            <w:tcMar>
              <w:top w:w="15" w:type="dxa"/>
              <w:left w:w="108" w:type="dxa"/>
              <w:bottom w:w="15" w:type="dxa"/>
              <w:right w:w="108" w:type="dxa"/>
            </w:tcMar>
            <w:vAlign w:val="center"/>
          </w:tcPr>
          <w:p>
            <w:pPr>
              <w:widowControl/>
              <w:jc w:val="center"/>
              <w:rPr>
                <w:iCs/>
                <w:kern w:val="0"/>
                <w:szCs w:val="21"/>
              </w:rPr>
            </w:pPr>
            <w:r>
              <w:rPr>
                <w:iCs/>
                <w:kern w:val="0"/>
                <w:szCs w:val="21"/>
              </w:rPr>
              <w:t>X</w:t>
            </w:r>
          </w:p>
        </w:tc>
        <w:tc>
          <w:tcPr>
            <w:tcW w:w="549" w:type="pct"/>
            <w:shd w:val="clear" w:color="auto" w:fill="FFFFFF"/>
            <w:tcMar>
              <w:top w:w="15" w:type="dxa"/>
              <w:left w:w="108" w:type="dxa"/>
              <w:bottom w:w="15" w:type="dxa"/>
              <w:right w:w="108" w:type="dxa"/>
            </w:tcMar>
            <w:vAlign w:val="center"/>
          </w:tcPr>
          <w:p>
            <w:pPr>
              <w:widowControl/>
              <w:jc w:val="center"/>
              <w:rPr>
                <w:iCs/>
                <w:kern w:val="0"/>
                <w:szCs w:val="21"/>
              </w:rPr>
            </w:pPr>
            <w:r>
              <w:rPr>
                <w:iCs/>
                <w:kern w:val="0"/>
                <w:szCs w:val="21"/>
              </w:rPr>
              <w:t>Y</w:t>
            </w:r>
          </w:p>
        </w:tc>
        <w:tc>
          <w:tcPr>
            <w:tcW w:w="813" w:type="pct"/>
            <w:vMerge w:val="continue"/>
            <w:vAlign w:val="center"/>
          </w:tcPr>
          <w:p>
            <w:pPr>
              <w:widowControl/>
              <w:jc w:val="center"/>
              <w:rPr>
                <w:kern w:val="0"/>
                <w:szCs w:val="21"/>
              </w:rPr>
            </w:pPr>
          </w:p>
        </w:tc>
        <w:tc>
          <w:tcPr>
            <w:tcW w:w="573" w:type="pct"/>
            <w:vMerge w:val="continue"/>
            <w:vAlign w:val="center"/>
          </w:tcPr>
          <w:p>
            <w:pPr>
              <w:widowControl/>
              <w:jc w:val="center"/>
              <w:rPr>
                <w:kern w:val="0"/>
                <w:szCs w:val="21"/>
              </w:rPr>
            </w:pPr>
          </w:p>
        </w:tc>
        <w:tc>
          <w:tcPr>
            <w:tcW w:w="456" w:type="pct"/>
            <w:vMerge w:val="continue"/>
            <w:vAlign w:val="center"/>
          </w:tcPr>
          <w:p>
            <w:pPr>
              <w:widowControl/>
              <w:jc w:val="center"/>
              <w:rPr>
                <w:kern w:val="0"/>
                <w:szCs w:val="21"/>
              </w:rPr>
            </w:pPr>
          </w:p>
        </w:tc>
        <w:tc>
          <w:tcPr>
            <w:tcW w:w="828" w:type="pct"/>
            <w:vMerge w:val="continue"/>
            <w:vAlign w:val="center"/>
          </w:tcPr>
          <w:p>
            <w:pPr>
              <w:widowControl/>
              <w:jc w:val="center"/>
              <w:rPr>
                <w:kern w:val="0"/>
                <w:szCs w:val="21"/>
              </w:rPr>
            </w:pPr>
          </w:p>
        </w:tc>
        <w:tc>
          <w:tcPr>
            <w:tcW w:w="663" w:type="pct"/>
            <w:vMerge w:val="continue"/>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szCs w:val="21"/>
              </w:rPr>
              <w:t>逢善村</w:t>
            </w:r>
          </w:p>
        </w:tc>
        <w:tc>
          <w:tcPr>
            <w:tcW w:w="535" w:type="pct"/>
            <w:shd w:val="clear" w:color="auto" w:fill="FFFFFF"/>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549" w:type="pct"/>
            <w:shd w:val="clear" w:color="auto" w:fill="FFFFFF"/>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-670</w:t>
            </w:r>
          </w:p>
        </w:tc>
        <w:tc>
          <w:tcPr>
            <w:tcW w:w="813" w:type="pct"/>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居民，1008人</w:t>
            </w:r>
          </w:p>
        </w:tc>
        <w:tc>
          <w:tcPr>
            <w:tcW w:w="573" w:type="pct"/>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p>
        </w:tc>
        <w:tc>
          <w:tcPr>
            <w:tcW w:w="456" w:type="pct"/>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restart"/>
            <w:tcMar>
              <w:top w:w="15" w:type="dxa"/>
              <w:left w:w="108" w:type="dxa"/>
              <w:bottom w:w="15" w:type="dxa"/>
              <w:right w:w="108" w:type="dxa"/>
            </w:tcMar>
            <w:vAlign w:val="center"/>
          </w:tcPr>
          <w:p>
            <w:pPr>
              <w:spacing w:line="280" w:lineRule="exact"/>
              <w:jc w:val="center"/>
              <w:rPr>
                <w:bCs/>
                <w:szCs w:val="21"/>
              </w:rPr>
            </w:pPr>
            <w:r>
              <w:rPr>
                <w:bCs/>
                <w:szCs w:val="21"/>
              </w:rPr>
              <w:t>《环境空气质量标准》</w:t>
            </w:r>
          </w:p>
          <w:p>
            <w:pPr>
              <w:widowControl/>
              <w:jc w:val="center"/>
              <w:rPr>
                <w:szCs w:val="21"/>
              </w:rPr>
            </w:pPr>
            <w:r>
              <w:rPr>
                <w:bCs/>
                <w:szCs w:val="21"/>
              </w:rPr>
              <w:t>（GB3095-2012）</w:t>
            </w:r>
            <w:r>
              <w:rPr>
                <w:rFonts w:hint="eastAsia"/>
                <w:bCs/>
                <w:szCs w:val="21"/>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szCs w:val="21"/>
              </w:rPr>
              <w:t>辛村</w:t>
            </w:r>
            <w:r>
              <w:rPr>
                <w:rFonts w:hint="eastAsia"/>
                <w:szCs w:val="21"/>
              </w:rPr>
              <w:t>村</w:t>
            </w:r>
          </w:p>
        </w:tc>
        <w:tc>
          <w:tcPr>
            <w:tcW w:w="535" w:type="pct"/>
            <w:shd w:val="clear" w:color="auto" w:fill="FFFFFF"/>
            <w:tcMar>
              <w:top w:w="15" w:type="dxa"/>
              <w:left w:w="108" w:type="dxa"/>
              <w:bottom w:w="15" w:type="dxa"/>
              <w:right w:w="108" w:type="dxa"/>
            </w:tcMa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-700</w:t>
            </w:r>
          </w:p>
        </w:tc>
        <w:tc>
          <w:tcPr>
            <w:tcW w:w="549" w:type="pct"/>
            <w:shd w:val="clear" w:color="auto" w:fill="FFFFFF"/>
            <w:tcMar>
              <w:top w:w="15" w:type="dxa"/>
              <w:left w:w="108" w:type="dxa"/>
              <w:bottom w:w="15" w:type="dxa"/>
              <w:right w:w="108" w:type="dxa"/>
            </w:tcMa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13" w:type="pct"/>
            <w:tcMar>
              <w:top w:w="15" w:type="dxa"/>
              <w:left w:w="108" w:type="dxa"/>
              <w:bottom w:w="15" w:type="dxa"/>
              <w:right w:w="108"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居民，2480人</w:t>
            </w:r>
          </w:p>
        </w:tc>
        <w:tc>
          <w:tcPr>
            <w:tcW w:w="573" w:type="pct"/>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456" w:type="pct"/>
            <w:tcMar>
              <w:top w:w="15" w:type="dxa"/>
              <w:left w:w="108" w:type="dxa"/>
              <w:bottom w:w="15" w:type="dxa"/>
              <w:right w:w="108" w:type="dxa"/>
            </w:tcMar>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szCs w:val="21"/>
              </w:rPr>
              <w:t>岗头</w:t>
            </w:r>
            <w:r>
              <w:rPr>
                <w:rFonts w:hint="eastAsia"/>
                <w:szCs w:val="21"/>
              </w:rPr>
              <w:t>村</w:t>
            </w:r>
          </w:p>
        </w:tc>
        <w:tc>
          <w:tcPr>
            <w:tcW w:w="535" w:type="pct"/>
            <w:shd w:val="clear" w:color="auto" w:fill="FFFFFF"/>
            <w:tcMar>
              <w:top w:w="15" w:type="dxa"/>
              <w:left w:w="108" w:type="dxa"/>
              <w:bottom w:w="15" w:type="dxa"/>
              <w:right w:w="108" w:type="dxa"/>
            </w:tcMa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910</w:t>
            </w:r>
          </w:p>
        </w:tc>
        <w:tc>
          <w:tcPr>
            <w:tcW w:w="549" w:type="pct"/>
            <w:shd w:val="clear" w:color="auto" w:fill="FFFFFF"/>
            <w:tcMar>
              <w:top w:w="15" w:type="dxa"/>
              <w:left w:w="108" w:type="dxa"/>
              <w:bottom w:w="15" w:type="dxa"/>
              <w:right w:w="108" w:type="dxa"/>
            </w:tcMa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13" w:type="pct"/>
            <w:vMerge w:val="restart"/>
            <w:tcMar>
              <w:top w:w="15" w:type="dxa"/>
              <w:left w:w="108" w:type="dxa"/>
              <w:bottom w:w="15"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r>
              <w:rPr>
                <w:rFonts w:hint="eastAsia"/>
                <w:color w:val="000000" w:themeColor="text1"/>
                <w:szCs w:val="21"/>
                <w14:textFill>
                  <w14:solidFill>
                    <w14:schemeClr w14:val="tx1"/>
                  </w14:solidFill>
                </w14:textFill>
              </w:rPr>
              <w:t>，1668人</w:t>
            </w:r>
          </w:p>
        </w:tc>
        <w:tc>
          <w:tcPr>
            <w:tcW w:w="573" w:type="pct"/>
            <w:tcMar>
              <w:top w:w="15" w:type="dxa"/>
              <w:left w:w="108" w:type="dxa"/>
              <w:bottom w:w="15" w:type="dxa"/>
              <w:right w:w="108" w:type="dxa"/>
            </w:tcMar>
            <w:vAlign w:val="center"/>
          </w:tcPr>
          <w:p>
            <w:pPr>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w:t>
            </w:r>
          </w:p>
        </w:tc>
        <w:tc>
          <w:tcPr>
            <w:tcW w:w="456" w:type="pct"/>
            <w:tcMar>
              <w:top w:w="15" w:type="dxa"/>
              <w:left w:w="108" w:type="dxa"/>
              <w:bottom w:w="15" w:type="dxa"/>
              <w:right w:w="108" w:type="dxa"/>
            </w:tcMar>
            <w:vAlign w:val="center"/>
          </w:tcPr>
          <w:p>
            <w:pPr>
              <w:pStyle w:val="37"/>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910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rFonts w:hint="eastAsia"/>
                <w:iCs/>
                <w:kern w:val="0"/>
                <w:szCs w:val="21"/>
              </w:rPr>
              <w:t>土河村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1000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-600</w:t>
            </w:r>
          </w:p>
        </w:tc>
        <w:tc>
          <w:tcPr>
            <w:tcW w:w="813" w:type="pct"/>
            <w:vMerge w:val="continue"/>
            <w:tcMar>
              <w:top w:w="15" w:type="dxa"/>
              <w:left w:w="108" w:type="dxa"/>
              <w:bottom w:w="15" w:type="dxa"/>
              <w:right w:w="108" w:type="dxa"/>
            </w:tcMar>
            <w:vAlign w:val="center"/>
          </w:tcPr>
          <w:p>
            <w:pPr>
              <w:jc w:val="center"/>
              <w:rPr>
                <w:szCs w:val="21"/>
              </w:rPr>
            </w:pPr>
          </w:p>
        </w:tc>
        <w:tc>
          <w:tcPr>
            <w:tcW w:w="573" w:type="pct"/>
            <w:tcMar>
              <w:top w:w="15" w:type="dxa"/>
              <w:left w:w="108" w:type="dxa"/>
              <w:bottom w:w="15" w:type="dxa"/>
              <w:right w:w="108" w:type="dxa"/>
            </w:tcMar>
            <w:vAlign w:val="center"/>
          </w:tcPr>
          <w:p>
            <w:pPr>
              <w:spacing w:line="280" w:lineRule="exact"/>
              <w:jc w:val="center"/>
              <w:rPr>
                <w:szCs w:val="21"/>
              </w:rPr>
            </w:pPr>
            <w:r>
              <w:rPr>
                <w:rFonts w:hint="eastAsia"/>
                <w:szCs w:val="21"/>
              </w:rPr>
              <w:t>SW</w:t>
            </w:r>
          </w:p>
        </w:tc>
        <w:tc>
          <w:tcPr>
            <w:tcW w:w="456" w:type="pct"/>
            <w:tcMar>
              <w:top w:w="15" w:type="dxa"/>
              <w:left w:w="108" w:type="dxa"/>
              <w:bottom w:w="15" w:type="dxa"/>
              <w:right w:w="108" w:type="dxa"/>
            </w:tcMar>
            <w:vAlign w:val="center"/>
          </w:tcPr>
          <w:p>
            <w:pPr>
              <w:pStyle w:val="37"/>
              <w:spacing w:line="280" w:lineRule="exact"/>
            </w:pPr>
            <w:r>
              <w:rPr>
                <w:rFonts w:hint="eastAsia"/>
              </w:rPr>
              <w:t>1250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szCs w:val="21"/>
              </w:rPr>
              <w:t>西安善村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400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1400</w:t>
            </w:r>
          </w:p>
        </w:tc>
        <w:tc>
          <w:tcPr>
            <w:tcW w:w="813" w:type="pct"/>
            <w:tcMar>
              <w:top w:w="15" w:type="dxa"/>
              <w:left w:w="108" w:type="dxa"/>
              <w:bottom w:w="15" w:type="dxa"/>
              <w:right w:w="108" w:type="dxa"/>
            </w:tcMar>
            <w:vAlign w:val="center"/>
          </w:tcPr>
          <w:p>
            <w:pPr>
              <w:widowControl/>
              <w:jc w:val="center"/>
              <w:rPr>
                <w:szCs w:val="21"/>
              </w:rPr>
            </w:pPr>
            <w:r>
              <w:rPr>
                <w:rFonts w:hint="eastAsia"/>
                <w:szCs w:val="21"/>
              </w:rPr>
              <w:t>居民，718人</w:t>
            </w:r>
          </w:p>
        </w:tc>
        <w:tc>
          <w:tcPr>
            <w:tcW w:w="573" w:type="pct"/>
            <w:tcMar>
              <w:top w:w="15" w:type="dxa"/>
              <w:left w:w="108" w:type="dxa"/>
              <w:bottom w:w="15" w:type="dxa"/>
              <w:right w:w="108" w:type="dxa"/>
            </w:tcMar>
            <w:vAlign w:val="center"/>
          </w:tcPr>
          <w:p>
            <w:pPr>
              <w:spacing w:line="280" w:lineRule="exact"/>
              <w:jc w:val="center"/>
              <w:rPr>
                <w:bCs/>
                <w:szCs w:val="21"/>
              </w:rPr>
            </w:pPr>
            <w:r>
              <w:rPr>
                <w:rFonts w:hint="eastAsia"/>
                <w:szCs w:val="21"/>
              </w:rPr>
              <w:t>NE</w:t>
            </w:r>
          </w:p>
        </w:tc>
        <w:tc>
          <w:tcPr>
            <w:tcW w:w="456" w:type="pct"/>
            <w:tcMar>
              <w:top w:w="15" w:type="dxa"/>
              <w:left w:w="108" w:type="dxa"/>
              <w:bottom w:w="15" w:type="dxa"/>
              <w:right w:w="108" w:type="dxa"/>
            </w:tcMar>
            <w:vAlign w:val="center"/>
          </w:tcPr>
          <w:p>
            <w:pPr>
              <w:pStyle w:val="37"/>
              <w:spacing w:line="280" w:lineRule="exact"/>
              <w:rPr>
                <w:bCs/>
              </w:rPr>
            </w:pPr>
            <w:r>
              <w:rPr>
                <w:rFonts w:hint="eastAsia"/>
              </w:rPr>
              <w:t>1360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平顺县苗庄镇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szCs w:val="21"/>
              </w:rPr>
            </w:pPr>
            <w:r>
              <w:rPr>
                <w:rFonts w:hint="eastAsia"/>
                <w:szCs w:val="21"/>
              </w:rPr>
              <w:t>岭东新村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-700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-1200</w:t>
            </w:r>
          </w:p>
        </w:tc>
        <w:tc>
          <w:tcPr>
            <w:tcW w:w="813" w:type="pct"/>
            <w:tcMar>
              <w:top w:w="15" w:type="dxa"/>
              <w:left w:w="108" w:type="dxa"/>
              <w:bottom w:w="15" w:type="dxa"/>
              <w:right w:w="108" w:type="dxa"/>
            </w:tcMar>
            <w:vAlign w:val="center"/>
          </w:tcPr>
          <w:p>
            <w:pPr>
              <w:widowControl/>
              <w:jc w:val="center"/>
              <w:rPr>
                <w:szCs w:val="21"/>
              </w:rPr>
            </w:pPr>
            <w:r>
              <w:rPr>
                <w:rFonts w:hint="eastAsia"/>
                <w:szCs w:val="21"/>
              </w:rPr>
              <w:t>居民，324人</w:t>
            </w:r>
          </w:p>
        </w:tc>
        <w:tc>
          <w:tcPr>
            <w:tcW w:w="573" w:type="pct"/>
            <w:tcMar>
              <w:top w:w="15" w:type="dxa"/>
              <w:left w:w="108" w:type="dxa"/>
              <w:bottom w:w="15" w:type="dxa"/>
              <w:right w:w="108" w:type="dxa"/>
            </w:tcMar>
            <w:vAlign w:val="center"/>
          </w:tcPr>
          <w:p>
            <w:pPr>
              <w:widowControl/>
              <w:jc w:val="center"/>
              <w:rPr>
                <w:szCs w:val="21"/>
              </w:rPr>
            </w:pPr>
            <w:r>
              <w:rPr>
                <w:rFonts w:hint="eastAsia"/>
                <w:szCs w:val="21"/>
              </w:rPr>
              <w:t>SW</w:t>
            </w:r>
          </w:p>
        </w:tc>
        <w:tc>
          <w:tcPr>
            <w:tcW w:w="456" w:type="pct"/>
            <w:tcMar>
              <w:top w:w="15" w:type="dxa"/>
              <w:left w:w="108" w:type="dxa"/>
              <w:bottom w:w="15" w:type="dxa"/>
              <w:right w:w="108" w:type="dxa"/>
            </w:tcMar>
            <w:vAlign w:val="center"/>
          </w:tcPr>
          <w:p>
            <w:pPr>
              <w:widowControl/>
              <w:jc w:val="center"/>
              <w:rPr>
                <w:szCs w:val="21"/>
              </w:rPr>
            </w:pPr>
            <w:r>
              <w:rPr>
                <w:rFonts w:hint="eastAsia"/>
                <w:szCs w:val="21"/>
              </w:rPr>
              <w:t>1400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rFonts w:hint="eastAsia"/>
                <w:iCs/>
                <w:kern w:val="0"/>
                <w:szCs w:val="21"/>
              </w:rPr>
              <w:t>北皇村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-1000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-1500</w:t>
            </w:r>
          </w:p>
        </w:tc>
        <w:tc>
          <w:tcPr>
            <w:tcW w:w="813" w:type="pct"/>
            <w:tcMar>
              <w:top w:w="15" w:type="dxa"/>
              <w:left w:w="108" w:type="dxa"/>
              <w:bottom w:w="15" w:type="dxa"/>
              <w:right w:w="108" w:type="dxa"/>
            </w:tcMar>
            <w:vAlign w:val="center"/>
          </w:tcPr>
          <w:p>
            <w:pPr>
              <w:jc w:val="center"/>
              <w:rPr>
                <w:szCs w:val="21"/>
              </w:rPr>
            </w:pPr>
            <w:r>
              <w:rPr>
                <w:rFonts w:hint="eastAsia"/>
                <w:szCs w:val="21"/>
              </w:rPr>
              <w:t>居民，2042人</w:t>
            </w:r>
          </w:p>
        </w:tc>
        <w:tc>
          <w:tcPr>
            <w:tcW w:w="573" w:type="pct"/>
            <w:tcMar>
              <w:top w:w="15" w:type="dxa"/>
              <w:left w:w="108" w:type="dxa"/>
              <w:bottom w:w="15" w:type="dxa"/>
              <w:right w:w="108" w:type="dxa"/>
            </w:tcMar>
            <w:vAlign w:val="center"/>
          </w:tcPr>
          <w:p>
            <w:pPr>
              <w:spacing w:line="280" w:lineRule="exact"/>
              <w:jc w:val="center"/>
              <w:rPr>
                <w:szCs w:val="21"/>
              </w:rPr>
            </w:pPr>
            <w:r>
              <w:rPr>
                <w:szCs w:val="21"/>
              </w:rPr>
              <w:t>SW</w:t>
            </w:r>
          </w:p>
        </w:tc>
        <w:tc>
          <w:tcPr>
            <w:tcW w:w="456" w:type="pct"/>
            <w:tcMar>
              <w:top w:w="15" w:type="dxa"/>
              <w:left w:w="108" w:type="dxa"/>
              <w:bottom w:w="15" w:type="dxa"/>
              <w:right w:w="108" w:type="dxa"/>
            </w:tcMar>
            <w:vAlign w:val="center"/>
          </w:tcPr>
          <w:p>
            <w:pPr>
              <w:pStyle w:val="37"/>
              <w:spacing w:line="280" w:lineRule="exact"/>
            </w:pPr>
            <w:r>
              <w:rPr>
                <w:rFonts w:hint="eastAsia"/>
              </w:rPr>
              <w:t>1500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rFonts w:hint="eastAsia"/>
                <w:iCs/>
                <w:kern w:val="0"/>
                <w:szCs w:val="21"/>
              </w:rPr>
              <w:t>桥西村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-1700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0</w:t>
            </w:r>
          </w:p>
        </w:tc>
        <w:tc>
          <w:tcPr>
            <w:tcW w:w="813" w:type="pct"/>
            <w:tcMar>
              <w:top w:w="15" w:type="dxa"/>
              <w:left w:w="108" w:type="dxa"/>
              <w:bottom w:w="15" w:type="dxa"/>
              <w:right w:w="108" w:type="dxa"/>
            </w:tcMar>
            <w:vAlign w:val="center"/>
          </w:tcPr>
          <w:p>
            <w:pPr>
              <w:widowControl/>
              <w:jc w:val="center"/>
              <w:rPr>
                <w:szCs w:val="21"/>
              </w:rPr>
            </w:pPr>
            <w:r>
              <w:rPr>
                <w:rFonts w:hint="eastAsia"/>
                <w:szCs w:val="21"/>
              </w:rPr>
              <w:t>居民，1079人</w:t>
            </w:r>
          </w:p>
        </w:tc>
        <w:tc>
          <w:tcPr>
            <w:tcW w:w="573" w:type="pct"/>
            <w:tcMar>
              <w:top w:w="15" w:type="dxa"/>
              <w:left w:w="108" w:type="dxa"/>
              <w:bottom w:w="15" w:type="dxa"/>
              <w:right w:w="108" w:type="dxa"/>
            </w:tcMar>
            <w:vAlign w:val="center"/>
          </w:tcPr>
          <w:p>
            <w:pPr>
              <w:widowControl/>
              <w:jc w:val="center"/>
              <w:rPr>
                <w:szCs w:val="21"/>
              </w:rPr>
            </w:pPr>
            <w:r>
              <w:rPr>
                <w:rFonts w:hint="eastAsia"/>
                <w:szCs w:val="21"/>
              </w:rPr>
              <w:t>W</w:t>
            </w:r>
          </w:p>
        </w:tc>
        <w:tc>
          <w:tcPr>
            <w:tcW w:w="456" w:type="pct"/>
            <w:tcMar>
              <w:top w:w="15" w:type="dxa"/>
              <w:left w:w="108" w:type="dxa"/>
              <w:bottom w:w="15" w:type="dxa"/>
              <w:right w:w="108" w:type="dxa"/>
            </w:tcMar>
            <w:vAlign w:val="center"/>
          </w:tcPr>
          <w:p>
            <w:pPr>
              <w:jc w:val="center"/>
              <w:rPr>
                <w:rFonts w:asciiTheme="minorEastAsia" w:hAnsiTheme="minorEastAsia" w:eastAsiaTheme="minorEastAsia" w:cstheme="minorEastAsia"/>
                <w:kern w:val="0"/>
                <w:szCs w:val="21"/>
              </w:rPr>
            </w:pPr>
            <w:r>
              <w:rPr>
                <w:rFonts w:hint="eastAsia"/>
                <w:szCs w:val="21"/>
              </w:rPr>
              <w:t>1700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szCs w:val="21"/>
              </w:rPr>
            </w:pPr>
            <w:r>
              <w:rPr>
                <w:rFonts w:hint="eastAsia"/>
                <w:szCs w:val="21"/>
              </w:rPr>
              <w:t>北桥上村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2100</w:t>
            </w:r>
          </w:p>
        </w:tc>
        <w:tc>
          <w:tcPr>
            <w:tcW w:w="813" w:type="pct"/>
            <w:tcMar>
              <w:top w:w="15" w:type="dxa"/>
              <w:left w:w="108" w:type="dxa"/>
              <w:bottom w:w="15" w:type="dxa"/>
              <w:right w:w="108" w:type="dxa"/>
            </w:tcMar>
            <w:vAlign w:val="center"/>
          </w:tcPr>
          <w:p>
            <w:pPr>
              <w:widowControl/>
              <w:jc w:val="center"/>
              <w:rPr>
                <w:szCs w:val="21"/>
              </w:rPr>
            </w:pPr>
            <w:r>
              <w:rPr>
                <w:rFonts w:hint="eastAsia"/>
                <w:szCs w:val="21"/>
              </w:rPr>
              <w:t>居民，820人</w:t>
            </w:r>
          </w:p>
        </w:tc>
        <w:tc>
          <w:tcPr>
            <w:tcW w:w="573" w:type="pct"/>
            <w:tcMar>
              <w:top w:w="15" w:type="dxa"/>
              <w:left w:w="108" w:type="dxa"/>
              <w:bottom w:w="15" w:type="dxa"/>
              <w:right w:w="108" w:type="dxa"/>
            </w:tcMar>
            <w:vAlign w:val="center"/>
          </w:tcPr>
          <w:p>
            <w:pPr>
              <w:widowControl/>
              <w:jc w:val="center"/>
              <w:rPr>
                <w:szCs w:val="21"/>
              </w:rPr>
            </w:pPr>
            <w:r>
              <w:rPr>
                <w:rFonts w:hint="eastAsia"/>
                <w:szCs w:val="21"/>
              </w:rPr>
              <w:t>N</w:t>
            </w:r>
          </w:p>
        </w:tc>
        <w:tc>
          <w:tcPr>
            <w:tcW w:w="456" w:type="pct"/>
            <w:tcMar>
              <w:top w:w="15" w:type="dxa"/>
              <w:left w:w="108" w:type="dxa"/>
              <w:bottom w:w="15" w:type="dxa"/>
              <w:right w:w="108" w:type="dxa"/>
            </w:tcMar>
            <w:vAlign w:val="center"/>
          </w:tcPr>
          <w:p>
            <w:pPr>
              <w:pStyle w:val="37"/>
              <w:spacing w:line="280" w:lineRule="exact"/>
            </w:pPr>
            <w:r>
              <w:rPr>
                <w:rFonts w:hint="eastAsia"/>
              </w:rPr>
              <w:t>2100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szCs w:val="21"/>
              </w:rPr>
            </w:pPr>
            <w:r>
              <w:rPr>
                <w:szCs w:val="21"/>
              </w:rPr>
              <w:t>东安善村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1600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2000</w:t>
            </w:r>
          </w:p>
        </w:tc>
        <w:tc>
          <w:tcPr>
            <w:tcW w:w="813" w:type="pct"/>
            <w:tcMar>
              <w:top w:w="15" w:type="dxa"/>
              <w:left w:w="108" w:type="dxa"/>
              <w:bottom w:w="15" w:type="dxa"/>
              <w:right w:w="108" w:type="dxa"/>
            </w:tcMar>
            <w:vAlign w:val="center"/>
          </w:tcPr>
          <w:p>
            <w:pPr>
              <w:jc w:val="center"/>
              <w:rPr>
                <w:szCs w:val="21"/>
              </w:rPr>
            </w:pPr>
            <w:r>
              <w:rPr>
                <w:szCs w:val="21"/>
              </w:rPr>
              <w:t>居民</w:t>
            </w:r>
            <w:r>
              <w:rPr>
                <w:rFonts w:hint="eastAsia"/>
                <w:szCs w:val="21"/>
              </w:rPr>
              <w:t>，577人</w:t>
            </w:r>
          </w:p>
        </w:tc>
        <w:tc>
          <w:tcPr>
            <w:tcW w:w="573" w:type="pct"/>
            <w:tcMar>
              <w:top w:w="15" w:type="dxa"/>
              <w:left w:w="108" w:type="dxa"/>
              <w:bottom w:w="15" w:type="dxa"/>
              <w:right w:w="108" w:type="dxa"/>
            </w:tcMar>
            <w:vAlign w:val="center"/>
          </w:tcPr>
          <w:p>
            <w:pPr>
              <w:spacing w:line="280" w:lineRule="exact"/>
              <w:jc w:val="center"/>
              <w:rPr>
                <w:szCs w:val="21"/>
              </w:rPr>
            </w:pPr>
            <w:r>
              <w:rPr>
                <w:szCs w:val="21"/>
              </w:rPr>
              <w:t>NE</w:t>
            </w:r>
          </w:p>
        </w:tc>
        <w:tc>
          <w:tcPr>
            <w:tcW w:w="456" w:type="pct"/>
            <w:tcMar>
              <w:top w:w="15" w:type="dxa"/>
              <w:left w:w="108" w:type="dxa"/>
              <w:bottom w:w="15" w:type="dxa"/>
              <w:right w:w="108" w:type="dxa"/>
            </w:tcMar>
            <w:vAlign w:val="center"/>
          </w:tcPr>
          <w:p>
            <w:pPr>
              <w:pStyle w:val="37"/>
              <w:spacing w:line="280" w:lineRule="exact"/>
            </w:pPr>
            <w:r>
              <w:rPr>
                <w:rFonts w:hint="eastAsia"/>
              </w:rPr>
              <w:t>2200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平顺县苗庄镇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szCs w:val="21"/>
              </w:rPr>
              <w:t>国和村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2100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-1400</w:t>
            </w:r>
          </w:p>
        </w:tc>
        <w:tc>
          <w:tcPr>
            <w:tcW w:w="813" w:type="pct"/>
            <w:tcMar>
              <w:top w:w="15" w:type="dxa"/>
              <w:left w:w="108" w:type="dxa"/>
              <w:bottom w:w="15" w:type="dxa"/>
              <w:right w:w="108" w:type="dxa"/>
            </w:tcMar>
            <w:vAlign w:val="center"/>
          </w:tcPr>
          <w:p>
            <w:pPr>
              <w:jc w:val="center"/>
              <w:rPr>
                <w:szCs w:val="21"/>
              </w:rPr>
            </w:pPr>
            <w:r>
              <w:rPr>
                <w:rFonts w:hint="eastAsia"/>
                <w:szCs w:val="21"/>
              </w:rPr>
              <w:t>居民，542人</w:t>
            </w:r>
          </w:p>
        </w:tc>
        <w:tc>
          <w:tcPr>
            <w:tcW w:w="573" w:type="pct"/>
            <w:tcMar>
              <w:top w:w="15" w:type="dxa"/>
              <w:left w:w="108" w:type="dxa"/>
              <w:bottom w:w="15" w:type="dxa"/>
              <w:right w:w="108" w:type="dxa"/>
            </w:tcMar>
            <w:vAlign w:val="center"/>
          </w:tcPr>
          <w:p>
            <w:pPr>
              <w:pStyle w:val="37"/>
              <w:spacing w:line="280" w:lineRule="exact"/>
            </w:pPr>
            <w:r>
              <w:t>SE</w:t>
            </w:r>
          </w:p>
        </w:tc>
        <w:tc>
          <w:tcPr>
            <w:tcW w:w="456" w:type="pct"/>
            <w:tcMar>
              <w:top w:w="15" w:type="dxa"/>
              <w:left w:w="108" w:type="dxa"/>
              <w:bottom w:w="15" w:type="dxa"/>
              <w:right w:w="108" w:type="dxa"/>
            </w:tcMar>
            <w:vAlign w:val="center"/>
          </w:tcPr>
          <w:p>
            <w:pPr>
              <w:pStyle w:val="37"/>
              <w:spacing w:line="280" w:lineRule="exact"/>
            </w:pPr>
            <w:r>
              <w:rPr>
                <w:rFonts w:hint="eastAsia"/>
              </w:rPr>
              <w:t>2400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平顺县青羊镇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color w:val="FF0000"/>
                <w:szCs w:val="21"/>
              </w:rPr>
            </w:pPr>
            <w:r>
              <w:rPr>
                <w:rFonts w:hint="eastAsia"/>
                <w:szCs w:val="21"/>
              </w:rPr>
              <w:t>东旺庄村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-600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2100</w:t>
            </w:r>
          </w:p>
        </w:tc>
        <w:tc>
          <w:tcPr>
            <w:tcW w:w="813" w:type="pct"/>
            <w:tcMar>
              <w:top w:w="15" w:type="dxa"/>
              <w:left w:w="108" w:type="dxa"/>
              <w:bottom w:w="15" w:type="dxa"/>
              <w:right w:w="108" w:type="dxa"/>
            </w:tcMar>
            <w:vAlign w:val="center"/>
          </w:tcPr>
          <w:p>
            <w:pPr>
              <w:jc w:val="center"/>
              <w:rPr>
                <w:szCs w:val="21"/>
              </w:rPr>
            </w:pPr>
            <w:r>
              <w:rPr>
                <w:szCs w:val="21"/>
              </w:rPr>
              <w:t>居民</w:t>
            </w:r>
            <w:r>
              <w:rPr>
                <w:rFonts w:hint="eastAsia"/>
                <w:szCs w:val="21"/>
              </w:rPr>
              <w:t>，848人</w:t>
            </w:r>
          </w:p>
        </w:tc>
        <w:tc>
          <w:tcPr>
            <w:tcW w:w="573" w:type="pct"/>
            <w:tcMar>
              <w:top w:w="15" w:type="dxa"/>
              <w:left w:w="108" w:type="dxa"/>
              <w:bottom w:w="15" w:type="dxa"/>
              <w:right w:w="108" w:type="dxa"/>
            </w:tcMar>
            <w:vAlign w:val="center"/>
          </w:tcPr>
          <w:p>
            <w:pPr>
              <w:spacing w:line="280" w:lineRule="exact"/>
              <w:jc w:val="center"/>
              <w:rPr>
                <w:szCs w:val="21"/>
              </w:rPr>
            </w:pPr>
            <w:r>
              <w:rPr>
                <w:szCs w:val="21"/>
              </w:rPr>
              <w:t>N</w:t>
            </w:r>
            <w:r>
              <w:rPr>
                <w:rFonts w:hint="eastAsia"/>
                <w:szCs w:val="21"/>
              </w:rPr>
              <w:t>W</w:t>
            </w:r>
          </w:p>
        </w:tc>
        <w:tc>
          <w:tcPr>
            <w:tcW w:w="456" w:type="pct"/>
            <w:tcMar>
              <w:top w:w="15" w:type="dxa"/>
              <w:left w:w="108" w:type="dxa"/>
              <w:bottom w:w="15" w:type="dxa"/>
              <w:right w:w="108" w:type="dxa"/>
            </w:tcMar>
            <w:vAlign w:val="center"/>
          </w:tcPr>
          <w:p>
            <w:pPr>
              <w:pStyle w:val="37"/>
              <w:spacing w:line="280" w:lineRule="exact"/>
            </w:pPr>
            <w:r>
              <w:rPr>
                <w:rFonts w:hint="eastAsia"/>
              </w:rPr>
              <w:t>2400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Mar>
              <w:top w:w="15" w:type="dxa"/>
              <w:left w:w="108" w:type="dxa"/>
              <w:bottom w:w="15" w:type="dxa"/>
              <w:right w:w="108" w:type="dxa"/>
            </w:tcMar>
            <w:vAlign w:val="center"/>
          </w:tcPr>
          <w:p>
            <w:pPr>
              <w:widowControl/>
              <w:jc w:val="center"/>
              <w:rPr>
                <w:iCs/>
                <w:color w:val="FF0000"/>
                <w:kern w:val="0"/>
                <w:szCs w:val="21"/>
              </w:rPr>
            </w:pPr>
            <w:r>
              <w:rPr>
                <w:szCs w:val="21"/>
              </w:rPr>
              <w:t>南</w:t>
            </w:r>
            <w:r>
              <w:rPr>
                <w:rFonts w:hint="eastAsia"/>
                <w:szCs w:val="21"/>
              </w:rPr>
              <w:t>凰</w:t>
            </w:r>
            <w:r>
              <w:rPr>
                <w:szCs w:val="21"/>
              </w:rPr>
              <w:t>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-800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-2300</w:t>
            </w:r>
          </w:p>
        </w:tc>
        <w:tc>
          <w:tcPr>
            <w:tcW w:w="813" w:type="pct"/>
            <w:tcMar>
              <w:top w:w="15" w:type="dxa"/>
              <w:left w:w="108" w:type="dxa"/>
              <w:bottom w:w="15" w:type="dxa"/>
              <w:right w:w="108" w:type="dxa"/>
            </w:tcMar>
            <w:vAlign w:val="center"/>
          </w:tcPr>
          <w:p>
            <w:pPr>
              <w:widowControl/>
              <w:jc w:val="center"/>
              <w:rPr>
                <w:szCs w:val="21"/>
              </w:rPr>
            </w:pPr>
            <w:r>
              <w:rPr>
                <w:rFonts w:hint="eastAsia"/>
                <w:szCs w:val="21"/>
              </w:rPr>
              <w:t>居民，1584人</w:t>
            </w:r>
          </w:p>
        </w:tc>
        <w:tc>
          <w:tcPr>
            <w:tcW w:w="573" w:type="pct"/>
            <w:tcMar>
              <w:top w:w="15" w:type="dxa"/>
              <w:left w:w="108" w:type="dxa"/>
              <w:bottom w:w="15" w:type="dxa"/>
              <w:right w:w="108" w:type="dxa"/>
            </w:tcMar>
            <w:vAlign w:val="center"/>
          </w:tcPr>
          <w:p>
            <w:pPr>
              <w:spacing w:line="280" w:lineRule="exact"/>
              <w:jc w:val="center"/>
              <w:rPr>
                <w:szCs w:val="21"/>
              </w:rPr>
            </w:pPr>
            <w:r>
              <w:rPr>
                <w:szCs w:val="21"/>
              </w:rPr>
              <w:t>SW</w:t>
            </w:r>
          </w:p>
        </w:tc>
        <w:tc>
          <w:tcPr>
            <w:tcW w:w="456" w:type="pct"/>
            <w:tcMar>
              <w:top w:w="15" w:type="dxa"/>
              <w:left w:w="108" w:type="dxa"/>
              <w:bottom w:w="15" w:type="dxa"/>
              <w:right w:w="108" w:type="dxa"/>
            </w:tcMar>
            <w:vAlign w:val="center"/>
          </w:tcPr>
          <w:p>
            <w:pPr>
              <w:pStyle w:val="37"/>
              <w:spacing w:line="280" w:lineRule="exact"/>
            </w:pPr>
            <w:r>
              <w:rPr>
                <w:rFonts w:hint="eastAsia"/>
              </w:rPr>
              <w:t>2600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壶关县集店镇</w:t>
            </w:r>
          </w:p>
        </w:tc>
        <w:tc>
          <w:tcPr>
            <w:tcW w:w="663" w:type="pct"/>
            <w:vMerge w:val="continue"/>
            <w:tcMar>
              <w:top w:w="15" w:type="dxa"/>
              <w:left w:w="108" w:type="dxa"/>
              <w:bottom w:w="15" w:type="dxa"/>
              <w:right w:w="108" w:type="dxa"/>
            </w:tcMar>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3" w:type="pct"/>
            <w:tcMar>
              <w:top w:w="15" w:type="dxa"/>
              <w:left w:w="108" w:type="dxa"/>
              <w:bottom w:w="15" w:type="dxa"/>
              <w:right w:w="108" w:type="dxa"/>
            </w:tcMar>
            <w:vAlign w:val="center"/>
          </w:tcPr>
          <w:p>
            <w:pPr>
              <w:widowControl/>
              <w:jc w:val="center"/>
              <w:rPr>
                <w:iCs/>
                <w:kern w:val="0"/>
                <w:szCs w:val="21"/>
              </w:rPr>
            </w:pPr>
            <w:r>
              <w:rPr>
                <w:rFonts w:hint="eastAsia"/>
                <w:iCs/>
                <w:kern w:val="0"/>
                <w:szCs w:val="21"/>
              </w:rPr>
              <w:t>吾乐村</w:t>
            </w:r>
          </w:p>
        </w:tc>
        <w:tc>
          <w:tcPr>
            <w:tcW w:w="535" w:type="pct"/>
            <w:shd w:val="clear" w:color="auto" w:fill="FFFFFF"/>
            <w:tcMar>
              <w:top w:w="15" w:type="dxa"/>
              <w:left w:w="108" w:type="dxa"/>
              <w:bottom w:w="15" w:type="dxa"/>
              <w:right w:w="108" w:type="dxa"/>
            </w:tcMar>
          </w:tcPr>
          <w:p>
            <w:pPr>
              <w:widowControl/>
              <w:jc w:val="center"/>
              <w:rPr>
                <w:szCs w:val="21"/>
              </w:rPr>
            </w:pPr>
            <w:r>
              <w:rPr>
                <w:rFonts w:hint="eastAsia"/>
                <w:szCs w:val="21"/>
              </w:rPr>
              <w:t>2400</w:t>
            </w:r>
          </w:p>
        </w:tc>
        <w:tc>
          <w:tcPr>
            <w:tcW w:w="549" w:type="pct"/>
            <w:shd w:val="clear" w:color="auto" w:fill="FFFFFF"/>
            <w:tcMar>
              <w:top w:w="15" w:type="dxa"/>
              <w:left w:w="108" w:type="dxa"/>
              <w:bottom w:w="15" w:type="dxa"/>
              <w:right w:w="108" w:type="dxa"/>
            </w:tcMar>
          </w:tcPr>
          <w:p>
            <w:pPr>
              <w:widowControl/>
              <w:jc w:val="center"/>
              <w:rPr>
                <w:szCs w:val="21"/>
              </w:rPr>
            </w:pPr>
            <w:r>
              <w:rPr>
                <w:rFonts w:hint="eastAsia"/>
                <w:szCs w:val="21"/>
              </w:rPr>
              <w:t>-2000</w:t>
            </w:r>
          </w:p>
        </w:tc>
        <w:tc>
          <w:tcPr>
            <w:tcW w:w="813" w:type="pct"/>
            <w:tcMar>
              <w:top w:w="15" w:type="dxa"/>
              <w:left w:w="108" w:type="dxa"/>
              <w:bottom w:w="15" w:type="dxa"/>
              <w:right w:w="108" w:type="dxa"/>
            </w:tcMar>
            <w:vAlign w:val="center"/>
          </w:tcPr>
          <w:p>
            <w:pPr>
              <w:jc w:val="center"/>
              <w:rPr>
                <w:szCs w:val="21"/>
              </w:rPr>
            </w:pPr>
            <w:r>
              <w:rPr>
                <w:szCs w:val="21"/>
              </w:rPr>
              <w:t>居民</w:t>
            </w:r>
            <w:r>
              <w:rPr>
                <w:rFonts w:hint="eastAsia"/>
                <w:szCs w:val="21"/>
              </w:rPr>
              <w:t>，1346人</w:t>
            </w:r>
          </w:p>
        </w:tc>
        <w:tc>
          <w:tcPr>
            <w:tcW w:w="573" w:type="pct"/>
            <w:tcMar>
              <w:top w:w="15" w:type="dxa"/>
              <w:left w:w="108" w:type="dxa"/>
              <w:bottom w:w="15" w:type="dxa"/>
              <w:right w:w="108" w:type="dxa"/>
            </w:tcMar>
            <w:vAlign w:val="center"/>
          </w:tcPr>
          <w:p>
            <w:pPr>
              <w:widowControl/>
              <w:jc w:val="center"/>
              <w:rPr>
                <w:szCs w:val="21"/>
              </w:rPr>
            </w:pPr>
            <w:r>
              <w:rPr>
                <w:rFonts w:hint="eastAsia"/>
                <w:szCs w:val="21"/>
              </w:rPr>
              <w:t>SE</w:t>
            </w:r>
          </w:p>
        </w:tc>
        <w:tc>
          <w:tcPr>
            <w:tcW w:w="456" w:type="pct"/>
            <w:tcMar>
              <w:top w:w="15" w:type="dxa"/>
              <w:left w:w="108" w:type="dxa"/>
              <w:bottom w:w="15" w:type="dxa"/>
              <w:right w:w="108" w:type="dxa"/>
            </w:tcMar>
            <w:vAlign w:val="center"/>
          </w:tcPr>
          <w:p>
            <w:pPr>
              <w:widowControl/>
              <w:jc w:val="center"/>
              <w:rPr>
                <w:szCs w:val="21"/>
              </w:rPr>
            </w:pPr>
            <w:r>
              <w:rPr>
                <w:rFonts w:hint="eastAsia"/>
                <w:szCs w:val="21"/>
              </w:rPr>
              <w:t>2800</w:t>
            </w:r>
          </w:p>
        </w:tc>
        <w:tc>
          <w:tcPr>
            <w:tcW w:w="828" w:type="pct"/>
            <w:tcMar>
              <w:top w:w="15" w:type="dxa"/>
              <w:left w:w="108" w:type="dxa"/>
              <w:bottom w:w="15" w:type="dxa"/>
              <w:right w:w="108" w:type="dxa"/>
            </w:tcMar>
            <w:vAlign w:val="center"/>
          </w:tcPr>
          <w:p>
            <w:pPr>
              <w:widowControl/>
              <w:jc w:val="center"/>
              <w:rPr>
                <w:szCs w:val="21"/>
              </w:rPr>
            </w:pPr>
            <w:r>
              <w:rPr>
                <w:rFonts w:hint="eastAsia"/>
                <w:szCs w:val="21"/>
              </w:rPr>
              <w:t>平顺县青羊镇</w:t>
            </w:r>
          </w:p>
        </w:tc>
        <w:tc>
          <w:tcPr>
            <w:tcW w:w="663" w:type="pct"/>
            <w:vMerge w:val="continue"/>
            <w:tcMar>
              <w:top w:w="15" w:type="dxa"/>
              <w:left w:w="108" w:type="dxa"/>
              <w:bottom w:w="15" w:type="dxa"/>
              <w:right w:w="108" w:type="dxa"/>
            </w:tcMar>
            <w:vAlign w:val="center"/>
          </w:tcPr>
          <w:p>
            <w:pPr>
              <w:widowControl/>
              <w:jc w:val="center"/>
              <w:rPr>
                <w:szCs w:val="21"/>
              </w:rPr>
            </w:pPr>
          </w:p>
        </w:tc>
      </w:tr>
    </w:tbl>
    <w:p>
      <w:pPr>
        <w:pStyle w:val="73"/>
        <w:ind w:firstLine="482"/>
        <w:rPr>
          <w:rFonts w:ascii="Times New Roman" w:eastAsia="宋体"/>
          <w:b/>
          <w:sz w:val="24"/>
          <w:szCs w:val="24"/>
        </w:rPr>
      </w:pPr>
    </w:p>
    <w:p>
      <w:pPr>
        <w:pStyle w:val="73"/>
        <w:ind w:firstLine="482"/>
        <w:rPr>
          <w:rFonts w:ascii="Times New Roman" w:eastAsia="宋体"/>
          <w:b/>
          <w:sz w:val="24"/>
          <w:szCs w:val="24"/>
        </w:rPr>
      </w:pPr>
    </w:p>
    <w:p>
      <w:pPr>
        <w:pStyle w:val="73"/>
        <w:ind w:firstLine="482"/>
        <w:rPr>
          <w:rStyle w:val="74"/>
          <w:rFonts w:ascii="Times New Roman" w:hAnsi="Times New Roman"/>
          <w:b/>
          <w:snapToGrid/>
          <w:sz w:val="24"/>
          <w:szCs w:val="24"/>
        </w:rPr>
      </w:pPr>
      <w:r>
        <w:rPr>
          <w:rFonts w:ascii="Times New Roman" w:eastAsia="宋体"/>
          <w:b/>
          <w:sz w:val="24"/>
          <w:szCs w:val="24"/>
        </w:rPr>
        <w:t>表</w:t>
      </w:r>
      <w:r>
        <w:rPr>
          <w:rFonts w:hint="eastAsia" w:ascii="Times New Roman" w:eastAsia="宋体"/>
          <w:b/>
          <w:sz w:val="24"/>
          <w:szCs w:val="24"/>
        </w:rPr>
        <w:t>2.7</w:t>
      </w:r>
      <w:r>
        <w:rPr>
          <w:rFonts w:ascii="Times New Roman" w:eastAsia="宋体"/>
          <w:b/>
          <w:sz w:val="24"/>
          <w:szCs w:val="24"/>
        </w:rPr>
        <w:t>-</w:t>
      </w:r>
      <w:r>
        <w:rPr>
          <w:rFonts w:hint="eastAsia" w:ascii="Times New Roman" w:eastAsia="宋体"/>
          <w:b/>
          <w:sz w:val="24"/>
          <w:szCs w:val="24"/>
        </w:rPr>
        <w:t>2项目其他</w:t>
      </w:r>
      <w:r>
        <w:rPr>
          <w:rFonts w:ascii="Times New Roman" w:eastAsia="宋体"/>
          <w:b/>
          <w:sz w:val="24"/>
          <w:szCs w:val="24"/>
        </w:rPr>
        <w:t>环境敏感保护目标一览表</w:t>
      </w:r>
    </w:p>
    <w:tbl>
      <w:tblPr>
        <w:tblStyle w:val="29"/>
        <w:tblW w:w="55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7"/>
        <w:gridCol w:w="526"/>
        <w:gridCol w:w="1031"/>
        <w:gridCol w:w="1851"/>
        <w:gridCol w:w="867"/>
        <w:gridCol w:w="1157"/>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16" w:type="pct"/>
            <w:vMerge w:val="restart"/>
            <w:vAlign w:val="center"/>
          </w:tcPr>
          <w:p>
            <w:pPr>
              <w:autoSpaceDE w:val="0"/>
              <w:autoSpaceDN w:val="0"/>
              <w:jc w:val="center"/>
              <w:rPr>
                <w:kern w:val="0"/>
                <w:szCs w:val="21"/>
              </w:rPr>
            </w:pPr>
            <w:r>
              <w:rPr>
                <w:rFonts w:hint="eastAsia"/>
                <w:kern w:val="0"/>
                <w:szCs w:val="21"/>
              </w:rPr>
              <w:t>环境要素</w:t>
            </w:r>
          </w:p>
        </w:tc>
        <w:tc>
          <w:tcPr>
            <w:tcW w:w="844" w:type="pct"/>
            <w:gridSpan w:val="2"/>
            <w:vMerge w:val="restart"/>
            <w:vAlign w:val="center"/>
          </w:tcPr>
          <w:p>
            <w:pPr>
              <w:autoSpaceDE w:val="0"/>
              <w:autoSpaceDN w:val="0"/>
              <w:jc w:val="center"/>
              <w:rPr>
                <w:kern w:val="0"/>
                <w:szCs w:val="21"/>
              </w:rPr>
            </w:pPr>
            <w:r>
              <w:rPr>
                <w:kern w:val="0"/>
                <w:szCs w:val="21"/>
              </w:rPr>
              <w:t>环境</w:t>
            </w:r>
          </w:p>
          <w:p>
            <w:pPr>
              <w:autoSpaceDE w:val="0"/>
              <w:autoSpaceDN w:val="0"/>
              <w:jc w:val="center"/>
              <w:rPr>
                <w:kern w:val="0"/>
                <w:szCs w:val="21"/>
              </w:rPr>
            </w:pPr>
            <w:r>
              <w:rPr>
                <w:kern w:val="0"/>
                <w:szCs w:val="21"/>
              </w:rPr>
              <w:t>敏感点</w:t>
            </w:r>
          </w:p>
        </w:tc>
        <w:tc>
          <w:tcPr>
            <w:tcW w:w="1003" w:type="pct"/>
            <w:vMerge w:val="restart"/>
            <w:vAlign w:val="center"/>
          </w:tcPr>
          <w:p>
            <w:pPr>
              <w:autoSpaceDE w:val="0"/>
              <w:autoSpaceDN w:val="0"/>
              <w:jc w:val="center"/>
              <w:rPr>
                <w:kern w:val="0"/>
                <w:szCs w:val="21"/>
              </w:rPr>
            </w:pPr>
            <w:r>
              <w:rPr>
                <w:rFonts w:hint="eastAsia"/>
                <w:kern w:val="0"/>
                <w:szCs w:val="21"/>
              </w:rPr>
              <w:t>类型</w:t>
            </w:r>
          </w:p>
        </w:tc>
        <w:tc>
          <w:tcPr>
            <w:tcW w:w="1096" w:type="pct"/>
            <w:gridSpan w:val="2"/>
            <w:vAlign w:val="center"/>
          </w:tcPr>
          <w:p>
            <w:pPr>
              <w:autoSpaceDE w:val="0"/>
              <w:autoSpaceDN w:val="0"/>
              <w:jc w:val="center"/>
              <w:rPr>
                <w:kern w:val="0"/>
                <w:szCs w:val="21"/>
              </w:rPr>
            </w:pPr>
            <w:r>
              <w:rPr>
                <w:kern w:val="0"/>
                <w:szCs w:val="21"/>
              </w:rPr>
              <w:t>与</w:t>
            </w:r>
            <w:r>
              <w:rPr>
                <w:rFonts w:hint="eastAsia"/>
                <w:kern w:val="0"/>
                <w:szCs w:val="21"/>
              </w:rPr>
              <w:t>本项目</w:t>
            </w:r>
            <w:r>
              <w:rPr>
                <w:kern w:val="0"/>
                <w:szCs w:val="21"/>
              </w:rPr>
              <w:t>的相对位置</w:t>
            </w:r>
          </w:p>
        </w:tc>
        <w:tc>
          <w:tcPr>
            <w:tcW w:w="1441" w:type="pct"/>
            <w:vMerge w:val="restart"/>
            <w:vAlign w:val="center"/>
          </w:tcPr>
          <w:p>
            <w:pPr>
              <w:autoSpaceDE w:val="0"/>
              <w:autoSpaceDN w:val="0"/>
              <w:jc w:val="center"/>
              <w:rPr>
                <w:kern w:val="0"/>
                <w:szCs w:val="21"/>
              </w:rPr>
            </w:pPr>
            <w:r>
              <w:rPr>
                <w:rFonts w:hint="eastAsia"/>
                <w:kern w:val="0"/>
                <w:szCs w:val="21"/>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16" w:type="pct"/>
            <w:vMerge w:val="continue"/>
            <w:vAlign w:val="center"/>
          </w:tcPr>
          <w:p>
            <w:pPr>
              <w:autoSpaceDE w:val="0"/>
              <w:autoSpaceDN w:val="0"/>
              <w:jc w:val="center"/>
              <w:rPr>
                <w:kern w:val="0"/>
                <w:szCs w:val="21"/>
              </w:rPr>
            </w:pPr>
          </w:p>
        </w:tc>
        <w:tc>
          <w:tcPr>
            <w:tcW w:w="844" w:type="pct"/>
            <w:gridSpan w:val="2"/>
            <w:vMerge w:val="continue"/>
            <w:vAlign w:val="center"/>
          </w:tcPr>
          <w:p>
            <w:pPr>
              <w:autoSpaceDE w:val="0"/>
              <w:autoSpaceDN w:val="0"/>
              <w:jc w:val="center"/>
              <w:rPr>
                <w:kern w:val="0"/>
                <w:szCs w:val="21"/>
              </w:rPr>
            </w:pPr>
          </w:p>
        </w:tc>
        <w:tc>
          <w:tcPr>
            <w:tcW w:w="1003" w:type="pct"/>
            <w:vMerge w:val="continue"/>
            <w:vAlign w:val="center"/>
          </w:tcPr>
          <w:p>
            <w:pPr>
              <w:autoSpaceDE w:val="0"/>
              <w:autoSpaceDN w:val="0"/>
              <w:jc w:val="center"/>
              <w:rPr>
                <w:kern w:val="0"/>
                <w:szCs w:val="21"/>
              </w:rPr>
            </w:pPr>
          </w:p>
        </w:tc>
        <w:tc>
          <w:tcPr>
            <w:tcW w:w="470" w:type="pct"/>
            <w:vAlign w:val="center"/>
          </w:tcPr>
          <w:p>
            <w:pPr>
              <w:autoSpaceDE w:val="0"/>
              <w:autoSpaceDN w:val="0"/>
              <w:jc w:val="center"/>
              <w:rPr>
                <w:kern w:val="0"/>
                <w:szCs w:val="21"/>
              </w:rPr>
            </w:pPr>
            <w:r>
              <w:rPr>
                <w:kern w:val="0"/>
                <w:szCs w:val="21"/>
              </w:rPr>
              <w:t>方位</w:t>
            </w:r>
          </w:p>
        </w:tc>
        <w:tc>
          <w:tcPr>
            <w:tcW w:w="627" w:type="pct"/>
            <w:vAlign w:val="center"/>
          </w:tcPr>
          <w:p>
            <w:pPr>
              <w:autoSpaceDE w:val="0"/>
              <w:autoSpaceDN w:val="0"/>
              <w:jc w:val="center"/>
              <w:rPr>
                <w:kern w:val="0"/>
                <w:szCs w:val="21"/>
              </w:rPr>
            </w:pPr>
            <w:r>
              <w:rPr>
                <w:kern w:val="0"/>
                <w:szCs w:val="21"/>
              </w:rPr>
              <w:t>距离（m）</w:t>
            </w:r>
          </w:p>
        </w:tc>
        <w:tc>
          <w:tcPr>
            <w:tcW w:w="1441" w:type="pct"/>
            <w:vMerge w:val="continue"/>
            <w:vAlign w:val="center"/>
          </w:tcPr>
          <w:p>
            <w:pPr>
              <w:autoSpaceDE w:val="0"/>
              <w:autoSpaceDN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16" w:type="pct"/>
            <w:vAlign w:val="center"/>
          </w:tcPr>
          <w:p>
            <w:pPr>
              <w:autoSpaceDE w:val="0"/>
              <w:autoSpaceDN w:val="0"/>
              <w:jc w:val="center"/>
              <w:rPr>
                <w:kern w:val="0"/>
                <w:szCs w:val="21"/>
              </w:rPr>
            </w:pPr>
            <w:r>
              <w:rPr>
                <w:rFonts w:hint="eastAsia"/>
                <w:kern w:val="0"/>
                <w:szCs w:val="21"/>
              </w:rPr>
              <w:t>生态环境</w:t>
            </w:r>
          </w:p>
        </w:tc>
        <w:tc>
          <w:tcPr>
            <w:tcW w:w="2944" w:type="pct"/>
            <w:gridSpan w:val="5"/>
            <w:vAlign w:val="center"/>
          </w:tcPr>
          <w:p>
            <w:pPr>
              <w:autoSpaceDE w:val="0"/>
              <w:autoSpaceDN w:val="0"/>
              <w:jc w:val="center"/>
              <w:rPr>
                <w:kern w:val="0"/>
                <w:szCs w:val="21"/>
              </w:rPr>
            </w:pPr>
            <w:r>
              <w:rPr>
                <w:rFonts w:hint="eastAsia"/>
                <w:szCs w:val="22"/>
              </w:rPr>
              <w:t>厂外</w:t>
            </w:r>
            <w:r>
              <w:rPr>
                <w:szCs w:val="22"/>
              </w:rPr>
              <w:t>55</w:t>
            </w:r>
            <w:r>
              <w:rPr>
                <w:rFonts w:hint="eastAsia"/>
                <w:szCs w:val="22"/>
              </w:rPr>
              <w:t>0m进场道路两侧及项目厂区周围生态环境</w:t>
            </w:r>
          </w:p>
        </w:tc>
        <w:tc>
          <w:tcPr>
            <w:tcW w:w="1441" w:type="pct"/>
            <w:vAlign w:val="center"/>
          </w:tcPr>
          <w:p>
            <w:pPr>
              <w:autoSpaceDE w:val="0"/>
              <w:autoSpaceDN w:val="0"/>
              <w:jc w:val="center"/>
              <w:rPr>
                <w:kern w:val="0"/>
                <w:szCs w:val="21"/>
              </w:rPr>
            </w:pPr>
            <w:r>
              <w:rPr>
                <w:rFonts w:hint="eastAsia"/>
                <w:kern w:val="0"/>
                <w:szCs w:val="21"/>
              </w:rPr>
              <w:t>生态环境不被破坏，不致恶化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1" w:hRule="atLeast"/>
          <w:jc w:val="center"/>
        </w:trPr>
        <w:tc>
          <w:tcPr>
            <w:tcW w:w="616" w:type="pct"/>
            <w:vAlign w:val="center"/>
          </w:tcPr>
          <w:p>
            <w:pPr>
              <w:autoSpaceDE w:val="0"/>
              <w:autoSpaceDN w:val="0"/>
              <w:jc w:val="center"/>
              <w:rPr>
                <w:kern w:val="0"/>
                <w:szCs w:val="21"/>
              </w:rPr>
            </w:pPr>
            <w:r>
              <w:rPr>
                <w:rFonts w:hint="eastAsia"/>
                <w:kern w:val="0"/>
                <w:szCs w:val="21"/>
              </w:rPr>
              <w:t>地表水</w:t>
            </w:r>
          </w:p>
        </w:tc>
        <w:tc>
          <w:tcPr>
            <w:tcW w:w="844" w:type="pct"/>
            <w:gridSpan w:val="2"/>
            <w:vAlign w:val="center"/>
          </w:tcPr>
          <w:p>
            <w:pPr>
              <w:widowControl/>
              <w:jc w:val="center"/>
              <w:rPr>
                <w:szCs w:val="22"/>
              </w:rPr>
            </w:pPr>
            <w:r>
              <w:rPr>
                <w:rFonts w:hint="eastAsia"/>
                <w:bCs/>
                <w:szCs w:val="21"/>
              </w:rPr>
              <w:t>南大河</w:t>
            </w:r>
          </w:p>
        </w:tc>
        <w:tc>
          <w:tcPr>
            <w:tcW w:w="1003" w:type="pct"/>
            <w:vAlign w:val="center"/>
          </w:tcPr>
          <w:p>
            <w:pPr>
              <w:widowControl/>
              <w:jc w:val="center"/>
              <w:rPr>
                <w:szCs w:val="22"/>
              </w:rPr>
            </w:pPr>
            <w:r>
              <w:rPr>
                <w:rFonts w:hint="eastAsia"/>
                <w:szCs w:val="22"/>
              </w:rPr>
              <w:t>浊漳南源一级支流平顺河支流，已干涸多年</w:t>
            </w:r>
          </w:p>
        </w:tc>
        <w:tc>
          <w:tcPr>
            <w:tcW w:w="470" w:type="pct"/>
            <w:vAlign w:val="center"/>
          </w:tcPr>
          <w:p>
            <w:pPr>
              <w:spacing w:line="280" w:lineRule="exact"/>
              <w:jc w:val="center"/>
              <w:rPr>
                <w:bCs/>
                <w:szCs w:val="21"/>
              </w:rPr>
            </w:pPr>
            <w:r>
              <w:rPr>
                <w:rFonts w:hint="eastAsia"/>
                <w:bCs/>
                <w:szCs w:val="21"/>
              </w:rPr>
              <w:t>E</w:t>
            </w:r>
          </w:p>
        </w:tc>
        <w:tc>
          <w:tcPr>
            <w:tcW w:w="627" w:type="pct"/>
            <w:vAlign w:val="center"/>
          </w:tcPr>
          <w:p>
            <w:pPr>
              <w:spacing w:line="280" w:lineRule="exact"/>
              <w:jc w:val="center"/>
              <w:rPr>
                <w:bCs/>
                <w:szCs w:val="21"/>
              </w:rPr>
            </w:pPr>
            <w:r>
              <w:rPr>
                <w:rFonts w:hint="eastAsia"/>
                <w:bCs/>
                <w:szCs w:val="21"/>
              </w:rPr>
              <w:t>20</w:t>
            </w:r>
          </w:p>
        </w:tc>
        <w:tc>
          <w:tcPr>
            <w:tcW w:w="1441" w:type="pct"/>
            <w:vAlign w:val="center"/>
          </w:tcPr>
          <w:p>
            <w:pPr>
              <w:autoSpaceDE w:val="0"/>
              <w:autoSpaceDN w:val="0"/>
              <w:jc w:val="center"/>
              <w:rPr>
                <w:kern w:val="0"/>
                <w:szCs w:val="21"/>
              </w:rPr>
            </w:pPr>
            <w:r>
              <w:rPr>
                <w:bCs/>
                <w:szCs w:val="21"/>
              </w:rPr>
              <w:t>《地表水环境质量标准》（GB3838-2002）中</w:t>
            </w:r>
            <w:r>
              <w:rPr>
                <w:bCs/>
                <w:szCs w:val="21"/>
              </w:rPr>
              <w:fldChar w:fldCharType="begin"/>
            </w:r>
            <w:r>
              <w:rPr>
                <w:bCs/>
                <w:szCs w:val="21"/>
              </w:rPr>
              <w:instrText xml:space="preserve"> </w:instrText>
            </w:r>
            <w:r>
              <w:rPr>
                <w:rFonts w:hint="eastAsia"/>
                <w:bCs/>
                <w:szCs w:val="21"/>
              </w:rPr>
              <w:instrText xml:space="preserve">= 3 \* ROMAN</w:instrText>
            </w:r>
            <w:r>
              <w:rPr>
                <w:bCs/>
                <w:szCs w:val="21"/>
              </w:rPr>
              <w:instrText xml:space="preserve"> </w:instrText>
            </w:r>
            <w:r>
              <w:rPr>
                <w:bCs/>
                <w:szCs w:val="21"/>
              </w:rPr>
              <w:fldChar w:fldCharType="separate"/>
            </w:r>
            <w:r>
              <w:rPr>
                <w:bCs/>
                <w:szCs w:val="21"/>
              </w:rPr>
              <w:t>III</w:t>
            </w:r>
            <w:r>
              <w:rPr>
                <w:bCs/>
                <w:szCs w:val="21"/>
              </w:rPr>
              <w:fldChar w:fldCharType="end"/>
            </w:r>
            <w:r>
              <w:rPr>
                <w:bCs/>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616" w:type="pct"/>
            <w:vAlign w:val="center"/>
          </w:tcPr>
          <w:p>
            <w:pPr>
              <w:autoSpaceDE w:val="0"/>
              <w:autoSpaceDN w:val="0"/>
              <w:jc w:val="center"/>
              <w:rPr>
                <w:kern w:val="0"/>
                <w:szCs w:val="21"/>
              </w:rPr>
            </w:pPr>
            <w:r>
              <w:rPr>
                <w:rFonts w:hint="eastAsia"/>
                <w:kern w:val="0"/>
                <w:szCs w:val="21"/>
              </w:rPr>
              <w:t>地下水</w:t>
            </w:r>
          </w:p>
        </w:tc>
        <w:tc>
          <w:tcPr>
            <w:tcW w:w="2944" w:type="pct"/>
            <w:gridSpan w:val="5"/>
            <w:vAlign w:val="center"/>
          </w:tcPr>
          <w:p>
            <w:pPr>
              <w:spacing w:line="280" w:lineRule="exact"/>
              <w:jc w:val="center"/>
              <w:rPr>
                <w:bCs/>
                <w:szCs w:val="21"/>
              </w:rPr>
            </w:pPr>
            <w:r>
              <w:rPr>
                <w:rFonts w:hint="eastAsia"/>
                <w:szCs w:val="21"/>
              </w:rPr>
              <w:t>奥陶系及第四系等具有供水意义的含水层</w:t>
            </w:r>
          </w:p>
        </w:tc>
        <w:tc>
          <w:tcPr>
            <w:tcW w:w="1441" w:type="pct"/>
            <w:vAlign w:val="center"/>
          </w:tcPr>
          <w:p>
            <w:pPr>
              <w:spacing w:line="280" w:lineRule="exact"/>
              <w:ind w:left="-113" w:leftChars="-54" w:right="-86" w:rightChars="-41" w:firstLine="2"/>
              <w:jc w:val="center"/>
              <w:rPr>
                <w:szCs w:val="21"/>
              </w:rPr>
            </w:pPr>
            <w:r>
              <w:rPr>
                <w:szCs w:val="21"/>
              </w:rPr>
              <w:t>《地下水质量标准》（GB/T14848-2017</w:t>
            </w:r>
            <w:r>
              <w:rPr>
                <w:rFonts w:hint="eastAsia"/>
                <w:szCs w:val="21"/>
              </w:rPr>
              <w:t>）</w:t>
            </w:r>
            <w:r>
              <w:rPr>
                <w:szCs w:val="21"/>
              </w:rPr>
              <w:t>）Ⅲ类</w:t>
            </w:r>
          </w:p>
          <w:p>
            <w:pPr>
              <w:spacing w:line="280" w:lineRule="exact"/>
              <w:ind w:left="-113" w:leftChars="-54" w:right="-86" w:rightChars="-41" w:firstLine="2"/>
              <w:jc w:val="center"/>
              <w:rPr>
                <w:bCs/>
                <w:szCs w:val="21"/>
              </w:rPr>
            </w:pPr>
            <w:r>
              <w:rPr>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restart"/>
            <w:vAlign w:val="center"/>
          </w:tcPr>
          <w:p>
            <w:pPr>
              <w:autoSpaceDE w:val="0"/>
              <w:autoSpaceDN w:val="0"/>
              <w:jc w:val="center"/>
              <w:rPr>
                <w:kern w:val="0"/>
                <w:szCs w:val="21"/>
              </w:rPr>
            </w:pPr>
            <w:r>
              <w:rPr>
                <w:rFonts w:hint="eastAsia"/>
                <w:kern w:val="0"/>
                <w:szCs w:val="21"/>
              </w:rPr>
              <w:t>声环境</w:t>
            </w:r>
          </w:p>
          <w:p>
            <w:pPr>
              <w:autoSpaceDE w:val="0"/>
              <w:autoSpaceDN w:val="0"/>
              <w:jc w:val="center"/>
              <w:rPr>
                <w:kern w:val="0"/>
                <w:szCs w:val="21"/>
              </w:rPr>
            </w:pPr>
          </w:p>
        </w:tc>
        <w:tc>
          <w:tcPr>
            <w:tcW w:w="2944" w:type="pct"/>
            <w:gridSpan w:val="5"/>
            <w:vAlign w:val="center"/>
          </w:tcPr>
          <w:p>
            <w:pPr>
              <w:spacing w:line="280" w:lineRule="exact"/>
              <w:jc w:val="center"/>
              <w:rPr>
                <w:szCs w:val="21"/>
              </w:rPr>
            </w:pPr>
            <w:r>
              <w:rPr>
                <w:rFonts w:hint="eastAsia"/>
                <w:szCs w:val="21"/>
              </w:rPr>
              <w:t>本项目场</w:t>
            </w:r>
            <w:r>
              <w:rPr>
                <w:szCs w:val="21"/>
              </w:rPr>
              <w:t>界周围200米范围</w:t>
            </w:r>
            <w:r>
              <w:rPr>
                <w:rFonts w:hint="eastAsia"/>
                <w:szCs w:val="21"/>
              </w:rPr>
              <w:t>内</w:t>
            </w:r>
            <w:r>
              <w:rPr>
                <w:szCs w:val="21"/>
              </w:rPr>
              <w:t>无村庄</w:t>
            </w:r>
            <w:r>
              <w:rPr>
                <w:rFonts w:hint="eastAsia"/>
                <w:szCs w:val="21"/>
              </w:rPr>
              <w:t>等敏感点</w:t>
            </w:r>
          </w:p>
        </w:tc>
        <w:tc>
          <w:tcPr>
            <w:tcW w:w="1441" w:type="pct"/>
            <w:vAlign w:val="center"/>
          </w:tcPr>
          <w:p>
            <w:pPr>
              <w:spacing w:line="280" w:lineRule="exact"/>
              <w:ind w:left="-113" w:leftChars="-54" w:right="-86" w:rightChars="-41" w:firstLine="2"/>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vAlign w:val="center"/>
          </w:tcPr>
          <w:p>
            <w:pPr>
              <w:autoSpaceDE w:val="0"/>
              <w:autoSpaceDN w:val="0"/>
              <w:jc w:val="center"/>
              <w:rPr>
                <w:kern w:val="0"/>
                <w:szCs w:val="21"/>
              </w:rPr>
            </w:pPr>
          </w:p>
        </w:tc>
        <w:tc>
          <w:tcPr>
            <w:tcW w:w="285" w:type="pct"/>
            <w:vMerge w:val="restart"/>
            <w:vAlign w:val="center"/>
          </w:tcPr>
          <w:p>
            <w:pPr>
              <w:widowControl/>
              <w:jc w:val="center"/>
              <w:rPr>
                <w:szCs w:val="22"/>
              </w:rPr>
            </w:pPr>
            <w:r>
              <w:rPr>
                <w:rFonts w:hint="eastAsia"/>
                <w:szCs w:val="22"/>
              </w:rPr>
              <w:t>运输道路</w:t>
            </w:r>
          </w:p>
        </w:tc>
        <w:tc>
          <w:tcPr>
            <w:tcW w:w="559" w:type="pct"/>
            <w:vAlign w:val="center"/>
          </w:tcPr>
          <w:p>
            <w:pPr>
              <w:widowControl/>
              <w:jc w:val="center"/>
              <w:rPr>
                <w:szCs w:val="22"/>
              </w:rPr>
            </w:pPr>
            <w:r>
              <w:rPr>
                <w:rFonts w:hint="eastAsia"/>
                <w:szCs w:val="22"/>
              </w:rPr>
              <w:t>辛村村</w:t>
            </w:r>
          </w:p>
        </w:tc>
        <w:tc>
          <w:tcPr>
            <w:tcW w:w="1003" w:type="pct"/>
            <w:vAlign w:val="center"/>
          </w:tcPr>
          <w:p>
            <w:pPr>
              <w:widowControl/>
              <w:jc w:val="center"/>
              <w:rPr>
                <w:szCs w:val="22"/>
              </w:rPr>
            </w:pPr>
            <w:r>
              <w:rPr>
                <w:rFonts w:hint="eastAsia"/>
                <w:szCs w:val="22"/>
              </w:rPr>
              <w:t>村庄</w:t>
            </w:r>
          </w:p>
        </w:tc>
        <w:tc>
          <w:tcPr>
            <w:tcW w:w="470" w:type="pct"/>
            <w:vAlign w:val="center"/>
          </w:tcPr>
          <w:p>
            <w:pPr>
              <w:widowControl/>
              <w:jc w:val="center"/>
              <w:rPr>
                <w:szCs w:val="22"/>
              </w:rPr>
            </w:pPr>
            <w:r>
              <w:rPr>
                <w:rFonts w:hint="eastAsia"/>
                <w:szCs w:val="22"/>
              </w:rPr>
              <w:t>NW</w:t>
            </w:r>
          </w:p>
        </w:tc>
        <w:tc>
          <w:tcPr>
            <w:tcW w:w="627" w:type="pct"/>
            <w:vAlign w:val="center"/>
          </w:tcPr>
          <w:p>
            <w:pPr>
              <w:widowControl/>
              <w:jc w:val="center"/>
              <w:rPr>
                <w:szCs w:val="22"/>
              </w:rPr>
            </w:pPr>
            <w:r>
              <w:rPr>
                <w:rFonts w:hint="eastAsia"/>
                <w:szCs w:val="22"/>
              </w:rPr>
              <w:t>10</w:t>
            </w:r>
          </w:p>
        </w:tc>
        <w:tc>
          <w:tcPr>
            <w:tcW w:w="1441" w:type="pct"/>
            <w:vMerge w:val="restart"/>
            <w:vAlign w:val="center"/>
          </w:tcPr>
          <w:p>
            <w:pPr>
              <w:autoSpaceDE w:val="0"/>
              <w:autoSpaceDN w:val="0"/>
              <w:jc w:val="center"/>
              <w:rPr>
                <w:kern w:val="0"/>
                <w:szCs w:val="21"/>
              </w:rPr>
            </w:pPr>
            <w:r>
              <w:rPr>
                <w:rFonts w:hint="eastAsia"/>
                <w:kern w:val="0"/>
                <w:szCs w:val="21"/>
              </w:rPr>
              <w:t>敏感目标不受垃圾运输车辆噪声的影响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vAlign w:val="center"/>
          </w:tcPr>
          <w:p>
            <w:pPr>
              <w:autoSpaceDE w:val="0"/>
              <w:autoSpaceDN w:val="0"/>
              <w:jc w:val="center"/>
              <w:rPr>
                <w:kern w:val="0"/>
                <w:szCs w:val="21"/>
              </w:rPr>
            </w:pPr>
          </w:p>
        </w:tc>
        <w:tc>
          <w:tcPr>
            <w:tcW w:w="285" w:type="pct"/>
            <w:vMerge w:val="continue"/>
            <w:vAlign w:val="center"/>
          </w:tcPr>
          <w:p>
            <w:pPr>
              <w:widowControl/>
              <w:jc w:val="center"/>
              <w:rPr>
                <w:szCs w:val="22"/>
              </w:rPr>
            </w:pPr>
          </w:p>
        </w:tc>
        <w:tc>
          <w:tcPr>
            <w:tcW w:w="559" w:type="pct"/>
            <w:vAlign w:val="center"/>
          </w:tcPr>
          <w:p>
            <w:pPr>
              <w:widowControl/>
              <w:jc w:val="center"/>
              <w:rPr>
                <w:szCs w:val="22"/>
              </w:rPr>
            </w:pPr>
            <w:r>
              <w:rPr>
                <w:rFonts w:hint="eastAsia"/>
                <w:szCs w:val="22"/>
              </w:rPr>
              <w:t>北皇村</w:t>
            </w:r>
          </w:p>
        </w:tc>
        <w:tc>
          <w:tcPr>
            <w:tcW w:w="1003" w:type="pct"/>
            <w:vAlign w:val="center"/>
          </w:tcPr>
          <w:p>
            <w:pPr>
              <w:widowControl/>
              <w:jc w:val="center"/>
              <w:rPr>
                <w:szCs w:val="22"/>
              </w:rPr>
            </w:pPr>
            <w:r>
              <w:rPr>
                <w:rFonts w:hint="eastAsia"/>
                <w:szCs w:val="22"/>
              </w:rPr>
              <w:t>村庄</w:t>
            </w:r>
          </w:p>
        </w:tc>
        <w:tc>
          <w:tcPr>
            <w:tcW w:w="470" w:type="pct"/>
            <w:vAlign w:val="center"/>
          </w:tcPr>
          <w:p>
            <w:pPr>
              <w:widowControl/>
              <w:jc w:val="center"/>
              <w:rPr>
                <w:szCs w:val="22"/>
              </w:rPr>
            </w:pPr>
            <w:r>
              <w:rPr>
                <w:rFonts w:hint="eastAsia"/>
                <w:szCs w:val="22"/>
              </w:rPr>
              <w:t>SE</w:t>
            </w:r>
          </w:p>
        </w:tc>
        <w:tc>
          <w:tcPr>
            <w:tcW w:w="627" w:type="pct"/>
            <w:vAlign w:val="center"/>
          </w:tcPr>
          <w:p>
            <w:pPr>
              <w:widowControl/>
              <w:jc w:val="center"/>
              <w:rPr>
                <w:szCs w:val="22"/>
              </w:rPr>
            </w:pPr>
            <w:r>
              <w:rPr>
                <w:rFonts w:hint="eastAsia"/>
                <w:szCs w:val="22"/>
              </w:rPr>
              <w:t>10</w:t>
            </w:r>
          </w:p>
        </w:tc>
        <w:tc>
          <w:tcPr>
            <w:tcW w:w="1441" w:type="pct"/>
            <w:vMerge w:val="continue"/>
            <w:vAlign w:val="center"/>
          </w:tcPr>
          <w:p>
            <w:pPr>
              <w:autoSpaceDE w:val="0"/>
              <w:autoSpaceDN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616" w:type="pct"/>
            <w:vAlign w:val="center"/>
          </w:tcPr>
          <w:p>
            <w:pPr>
              <w:autoSpaceDE w:val="0"/>
              <w:autoSpaceDN w:val="0"/>
              <w:jc w:val="center"/>
              <w:rPr>
                <w:kern w:val="0"/>
                <w:szCs w:val="21"/>
              </w:rPr>
            </w:pPr>
            <w:r>
              <w:rPr>
                <w:rFonts w:hint="eastAsia"/>
                <w:kern w:val="0"/>
                <w:szCs w:val="21"/>
              </w:rPr>
              <w:t>生态环境</w:t>
            </w:r>
          </w:p>
        </w:tc>
        <w:tc>
          <w:tcPr>
            <w:tcW w:w="2944" w:type="pct"/>
            <w:gridSpan w:val="5"/>
            <w:vAlign w:val="center"/>
          </w:tcPr>
          <w:p>
            <w:pPr>
              <w:widowControl/>
              <w:jc w:val="center"/>
              <w:rPr>
                <w:szCs w:val="22"/>
              </w:rPr>
            </w:pPr>
            <w:r>
              <w:rPr>
                <w:bCs/>
                <w:szCs w:val="21"/>
              </w:rPr>
              <w:t>场地及周边的农田、植被、水土流失、自然景观等</w:t>
            </w:r>
          </w:p>
        </w:tc>
        <w:tc>
          <w:tcPr>
            <w:tcW w:w="1441" w:type="pct"/>
            <w:vAlign w:val="center"/>
          </w:tcPr>
          <w:p>
            <w:pPr>
              <w:spacing w:line="280" w:lineRule="exact"/>
              <w:jc w:val="center"/>
              <w:rPr>
                <w:bCs/>
                <w:szCs w:val="21"/>
              </w:rPr>
            </w:pPr>
            <w:r>
              <w:rPr>
                <w:bCs/>
                <w:spacing w:val="-10"/>
                <w:szCs w:val="21"/>
              </w:rPr>
              <w:t>将生态影响降至最低，维持区域生态系统稳定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Align w:val="center"/>
          </w:tcPr>
          <w:p>
            <w:pPr>
              <w:autoSpaceDE w:val="0"/>
              <w:autoSpaceDN w:val="0"/>
              <w:jc w:val="center"/>
              <w:rPr>
                <w:kern w:val="0"/>
                <w:szCs w:val="21"/>
              </w:rPr>
            </w:pPr>
            <w:r>
              <w:rPr>
                <w:rFonts w:hint="eastAsia"/>
                <w:kern w:val="0"/>
                <w:szCs w:val="21"/>
              </w:rPr>
              <w:t>土壤环境</w:t>
            </w:r>
          </w:p>
        </w:tc>
        <w:tc>
          <w:tcPr>
            <w:tcW w:w="2944" w:type="pct"/>
            <w:gridSpan w:val="5"/>
            <w:vAlign w:val="center"/>
          </w:tcPr>
          <w:p>
            <w:pPr>
              <w:widowControl/>
              <w:jc w:val="center"/>
              <w:rPr>
                <w:szCs w:val="22"/>
              </w:rPr>
            </w:pPr>
            <w:r>
              <w:rPr>
                <w:rFonts w:hint="eastAsia"/>
                <w:szCs w:val="22"/>
              </w:rPr>
              <w:t>场地周边的农用地</w:t>
            </w:r>
          </w:p>
        </w:tc>
        <w:tc>
          <w:tcPr>
            <w:tcW w:w="1441" w:type="pct"/>
            <w:vAlign w:val="center"/>
          </w:tcPr>
          <w:p>
            <w:pPr>
              <w:autoSpaceDE w:val="0"/>
              <w:autoSpaceDN w:val="0"/>
              <w:jc w:val="center"/>
              <w:rPr>
                <w:kern w:val="0"/>
                <w:szCs w:val="21"/>
              </w:rPr>
            </w:pPr>
            <w:r>
              <w:rPr>
                <w:rFonts w:hint="eastAsia"/>
                <w:kern w:val="0"/>
                <w:szCs w:val="21"/>
              </w:rPr>
              <w:t>《土壤环境质量农用地土壤污染风险管控标准（试行）》（GB15618-2018）筛选值</w:t>
            </w:r>
          </w:p>
        </w:tc>
      </w:tr>
    </w:tbl>
    <w:p>
      <w:pPr>
        <w:pStyle w:val="4"/>
        <w:spacing w:after="260"/>
        <w:jc w:val="center"/>
      </w:pPr>
      <w:bookmarkStart w:id="99" w:name="_Toc364787139"/>
      <w:bookmarkStart w:id="100" w:name="_Toc1121766441"/>
      <w:bookmarkStart w:id="101" w:name="_Toc21968"/>
      <w:bookmarkStart w:id="102" w:name="_Toc413076032"/>
      <w:bookmarkStart w:id="103" w:name="_Toc364787150"/>
      <w:r>
        <w:t>3</w:t>
      </w:r>
      <w:bookmarkEnd w:id="99"/>
      <w:r>
        <w:rPr>
          <w:rFonts w:hint="eastAsia"/>
        </w:rPr>
        <w:t xml:space="preserve"> </w:t>
      </w:r>
      <w:r>
        <w:t>项目概况与工程分析</w:t>
      </w:r>
      <w:bookmarkEnd w:id="100"/>
      <w:bookmarkEnd w:id="101"/>
    </w:p>
    <w:p>
      <w:pPr>
        <w:pStyle w:val="5"/>
        <w:spacing w:beforeLines="0" w:after="120" w:line="500" w:lineRule="exact"/>
        <w:rPr>
          <w:rFonts w:eastAsia="宋体"/>
          <w:b/>
          <w:bCs w:val="0"/>
          <w:color w:val="auto"/>
          <w:szCs w:val="30"/>
          <w:lang w:val="zh-CN"/>
        </w:rPr>
      </w:pPr>
      <w:bookmarkStart w:id="104" w:name="_Toc715599763"/>
      <w:r>
        <w:rPr>
          <w:rFonts w:eastAsia="宋体"/>
          <w:b/>
          <w:bCs w:val="0"/>
          <w:color w:val="auto"/>
          <w:szCs w:val="30"/>
        </w:rPr>
        <w:t>3</w:t>
      </w:r>
      <w:r>
        <w:rPr>
          <w:rFonts w:eastAsia="宋体"/>
          <w:b/>
          <w:bCs w:val="0"/>
          <w:color w:val="auto"/>
          <w:szCs w:val="30"/>
          <w:lang w:val="zh-CN"/>
        </w:rPr>
        <w:t>.</w:t>
      </w:r>
      <w:r>
        <w:rPr>
          <w:rFonts w:hint="eastAsia" w:eastAsia="宋体"/>
          <w:b/>
          <w:bCs w:val="0"/>
          <w:color w:val="auto"/>
          <w:szCs w:val="30"/>
        </w:rPr>
        <w:t>1</w:t>
      </w:r>
      <w:r>
        <w:rPr>
          <w:rFonts w:hint="eastAsia" w:eastAsia="宋体"/>
          <w:b/>
          <w:bCs w:val="0"/>
          <w:color w:val="auto"/>
          <w:szCs w:val="30"/>
          <w:lang w:val="zh-CN"/>
        </w:rPr>
        <w:t>壶关县第一垃圾填埋场基本情况</w:t>
      </w:r>
      <w:bookmarkEnd w:id="104"/>
    </w:p>
    <w:p>
      <w:pPr>
        <w:pStyle w:val="6"/>
        <w:spacing w:line="480" w:lineRule="exact"/>
      </w:pPr>
      <w:r>
        <w:rPr>
          <w:rFonts w:hint="eastAsia"/>
        </w:rPr>
        <w:t>3</w:t>
      </w:r>
      <w:r>
        <w:t>.</w:t>
      </w:r>
      <w:r>
        <w:rPr>
          <w:rFonts w:hint="eastAsia"/>
        </w:rPr>
        <w:t>1</w:t>
      </w:r>
      <w:r>
        <w:t>.1</w:t>
      </w:r>
      <w:r>
        <w:rPr>
          <w:rFonts w:hint="eastAsia"/>
        </w:rPr>
        <w:t>基本情况</w:t>
      </w:r>
    </w:p>
    <w:p>
      <w:pPr>
        <w:spacing w:line="500" w:lineRule="exact"/>
        <w:ind w:firstLine="482"/>
        <w:rPr>
          <w:sz w:val="24"/>
        </w:rPr>
      </w:pPr>
      <w:r>
        <w:rPr>
          <w:rFonts w:hint="eastAsia"/>
          <w:sz w:val="24"/>
        </w:rPr>
        <w:t>壶关县第一垃圾填埋场（宋堡生活垃圾填埋场）位于县城西南方向4.3km、龙泉镇宋堡村东北处，日处理垃圾量125t/d，为平原式填埋场，主要建设内容包括填埋库区、防渗工程、渗滤液调节池、填埋场管理区、储运工程、公用工程等，工程总投资估算3753.83.万元，总占地11.78万m</w:t>
      </w:r>
      <w:r>
        <w:rPr>
          <w:rFonts w:hint="eastAsia"/>
          <w:sz w:val="24"/>
          <w:vertAlign w:val="superscript"/>
        </w:rPr>
        <w:t>3</w:t>
      </w:r>
      <w:r>
        <w:rPr>
          <w:rFonts w:hint="eastAsia"/>
          <w:sz w:val="24"/>
        </w:rPr>
        <w:t>。</w:t>
      </w:r>
    </w:p>
    <w:p>
      <w:pPr>
        <w:spacing w:line="500" w:lineRule="exact"/>
        <w:ind w:firstLine="482"/>
        <w:rPr>
          <w:sz w:val="24"/>
        </w:rPr>
      </w:pPr>
      <w:r>
        <w:rPr>
          <w:sz w:val="24"/>
        </w:rPr>
        <w:t>2010年</w:t>
      </w:r>
      <w:r>
        <w:rPr>
          <w:rFonts w:hint="eastAsia"/>
          <w:sz w:val="24"/>
        </w:rPr>
        <w:t>，</w:t>
      </w:r>
      <w:r>
        <w:rPr>
          <w:sz w:val="24"/>
        </w:rPr>
        <w:t>壶关县住房和城乡建设管理局委托山西省环境科学研究院编制了《壶关县县城生活垃圾处理工程环境影响报告书》（即壶关县第一垃圾填埋场工程）</w:t>
      </w:r>
      <w:r>
        <w:rPr>
          <w:rFonts w:hint="eastAsia"/>
          <w:sz w:val="24"/>
        </w:rPr>
        <w:t>，</w:t>
      </w:r>
      <w:r>
        <w:rPr>
          <w:sz w:val="24"/>
        </w:rPr>
        <w:t>2010年4月14日，山西省环境保护厅以晋环函【2010】273号文对</w:t>
      </w:r>
      <w:r>
        <w:rPr>
          <w:rFonts w:hint="eastAsia"/>
          <w:sz w:val="24"/>
        </w:rPr>
        <w:t>上述</w:t>
      </w:r>
      <w:r>
        <w:rPr>
          <w:sz w:val="24"/>
        </w:rPr>
        <w:t>项目进行了批复</w:t>
      </w:r>
      <w:r>
        <w:rPr>
          <w:rFonts w:hint="eastAsia"/>
          <w:sz w:val="24"/>
        </w:rPr>
        <w:t>。</w:t>
      </w:r>
    </w:p>
    <w:p>
      <w:pPr>
        <w:pStyle w:val="2"/>
        <w:spacing w:line="500" w:lineRule="exact"/>
        <w:ind w:firstLine="482"/>
        <w:rPr>
          <w:rFonts w:ascii="Times New Roman" w:hAnsi="Times New Roman" w:cs="Times New Roman"/>
        </w:rPr>
      </w:pPr>
      <w:r>
        <w:rPr>
          <w:rFonts w:ascii="Times New Roman" w:hAnsi="Times New Roman" w:cs="Times New Roman"/>
        </w:rPr>
        <w:t>项目填埋区位于场内西侧，包括南、北两个分区，设计分两期进行建设，其中一期工程为填埋区北侧，库容40万m</w:t>
      </w:r>
      <w:r>
        <w:rPr>
          <w:rFonts w:ascii="Times New Roman" w:hAnsi="Times New Roman" w:cs="Times New Roman"/>
          <w:vertAlign w:val="superscript"/>
        </w:rPr>
        <w:t>3</w:t>
      </w:r>
      <w:r>
        <w:rPr>
          <w:rFonts w:ascii="Times New Roman" w:hAnsi="Times New Roman" w:cs="Times New Roman"/>
        </w:rPr>
        <w:t>，已于201</w:t>
      </w:r>
      <w:r>
        <w:rPr>
          <w:rFonts w:hint="eastAsia" w:ascii="Times New Roman" w:hAnsi="Times New Roman" w:cs="Times New Roman"/>
        </w:rPr>
        <w:t>7</w:t>
      </w:r>
      <w:r>
        <w:rPr>
          <w:rFonts w:ascii="Times New Roman" w:hAnsi="Times New Roman" w:cs="Times New Roman"/>
        </w:rPr>
        <w:t>年建成投运；二期工程位于填埋区南侧，设计库容60万m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未</w:t>
      </w:r>
      <w:r>
        <w:rPr>
          <w:rFonts w:ascii="Times New Roman" w:hAnsi="Times New Roman" w:cs="Times New Roman"/>
        </w:rPr>
        <w:t>在原址实施建设。</w:t>
      </w:r>
    </w:p>
    <w:p>
      <w:pPr>
        <w:spacing w:line="500" w:lineRule="exact"/>
        <w:ind w:firstLine="480"/>
        <w:jc w:val="center"/>
        <w:rPr>
          <w:b/>
          <w:kern w:val="0"/>
          <w:sz w:val="24"/>
        </w:rPr>
      </w:pPr>
      <w:r>
        <w:rPr>
          <w:b/>
          <w:spacing w:val="4"/>
          <w:sz w:val="24"/>
        </w:rPr>
        <w:t>表3.</w:t>
      </w:r>
      <w:r>
        <w:rPr>
          <w:rFonts w:hint="eastAsia"/>
          <w:b/>
          <w:spacing w:val="4"/>
          <w:sz w:val="24"/>
        </w:rPr>
        <w:t>1</w:t>
      </w:r>
      <w:r>
        <w:rPr>
          <w:b/>
          <w:spacing w:val="4"/>
          <w:sz w:val="24"/>
        </w:rPr>
        <w:t>-1 壶关县第一垃圾填埋场</w:t>
      </w:r>
      <w:r>
        <w:rPr>
          <w:rFonts w:hint="eastAsia"/>
          <w:b/>
          <w:spacing w:val="4"/>
          <w:sz w:val="24"/>
        </w:rPr>
        <w:t>工程主要</w:t>
      </w:r>
      <w:r>
        <w:rPr>
          <w:b/>
          <w:spacing w:val="4"/>
          <w:sz w:val="24"/>
        </w:rPr>
        <w:t>建设内容</w:t>
      </w:r>
      <w:r>
        <w:rPr>
          <w:b/>
          <w:kern w:val="0"/>
          <w:sz w:val="24"/>
        </w:rPr>
        <w:t>表</w:t>
      </w:r>
    </w:p>
    <w:tbl>
      <w:tblPr>
        <w:tblStyle w:val="29"/>
        <w:tblW w:w="505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77"/>
        <w:gridCol w:w="1152"/>
        <w:gridCol w:w="67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393" w:type="pct"/>
            <w:tcBorders>
              <w:tl2br w:val="nil"/>
              <w:tr2bl w:val="nil"/>
            </w:tcBorders>
            <w:vAlign w:val="center"/>
          </w:tcPr>
          <w:p>
            <w:pPr>
              <w:autoSpaceDE w:val="0"/>
              <w:autoSpaceDN w:val="0"/>
              <w:adjustRightInd w:val="0"/>
              <w:spacing w:line="250" w:lineRule="exact"/>
              <w:jc w:val="left"/>
              <w:rPr>
                <w:bCs/>
                <w:szCs w:val="21"/>
              </w:rPr>
            </w:pPr>
            <w:r>
              <w:rPr>
                <w:rFonts w:hint="eastAsia"/>
                <w:bCs/>
                <w:szCs w:val="21"/>
              </w:rPr>
              <w:t>序号</w:t>
            </w:r>
          </w:p>
        </w:tc>
        <w:tc>
          <w:tcPr>
            <w:tcW w:w="669" w:type="pct"/>
            <w:tcBorders>
              <w:tl2br w:val="nil"/>
              <w:tr2bl w:val="nil"/>
            </w:tcBorders>
            <w:vAlign w:val="center"/>
          </w:tcPr>
          <w:p>
            <w:pPr>
              <w:autoSpaceDE w:val="0"/>
              <w:autoSpaceDN w:val="0"/>
              <w:adjustRightInd w:val="0"/>
              <w:spacing w:line="250" w:lineRule="exact"/>
              <w:jc w:val="center"/>
              <w:rPr>
                <w:bCs/>
                <w:szCs w:val="21"/>
              </w:rPr>
            </w:pPr>
            <w:r>
              <w:rPr>
                <w:rFonts w:hint="eastAsia"/>
                <w:bCs/>
                <w:szCs w:val="21"/>
              </w:rPr>
              <w:t>工程名称</w:t>
            </w:r>
          </w:p>
        </w:tc>
        <w:tc>
          <w:tcPr>
            <w:tcW w:w="3938" w:type="pct"/>
            <w:tcBorders>
              <w:tl2br w:val="nil"/>
              <w:tr2bl w:val="nil"/>
            </w:tcBorders>
            <w:vAlign w:val="center"/>
          </w:tcPr>
          <w:p>
            <w:pPr>
              <w:autoSpaceDE w:val="0"/>
              <w:autoSpaceDN w:val="0"/>
              <w:adjustRightInd w:val="0"/>
              <w:spacing w:line="250" w:lineRule="exact"/>
              <w:jc w:val="center"/>
              <w:rPr>
                <w:bCs/>
                <w:szCs w:val="21"/>
              </w:rPr>
            </w:pPr>
            <w:r>
              <w:rPr>
                <w:rFonts w:hint="eastAsia"/>
                <w:bCs/>
                <w:szCs w:val="21"/>
              </w:rPr>
              <w:t>建设</w:t>
            </w:r>
            <w:r>
              <w:rPr>
                <w:bCs/>
                <w:szCs w:val="21"/>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6" w:hRule="atLeast"/>
          <w:jc w:val="center"/>
        </w:trPr>
        <w:tc>
          <w:tcPr>
            <w:tcW w:w="393" w:type="pct"/>
            <w:tcBorders>
              <w:tl2br w:val="nil"/>
              <w:tr2bl w:val="nil"/>
            </w:tcBorders>
            <w:vAlign w:val="center"/>
          </w:tcPr>
          <w:p>
            <w:pPr>
              <w:pStyle w:val="10"/>
              <w:spacing w:line="250" w:lineRule="exact"/>
              <w:ind w:firstLine="0" w:firstLineChars="0"/>
              <w:jc w:val="center"/>
            </w:pPr>
            <w:r>
              <w:rPr>
                <w:rFonts w:hint="eastAsia"/>
              </w:rPr>
              <w:t>1</w:t>
            </w:r>
          </w:p>
        </w:tc>
        <w:tc>
          <w:tcPr>
            <w:tcW w:w="669" w:type="pct"/>
            <w:tcBorders>
              <w:tl2br w:val="nil"/>
              <w:tr2bl w:val="nil"/>
            </w:tcBorders>
            <w:vAlign w:val="center"/>
          </w:tcPr>
          <w:p>
            <w:pPr>
              <w:pStyle w:val="10"/>
              <w:spacing w:line="250" w:lineRule="exact"/>
              <w:ind w:firstLine="0" w:firstLineChars="0"/>
              <w:jc w:val="center"/>
            </w:pPr>
            <w:r>
              <w:rPr>
                <w:rFonts w:hint="eastAsia"/>
              </w:rPr>
              <w:t>填埋库区（仅一期）</w:t>
            </w:r>
          </w:p>
        </w:tc>
        <w:tc>
          <w:tcPr>
            <w:tcW w:w="3938" w:type="pct"/>
            <w:tcBorders>
              <w:tl2br w:val="nil"/>
              <w:tr2bl w:val="nil"/>
            </w:tcBorders>
            <w:vAlign w:val="center"/>
          </w:tcPr>
          <w:p>
            <w:pPr>
              <w:pStyle w:val="80"/>
              <w:numPr>
                <w:ilvl w:val="0"/>
                <w:numId w:val="1"/>
              </w:numPr>
              <w:spacing w:line="250" w:lineRule="exact"/>
              <w:ind w:firstLineChars="0"/>
              <w:jc w:val="left"/>
              <w:rPr>
                <w:color w:val="000000" w:themeColor="text1"/>
                <w:szCs w:val="21"/>
                <w14:textFill>
                  <w14:solidFill>
                    <w14:schemeClr w14:val="tx1"/>
                  </w14:solidFill>
                </w14:textFill>
              </w:rPr>
            </w:pPr>
            <w:r>
              <w:rPr>
                <w:rFonts w:hint="eastAsia"/>
                <w:bCs/>
                <w:szCs w:val="21"/>
              </w:rPr>
              <w:t>防渗系统：</w:t>
            </w:r>
            <w:r>
              <w:rPr>
                <w:rFonts w:hint="eastAsia"/>
                <w:color w:val="000000" w:themeColor="text1"/>
                <w:szCs w:val="21"/>
                <w14:textFill>
                  <w14:solidFill>
                    <w14:schemeClr w14:val="tx1"/>
                  </w14:solidFill>
                </w14:textFill>
              </w:rPr>
              <w:t>底部和边坡均进行“300mm厚压实粘土+5000g/m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GCL</w:t>
            </w:r>
          </w:p>
          <w:p>
            <w:pPr>
              <w:spacing w:line="250" w:lineRule="exact"/>
              <w:jc w:val="left"/>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+2.0mmHDPE土工膜+600g/m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土工布+碎砾石保护层”复合防渗。</w:t>
            </w:r>
          </w:p>
          <w:p>
            <w:pPr>
              <w:spacing w:line="250" w:lineRule="exact"/>
              <w:jc w:val="left"/>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2、渗滤液导排系统：</w:t>
            </w:r>
            <w:r>
              <w:rPr>
                <w:rFonts w:hint="eastAsia"/>
                <w:color w:val="000000" w:themeColor="text1"/>
                <w:szCs w:val="21"/>
                <w14:textFill>
                  <w14:solidFill>
                    <w14:schemeClr w14:val="tx1"/>
                  </w14:solidFill>
                </w14:textFill>
              </w:rPr>
              <w:t>包括碎砾石</w:t>
            </w:r>
            <w:r>
              <w:rPr>
                <w:color w:val="000000" w:themeColor="text1"/>
                <w:szCs w:val="21"/>
                <w14:textFill>
                  <w14:solidFill>
                    <w14:schemeClr w14:val="tx1"/>
                  </w14:solidFill>
                </w14:textFill>
              </w:rPr>
              <w:t>导流层、</w:t>
            </w:r>
            <w:r>
              <w:rPr>
                <w:rFonts w:hint="eastAsia"/>
                <w:color w:val="000000" w:themeColor="text1"/>
                <w:szCs w:val="21"/>
                <w14:textFill>
                  <w14:solidFill>
                    <w14:schemeClr w14:val="tx1"/>
                  </w14:solidFill>
                </w14:textFill>
              </w:rPr>
              <w:t>主支</w:t>
            </w:r>
            <w:r>
              <w:rPr>
                <w:color w:val="000000" w:themeColor="text1"/>
                <w:szCs w:val="21"/>
                <w14:textFill>
                  <w14:solidFill>
                    <w14:schemeClr w14:val="tx1"/>
                  </w14:solidFill>
                </w14:textFill>
              </w:rPr>
              <w:t>导排盲沟</w:t>
            </w:r>
            <w:r>
              <w:rPr>
                <w:rFonts w:hint="eastAsia"/>
                <w:color w:val="000000" w:themeColor="text1"/>
                <w:szCs w:val="21"/>
                <w14:textFill>
                  <w14:solidFill>
                    <w14:schemeClr w14:val="tx1"/>
                  </w14:solidFill>
                </w14:textFill>
              </w:rPr>
              <w:t>及HDPE穿孔导流管等。</w:t>
            </w:r>
          </w:p>
          <w:p>
            <w:pPr>
              <w:spacing w:line="250" w:lineRule="exact"/>
              <w:jc w:val="left"/>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3、填埋气导排系统：</w:t>
            </w:r>
            <w:r>
              <w:rPr>
                <w:rFonts w:hint="eastAsia"/>
                <w:color w:val="000000" w:themeColor="text1"/>
                <w:szCs w:val="21"/>
                <w14:textFill>
                  <w14:solidFill>
                    <w14:schemeClr w14:val="tx1"/>
                  </w14:solidFill>
                </w14:textFill>
              </w:rPr>
              <w:t>填埋区内共设导气石笼井15座，其中东侧（作业较早）的6座导气井已配套水平导气管。</w:t>
            </w:r>
          </w:p>
          <w:p>
            <w:pPr>
              <w:spacing w:line="250" w:lineRule="exact"/>
              <w:jc w:val="left"/>
              <w:rPr>
                <w:szCs w:val="21"/>
              </w:rPr>
            </w:pPr>
            <w:r>
              <w:rPr>
                <w:rFonts w:hint="eastAsia"/>
                <w:bCs/>
                <w:szCs w:val="21"/>
              </w:rPr>
              <w:t>4、围合坝：填埋区四周设围合坝，</w:t>
            </w:r>
            <w:r>
              <w:rPr>
                <w:szCs w:val="21"/>
              </w:rPr>
              <w:t>坝体</w:t>
            </w:r>
            <w:r>
              <w:rPr>
                <w:rFonts w:hint="eastAsia"/>
                <w:szCs w:val="21"/>
              </w:rPr>
              <w:t>为</w:t>
            </w:r>
            <w:r>
              <w:rPr>
                <w:szCs w:val="21"/>
              </w:rPr>
              <w:t>均质碾压土坝</w:t>
            </w:r>
            <w:r>
              <w:rPr>
                <w:rFonts w:hint="eastAsia"/>
                <w:szCs w:val="21"/>
              </w:rPr>
              <w:t>，长度共约730m。</w:t>
            </w:r>
          </w:p>
          <w:p>
            <w:pPr>
              <w:pStyle w:val="10"/>
              <w:spacing w:line="250" w:lineRule="exact"/>
              <w:ind w:firstLine="0" w:firstLineChars="0"/>
              <w:jc w:val="left"/>
            </w:pPr>
            <w:r>
              <w:rPr>
                <w:rFonts w:hint="eastAsia"/>
                <w:bCs/>
                <w:szCs w:val="21"/>
              </w:rPr>
              <w:t>5、防飞散网：</w:t>
            </w:r>
            <w:r>
              <w:rPr>
                <w:rFonts w:hint="eastAsia"/>
                <w:szCs w:val="21"/>
              </w:rPr>
              <w:t>围合坝坝顶外侧设防飞散网，铁丝围网结构。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6" w:hRule="atLeast"/>
          <w:jc w:val="center"/>
        </w:trPr>
        <w:tc>
          <w:tcPr>
            <w:tcW w:w="393" w:type="pct"/>
            <w:tcBorders>
              <w:tl2br w:val="nil"/>
              <w:tr2bl w:val="nil"/>
            </w:tcBorders>
            <w:vAlign w:val="center"/>
          </w:tcPr>
          <w:p>
            <w:pPr>
              <w:pStyle w:val="10"/>
              <w:spacing w:line="250" w:lineRule="exact"/>
              <w:ind w:firstLine="0" w:firstLineChars="0"/>
              <w:jc w:val="center"/>
            </w:pPr>
            <w:r>
              <w:rPr>
                <w:rFonts w:hint="eastAsia"/>
              </w:rPr>
              <w:t>2</w:t>
            </w:r>
          </w:p>
        </w:tc>
        <w:tc>
          <w:tcPr>
            <w:tcW w:w="669" w:type="pct"/>
            <w:tcBorders>
              <w:tl2br w:val="nil"/>
              <w:tr2bl w:val="nil"/>
            </w:tcBorders>
            <w:vAlign w:val="center"/>
          </w:tcPr>
          <w:p>
            <w:pPr>
              <w:pStyle w:val="10"/>
              <w:spacing w:line="250" w:lineRule="exact"/>
              <w:ind w:firstLine="0" w:firstLineChars="0"/>
              <w:jc w:val="center"/>
            </w:pPr>
            <w:r>
              <w:rPr>
                <w:rFonts w:hint="eastAsia"/>
              </w:rPr>
              <w:t>渗滤液调节池</w:t>
            </w:r>
          </w:p>
        </w:tc>
        <w:tc>
          <w:tcPr>
            <w:tcW w:w="3938" w:type="pct"/>
            <w:tcBorders>
              <w:tl2br w:val="nil"/>
              <w:tr2bl w:val="nil"/>
            </w:tcBorders>
            <w:vAlign w:val="center"/>
          </w:tcPr>
          <w:p>
            <w:pPr>
              <w:spacing w:line="250" w:lineRule="exact"/>
              <w:jc w:val="left"/>
              <w:rPr>
                <w:bCs/>
                <w:szCs w:val="21"/>
              </w:rPr>
            </w:pPr>
            <w:r>
              <w:rPr>
                <w:rFonts w:hint="eastAsia"/>
                <w:bCs/>
                <w:szCs w:val="21"/>
              </w:rPr>
              <w:t>1、渗滤液提升井：</w:t>
            </w:r>
            <w:r>
              <w:rPr>
                <w:rFonts w:hint="eastAsia"/>
                <w:szCs w:val="21"/>
              </w:rPr>
              <w:t>一期填埋区北侧设有1座渗滤液提升井，库区渗滤液经该提升井后被泵至收集池。</w:t>
            </w:r>
          </w:p>
          <w:p>
            <w:pPr>
              <w:pStyle w:val="10"/>
              <w:spacing w:line="250" w:lineRule="exact"/>
              <w:ind w:firstLine="0" w:firstLineChars="0"/>
              <w:jc w:val="left"/>
              <w:rPr>
                <w:szCs w:val="21"/>
              </w:rPr>
            </w:pPr>
            <w:r>
              <w:rPr>
                <w:rFonts w:hint="eastAsia"/>
                <w:bCs/>
                <w:szCs w:val="21"/>
              </w:rPr>
              <w:t>2、渗滤液收集池：填埋区</w:t>
            </w:r>
            <w:r>
              <w:rPr>
                <w:rFonts w:hint="eastAsia"/>
                <w:szCs w:val="21"/>
              </w:rPr>
              <w:t>东侧设有1座3200m</w:t>
            </w:r>
            <w:r>
              <w:rPr>
                <w:rFonts w:hint="eastAsia"/>
                <w:szCs w:val="21"/>
                <w:vertAlign w:val="superscript"/>
              </w:rPr>
              <w:t>3</w:t>
            </w:r>
            <w:r>
              <w:rPr>
                <w:rFonts w:hint="eastAsia"/>
                <w:szCs w:val="21"/>
              </w:rPr>
              <w:t>渗滤液收集池，收集池底部和边坡均进行“50mm干铺混凝土保护层+600g/m</w:t>
            </w:r>
            <w:r>
              <w:rPr>
                <w:rFonts w:hint="eastAsia"/>
                <w:szCs w:val="21"/>
                <w:vertAlign w:val="superscript"/>
              </w:rPr>
              <w:t>2</w:t>
            </w:r>
            <w:r>
              <w:rPr>
                <w:rFonts w:hint="eastAsia"/>
                <w:szCs w:val="21"/>
              </w:rPr>
              <w:t>土工布+2.0mm</w:t>
            </w:r>
          </w:p>
          <w:p>
            <w:pPr>
              <w:pStyle w:val="10"/>
              <w:spacing w:line="250" w:lineRule="exact"/>
              <w:ind w:firstLine="0" w:firstLineChars="0"/>
              <w:jc w:val="left"/>
            </w:pPr>
            <w:r>
              <w:rPr>
                <w:rFonts w:hint="eastAsia"/>
                <w:szCs w:val="21"/>
              </w:rPr>
              <w:t>HDPE土工膜+5000g/m</w:t>
            </w:r>
            <w:r>
              <w:rPr>
                <w:rFonts w:hint="eastAsia"/>
                <w:szCs w:val="21"/>
                <w:vertAlign w:val="superscript"/>
              </w:rPr>
              <w:t>2</w:t>
            </w:r>
            <w:r>
              <w:rPr>
                <w:rFonts w:hint="eastAsia"/>
                <w:szCs w:val="21"/>
              </w:rPr>
              <w:t>GCL”复合防渗。垃圾渗滤液经收集进入调节池后，最后再回喷至垃圾堆场。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6" w:hRule="atLeast"/>
          <w:jc w:val="center"/>
        </w:trPr>
        <w:tc>
          <w:tcPr>
            <w:tcW w:w="393" w:type="pct"/>
            <w:tcBorders>
              <w:tl2br w:val="nil"/>
              <w:tr2bl w:val="nil"/>
            </w:tcBorders>
            <w:vAlign w:val="center"/>
          </w:tcPr>
          <w:p>
            <w:pPr>
              <w:pStyle w:val="10"/>
              <w:spacing w:line="250" w:lineRule="exact"/>
              <w:ind w:firstLine="0" w:firstLineChars="0"/>
              <w:jc w:val="center"/>
            </w:pPr>
            <w:r>
              <w:rPr>
                <w:rFonts w:hint="eastAsia"/>
              </w:rPr>
              <w:t>3</w:t>
            </w:r>
          </w:p>
        </w:tc>
        <w:tc>
          <w:tcPr>
            <w:tcW w:w="669" w:type="pct"/>
            <w:tcBorders>
              <w:tl2br w:val="nil"/>
              <w:tr2bl w:val="nil"/>
            </w:tcBorders>
            <w:vAlign w:val="center"/>
          </w:tcPr>
          <w:p>
            <w:pPr>
              <w:pStyle w:val="10"/>
              <w:spacing w:line="250" w:lineRule="exact"/>
              <w:ind w:firstLine="0" w:firstLineChars="0"/>
              <w:jc w:val="center"/>
            </w:pPr>
            <w:r>
              <w:rPr>
                <w:rFonts w:hint="eastAsia"/>
              </w:rPr>
              <w:t>管理</w:t>
            </w:r>
          </w:p>
          <w:p>
            <w:pPr>
              <w:pStyle w:val="10"/>
              <w:spacing w:line="250" w:lineRule="exact"/>
              <w:ind w:firstLine="0" w:firstLineChars="0"/>
              <w:jc w:val="center"/>
            </w:pPr>
            <w:r>
              <w:rPr>
                <w:rFonts w:hint="eastAsia"/>
              </w:rPr>
              <w:t>生活区</w:t>
            </w:r>
          </w:p>
        </w:tc>
        <w:tc>
          <w:tcPr>
            <w:tcW w:w="3938" w:type="pct"/>
            <w:tcBorders>
              <w:tl2br w:val="nil"/>
              <w:tr2bl w:val="nil"/>
            </w:tcBorders>
            <w:vAlign w:val="center"/>
          </w:tcPr>
          <w:p>
            <w:pPr>
              <w:autoSpaceDE w:val="0"/>
              <w:autoSpaceDN w:val="0"/>
              <w:adjustRightInd w:val="0"/>
              <w:spacing w:line="250" w:lineRule="exact"/>
              <w:jc w:val="left"/>
            </w:pPr>
            <w:r>
              <w:rPr>
                <w:rFonts w:hint="eastAsia"/>
              </w:rPr>
              <w:t>1、办公楼：1座，1F砖混，面积约160m</w:t>
            </w:r>
            <w:r>
              <w:rPr>
                <w:rFonts w:hint="eastAsia"/>
                <w:vertAlign w:val="superscript"/>
              </w:rPr>
              <w:t>2</w:t>
            </w:r>
            <w:r>
              <w:rPr>
                <w:rFonts w:hint="eastAsia"/>
              </w:rPr>
              <w:t>，位于管理区南侧。</w:t>
            </w:r>
          </w:p>
          <w:p>
            <w:pPr>
              <w:autoSpaceDE w:val="0"/>
              <w:autoSpaceDN w:val="0"/>
              <w:adjustRightInd w:val="0"/>
              <w:spacing w:line="250" w:lineRule="exact"/>
              <w:jc w:val="left"/>
            </w:pPr>
            <w:r>
              <w:rPr>
                <w:rFonts w:hint="eastAsia"/>
              </w:rPr>
              <w:t>2、食堂及休息间：1座，1F砖混，面积约170m</w:t>
            </w:r>
            <w:r>
              <w:rPr>
                <w:rFonts w:hint="eastAsia"/>
                <w:vertAlign w:val="superscript"/>
              </w:rPr>
              <w:t>2</w:t>
            </w:r>
            <w:r>
              <w:rPr>
                <w:rFonts w:hint="eastAsia"/>
              </w:rPr>
              <w:t>，位于管理区东侧。</w:t>
            </w:r>
          </w:p>
          <w:p>
            <w:pPr>
              <w:autoSpaceDE w:val="0"/>
              <w:autoSpaceDN w:val="0"/>
              <w:adjustRightInd w:val="0"/>
              <w:spacing w:line="250" w:lineRule="exact"/>
              <w:jc w:val="left"/>
            </w:pPr>
            <w:r>
              <w:rPr>
                <w:rFonts w:hint="eastAsia"/>
              </w:rPr>
              <w:t>3、车库及机修间：1座，1F砖混，面积约340m</w:t>
            </w:r>
            <w:r>
              <w:rPr>
                <w:rFonts w:hint="eastAsia"/>
                <w:vertAlign w:val="superscript"/>
              </w:rPr>
              <w:t>2</w:t>
            </w:r>
            <w:r>
              <w:rPr>
                <w:rFonts w:hint="eastAsia"/>
              </w:rPr>
              <w:t>，位于管理区西侧。</w:t>
            </w:r>
          </w:p>
          <w:p>
            <w:pPr>
              <w:pStyle w:val="10"/>
              <w:spacing w:line="250" w:lineRule="exact"/>
              <w:ind w:firstLine="0" w:firstLineChars="0"/>
              <w:jc w:val="left"/>
            </w:pPr>
            <w:r>
              <w:rPr>
                <w:rFonts w:hint="eastAsia"/>
              </w:rPr>
              <w:t>4、洗车平台：1座，位于车库外北侧。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393" w:type="pct"/>
            <w:tcBorders>
              <w:tl2br w:val="nil"/>
              <w:tr2bl w:val="nil"/>
            </w:tcBorders>
            <w:vAlign w:val="center"/>
          </w:tcPr>
          <w:p>
            <w:pPr>
              <w:pStyle w:val="10"/>
              <w:spacing w:line="250" w:lineRule="exact"/>
              <w:ind w:firstLine="0" w:firstLineChars="0"/>
              <w:jc w:val="center"/>
            </w:pPr>
            <w:r>
              <w:rPr>
                <w:rFonts w:hint="eastAsia"/>
              </w:rPr>
              <w:t>4</w:t>
            </w:r>
          </w:p>
        </w:tc>
        <w:tc>
          <w:tcPr>
            <w:tcW w:w="669" w:type="pct"/>
            <w:tcBorders>
              <w:tl2br w:val="nil"/>
              <w:tr2bl w:val="nil"/>
            </w:tcBorders>
            <w:vAlign w:val="center"/>
          </w:tcPr>
          <w:p>
            <w:pPr>
              <w:pStyle w:val="10"/>
              <w:spacing w:line="250" w:lineRule="exact"/>
              <w:ind w:firstLine="0" w:firstLineChars="0"/>
              <w:jc w:val="center"/>
            </w:pPr>
            <w:r>
              <w:rPr>
                <w:rFonts w:hint="eastAsia"/>
              </w:rPr>
              <w:t>收运系统</w:t>
            </w:r>
          </w:p>
        </w:tc>
        <w:tc>
          <w:tcPr>
            <w:tcW w:w="3938" w:type="pct"/>
            <w:tcBorders>
              <w:tl2br w:val="nil"/>
              <w:tr2bl w:val="nil"/>
            </w:tcBorders>
            <w:vAlign w:val="center"/>
          </w:tcPr>
          <w:p>
            <w:pPr>
              <w:pStyle w:val="10"/>
              <w:spacing w:line="250" w:lineRule="exact"/>
              <w:ind w:firstLine="0" w:firstLineChars="0"/>
              <w:jc w:val="left"/>
            </w:pPr>
            <w:r>
              <w:rPr>
                <w:rFonts w:hint="eastAsia"/>
                <w:szCs w:val="21"/>
              </w:rPr>
              <w:t>现有</w:t>
            </w:r>
            <w:r>
              <w:rPr>
                <w:szCs w:val="21"/>
              </w:rPr>
              <w:t>垃圾专用运输车约10辆</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393" w:type="pct"/>
            <w:tcBorders>
              <w:tl2br w:val="nil"/>
              <w:tr2bl w:val="nil"/>
            </w:tcBorders>
            <w:vAlign w:val="center"/>
          </w:tcPr>
          <w:p>
            <w:pPr>
              <w:pStyle w:val="10"/>
              <w:spacing w:line="250" w:lineRule="exact"/>
              <w:ind w:firstLine="0" w:firstLineChars="0"/>
              <w:jc w:val="center"/>
            </w:pPr>
            <w:r>
              <w:rPr>
                <w:rFonts w:hint="eastAsia"/>
              </w:rPr>
              <w:t>5</w:t>
            </w:r>
          </w:p>
        </w:tc>
        <w:tc>
          <w:tcPr>
            <w:tcW w:w="669" w:type="pct"/>
            <w:tcBorders>
              <w:tl2br w:val="nil"/>
              <w:tr2bl w:val="nil"/>
            </w:tcBorders>
            <w:vAlign w:val="center"/>
          </w:tcPr>
          <w:p>
            <w:pPr>
              <w:pStyle w:val="10"/>
              <w:spacing w:line="250" w:lineRule="exact"/>
              <w:ind w:firstLine="0" w:firstLineChars="0"/>
              <w:jc w:val="center"/>
            </w:pPr>
            <w:r>
              <w:rPr>
                <w:rFonts w:hint="eastAsia"/>
              </w:rPr>
              <w:t>公用工程</w:t>
            </w:r>
          </w:p>
        </w:tc>
        <w:tc>
          <w:tcPr>
            <w:tcW w:w="3938" w:type="pct"/>
            <w:tcBorders>
              <w:tl2br w:val="nil"/>
              <w:tr2bl w:val="nil"/>
            </w:tcBorders>
            <w:vAlign w:val="center"/>
          </w:tcPr>
          <w:p>
            <w:pPr>
              <w:pStyle w:val="10"/>
              <w:spacing w:line="250" w:lineRule="exact"/>
              <w:ind w:firstLine="0" w:firstLineChars="0"/>
              <w:jc w:val="left"/>
              <w:rPr>
                <w:szCs w:val="21"/>
              </w:rPr>
            </w:pPr>
            <w:r>
              <w:rPr>
                <w:rFonts w:hint="eastAsia"/>
                <w:szCs w:val="21"/>
              </w:rPr>
              <w:t>场内外道路系统、供电系统、给排水系统、采暖（空调）系统等。</w:t>
            </w:r>
          </w:p>
        </w:tc>
      </w:tr>
    </w:tbl>
    <w:p>
      <w:pPr>
        <w:pStyle w:val="2"/>
        <w:jc w:val="center"/>
      </w:pPr>
      <w:r>
        <w:drawing>
          <wp:inline distT="0" distB="0" distL="114300" distR="114300">
            <wp:extent cx="4782185" cy="3599815"/>
            <wp:effectExtent l="0" t="0" r="18415" b="635"/>
            <wp:docPr id="39" name="图片 39" descr="宋堡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宋堡333333"/>
                    <pic:cNvPicPr>
                      <a:picLocks noChangeAspect="1"/>
                    </pic:cNvPicPr>
                  </pic:nvPicPr>
                  <pic:blipFill>
                    <a:blip r:embed="rId42" cstate="print"/>
                    <a:stretch>
                      <a:fillRect/>
                    </a:stretch>
                  </pic:blipFill>
                  <pic:spPr>
                    <a:xfrm>
                      <a:off x="0" y="0"/>
                      <a:ext cx="4782185" cy="3599815"/>
                    </a:xfrm>
                    <a:prstGeom prst="rect">
                      <a:avLst/>
                    </a:prstGeom>
                  </pic:spPr>
                </pic:pic>
              </a:graphicData>
            </a:graphic>
          </wp:inline>
        </w:drawing>
      </w:r>
    </w:p>
    <w:p>
      <w:pPr>
        <w:pStyle w:val="3"/>
        <w:rPr>
          <w:b/>
          <w:bCs w:val="0"/>
          <w:color w:val="auto"/>
          <w:sz w:val="24"/>
          <w:szCs w:val="24"/>
        </w:rPr>
      </w:pPr>
      <w:r>
        <w:rPr>
          <w:rFonts w:hint="eastAsia"/>
          <w:b/>
          <w:bCs w:val="0"/>
          <w:color w:val="auto"/>
          <w:sz w:val="24"/>
          <w:szCs w:val="24"/>
        </w:rPr>
        <w:t>壶关县第一垃圾填埋场场地及周边示意图</w:t>
      </w:r>
    </w:p>
    <w:p>
      <w:pPr>
        <w:pStyle w:val="6"/>
        <w:spacing w:line="480" w:lineRule="exact"/>
      </w:pPr>
      <w:r>
        <w:rPr>
          <w:rFonts w:hint="eastAsia"/>
        </w:rPr>
        <w:t>3</w:t>
      </w:r>
      <w:r>
        <w:t>.</w:t>
      </w:r>
      <w:r>
        <w:rPr>
          <w:rFonts w:hint="eastAsia"/>
        </w:rPr>
        <w:t>1</w:t>
      </w:r>
      <w:r>
        <w:t>.</w:t>
      </w:r>
      <w:r>
        <w:rPr>
          <w:rFonts w:hint="eastAsia"/>
        </w:rPr>
        <w:t>2存在主要问题及整改措施</w:t>
      </w:r>
    </w:p>
    <w:p>
      <w:pPr>
        <w:spacing w:line="480" w:lineRule="exact"/>
        <w:ind w:firstLine="480" w:firstLineChars="200"/>
        <w:rPr>
          <w:sz w:val="24"/>
        </w:rPr>
      </w:pPr>
      <w:r>
        <w:rPr>
          <w:rFonts w:hint="eastAsia"/>
          <w:sz w:val="24"/>
        </w:rPr>
        <w:t>壶关县第一垃圾填埋场运营过程中存在的的主要问题为：1、渗滤液大量积存未能及时合理处置；2、填埋区运营已至中后期，填埋气未完善有效的收集、焚烧系统，仍会在场内聚集，难以彻底消除火灾及爆炸隐患。针对上述问题，壶关县第一垃圾填埋场进行了整改和提标改造，具体详见下表。</w:t>
      </w:r>
    </w:p>
    <w:p>
      <w:pPr>
        <w:spacing w:line="500" w:lineRule="exact"/>
        <w:jc w:val="center"/>
        <w:rPr>
          <w:bCs/>
          <w:sz w:val="24"/>
        </w:rPr>
      </w:pPr>
      <w:r>
        <w:rPr>
          <w:b/>
          <w:sz w:val="24"/>
        </w:rPr>
        <w:t>表</w:t>
      </w:r>
      <w:r>
        <w:rPr>
          <w:rFonts w:hint="eastAsia"/>
          <w:b/>
          <w:sz w:val="24"/>
        </w:rPr>
        <w:t>3.1</w:t>
      </w:r>
      <w:r>
        <w:rPr>
          <w:b/>
          <w:sz w:val="24"/>
        </w:rPr>
        <w:t>-</w:t>
      </w:r>
      <w:r>
        <w:rPr>
          <w:rFonts w:hint="eastAsia"/>
          <w:b/>
          <w:sz w:val="24"/>
        </w:rPr>
        <w:t>2壶关县第一垃圾填埋场存在的主要问题及整改措施表</w:t>
      </w:r>
    </w:p>
    <w:tbl>
      <w:tblPr>
        <w:tblStyle w:val="30"/>
        <w:tblW w:w="554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68"/>
        <w:gridCol w:w="677"/>
        <w:gridCol w:w="1822"/>
        <w:gridCol w:w="1418"/>
        <w:gridCol w:w="3969"/>
        <w:gridCol w:w="9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568" w:type="dxa"/>
            <w:tcBorders>
              <w:tl2br w:val="nil"/>
              <w:tr2bl w:val="nil"/>
            </w:tcBorders>
            <w:vAlign w:val="center"/>
          </w:tcPr>
          <w:p>
            <w:pPr>
              <w:spacing w:line="250" w:lineRule="exact"/>
              <w:jc w:val="center"/>
              <w:rPr>
                <w:szCs w:val="21"/>
              </w:rPr>
            </w:pPr>
            <w:r>
              <w:rPr>
                <w:rFonts w:hint="eastAsia"/>
                <w:szCs w:val="21"/>
              </w:rPr>
              <w:t>序号</w:t>
            </w:r>
          </w:p>
        </w:tc>
        <w:tc>
          <w:tcPr>
            <w:tcW w:w="677" w:type="dxa"/>
            <w:tcBorders>
              <w:tl2br w:val="nil"/>
              <w:tr2bl w:val="nil"/>
            </w:tcBorders>
            <w:vAlign w:val="center"/>
          </w:tcPr>
          <w:p>
            <w:pPr>
              <w:spacing w:line="250" w:lineRule="exact"/>
              <w:jc w:val="center"/>
              <w:rPr>
                <w:szCs w:val="21"/>
              </w:rPr>
            </w:pPr>
            <w:r>
              <w:rPr>
                <w:rFonts w:hint="eastAsia"/>
                <w:szCs w:val="21"/>
              </w:rPr>
              <w:t>主要问题</w:t>
            </w:r>
          </w:p>
        </w:tc>
        <w:tc>
          <w:tcPr>
            <w:tcW w:w="1822" w:type="dxa"/>
            <w:tcBorders>
              <w:tl2br w:val="nil"/>
              <w:tr2bl w:val="nil"/>
            </w:tcBorders>
            <w:vAlign w:val="center"/>
          </w:tcPr>
          <w:p>
            <w:pPr>
              <w:spacing w:line="250" w:lineRule="exact"/>
              <w:jc w:val="center"/>
              <w:rPr>
                <w:szCs w:val="21"/>
              </w:rPr>
            </w:pPr>
            <w:r>
              <w:rPr>
                <w:rFonts w:hint="eastAsia"/>
                <w:szCs w:val="21"/>
              </w:rPr>
              <w:t>问题内容</w:t>
            </w:r>
          </w:p>
        </w:tc>
        <w:tc>
          <w:tcPr>
            <w:tcW w:w="1418" w:type="dxa"/>
            <w:tcBorders>
              <w:tl2br w:val="nil"/>
              <w:tr2bl w:val="nil"/>
            </w:tcBorders>
            <w:vAlign w:val="center"/>
          </w:tcPr>
          <w:p>
            <w:pPr>
              <w:spacing w:line="250" w:lineRule="exact"/>
              <w:jc w:val="center"/>
              <w:rPr>
                <w:szCs w:val="21"/>
              </w:rPr>
            </w:pPr>
            <w:r>
              <w:rPr>
                <w:rFonts w:hint="eastAsia"/>
                <w:szCs w:val="21"/>
              </w:rPr>
              <w:t>环评及批复相关要求</w:t>
            </w:r>
          </w:p>
        </w:tc>
        <w:tc>
          <w:tcPr>
            <w:tcW w:w="3969" w:type="dxa"/>
            <w:tcBorders>
              <w:tl2br w:val="nil"/>
              <w:tr2bl w:val="nil"/>
            </w:tcBorders>
            <w:vAlign w:val="center"/>
          </w:tcPr>
          <w:p>
            <w:pPr>
              <w:spacing w:line="250" w:lineRule="exact"/>
              <w:jc w:val="center"/>
              <w:rPr>
                <w:szCs w:val="21"/>
              </w:rPr>
            </w:pPr>
            <w:r>
              <w:rPr>
                <w:rFonts w:hint="eastAsia"/>
                <w:szCs w:val="21"/>
              </w:rPr>
              <w:t>整改措施</w:t>
            </w:r>
          </w:p>
        </w:tc>
        <w:tc>
          <w:tcPr>
            <w:tcW w:w="992" w:type="dxa"/>
            <w:tcBorders>
              <w:tl2br w:val="nil"/>
              <w:tr2bl w:val="nil"/>
            </w:tcBorders>
            <w:vAlign w:val="center"/>
          </w:tcPr>
          <w:p>
            <w:pPr>
              <w:spacing w:line="250" w:lineRule="exact"/>
              <w:jc w:val="center"/>
              <w:rPr>
                <w:szCs w:val="21"/>
              </w:rPr>
            </w:pPr>
            <w:r>
              <w:rPr>
                <w:rFonts w:hint="eastAsia"/>
                <w:szCs w:val="21"/>
              </w:rPr>
              <w:t>整改</w:t>
            </w:r>
          </w:p>
          <w:p>
            <w:pPr>
              <w:spacing w:line="250" w:lineRule="exact"/>
              <w:jc w:val="center"/>
              <w:rPr>
                <w:szCs w:val="21"/>
              </w:rPr>
            </w:pPr>
            <w:r>
              <w:rPr>
                <w:rFonts w:hint="eastAsia"/>
                <w:szCs w:val="21"/>
              </w:rPr>
              <w:t>进度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3" w:hRule="atLeast"/>
          <w:jc w:val="center"/>
        </w:trPr>
        <w:tc>
          <w:tcPr>
            <w:tcW w:w="568" w:type="dxa"/>
            <w:vMerge w:val="restart"/>
            <w:tcBorders>
              <w:tl2br w:val="nil"/>
              <w:tr2bl w:val="nil"/>
            </w:tcBorders>
            <w:vAlign w:val="center"/>
          </w:tcPr>
          <w:p>
            <w:pPr>
              <w:spacing w:line="250" w:lineRule="exact"/>
              <w:jc w:val="center"/>
              <w:rPr>
                <w:szCs w:val="21"/>
              </w:rPr>
            </w:pPr>
            <w:r>
              <w:rPr>
                <w:rFonts w:hint="eastAsia"/>
                <w:szCs w:val="21"/>
              </w:rPr>
              <w:t>1</w:t>
            </w:r>
          </w:p>
        </w:tc>
        <w:tc>
          <w:tcPr>
            <w:tcW w:w="677" w:type="dxa"/>
            <w:vMerge w:val="restart"/>
            <w:tcBorders>
              <w:tl2br w:val="nil"/>
              <w:tr2bl w:val="nil"/>
            </w:tcBorders>
            <w:vAlign w:val="center"/>
          </w:tcPr>
          <w:p>
            <w:pPr>
              <w:spacing w:line="250" w:lineRule="exact"/>
              <w:jc w:val="center"/>
              <w:rPr>
                <w:szCs w:val="21"/>
              </w:rPr>
            </w:pPr>
            <w:r>
              <w:rPr>
                <w:rFonts w:hint="eastAsia"/>
                <w:szCs w:val="21"/>
              </w:rPr>
              <w:t>垃圾渗滤液</w:t>
            </w:r>
          </w:p>
        </w:tc>
        <w:tc>
          <w:tcPr>
            <w:tcW w:w="1822" w:type="dxa"/>
            <w:vMerge w:val="restart"/>
            <w:tcBorders>
              <w:tl2br w:val="nil"/>
              <w:tr2bl w:val="nil"/>
            </w:tcBorders>
            <w:vAlign w:val="center"/>
          </w:tcPr>
          <w:p>
            <w:pPr>
              <w:spacing w:line="250" w:lineRule="exact"/>
              <w:jc w:val="left"/>
              <w:rPr>
                <w:szCs w:val="21"/>
              </w:rPr>
            </w:pPr>
            <w:r>
              <w:rPr>
                <w:rFonts w:hint="eastAsia"/>
                <w:szCs w:val="21"/>
              </w:rPr>
              <w:t>1、3200m</w:t>
            </w:r>
            <w:r>
              <w:rPr>
                <w:rFonts w:hint="eastAsia"/>
                <w:szCs w:val="21"/>
                <w:vertAlign w:val="superscript"/>
              </w:rPr>
              <w:t>3</w:t>
            </w:r>
            <w:r>
              <w:rPr>
                <w:rFonts w:hint="eastAsia"/>
                <w:szCs w:val="21"/>
              </w:rPr>
              <w:t>渗滤液收集池防渗层敷设时间较长，HDPE膜出现破损需重新敷设修复。</w:t>
            </w:r>
          </w:p>
          <w:p>
            <w:pPr>
              <w:pStyle w:val="2"/>
              <w:spacing w:line="250" w:lineRule="exact"/>
              <w:jc w:val="both"/>
            </w:pPr>
            <w:r>
              <w:rPr>
                <w:rFonts w:hint="eastAsia" w:cs="Times New Roman"/>
                <w:color w:val="auto"/>
                <w:sz w:val="21"/>
                <w:szCs w:val="21"/>
              </w:rPr>
              <w:t>2、受近年降雨明显增多影响，填埋区约1.5万m</w:t>
            </w:r>
            <w:r>
              <w:rPr>
                <w:rFonts w:hint="eastAsia" w:cs="Times New Roman"/>
                <w:color w:val="auto"/>
                <w:sz w:val="21"/>
                <w:szCs w:val="21"/>
                <w:vertAlign w:val="superscript"/>
              </w:rPr>
              <w:t>3</w:t>
            </w:r>
            <w:r>
              <w:rPr>
                <w:rFonts w:hint="eastAsia" w:cs="Times New Roman"/>
                <w:color w:val="auto"/>
                <w:sz w:val="21"/>
                <w:szCs w:val="21"/>
              </w:rPr>
              <w:t>渗滤液累积在提升井坝前区域，存在较大环境风险和隐患。</w:t>
            </w:r>
          </w:p>
        </w:tc>
        <w:tc>
          <w:tcPr>
            <w:tcW w:w="1418" w:type="dxa"/>
            <w:vMerge w:val="restart"/>
            <w:tcBorders>
              <w:tl2br w:val="nil"/>
              <w:tr2bl w:val="nil"/>
            </w:tcBorders>
            <w:vAlign w:val="center"/>
          </w:tcPr>
          <w:p>
            <w:pPr>
              <w:spacing w:line="250" w:lineRule="exact"/>
              <w:jc w:val="left"/>
              <w:rPr>
                <w:szCs w:val="21"/>
              </w:rPr>
            </w:pPr>
            <w:r>
              <w:rPr>
                <w:rFonts w:hint="eastAsia"/>
                <w:szCs w:val="21"/>
              </w:rPr>
              <w:t>运营期间产生的垃圾渗滤液经导排系统与生活污水等一并进入3200m</w:t>
            </w:r>
            <w:r>
              <w:rPr>
                <w:rFonts w:hint="eastAsia"/>
                <w:szCs w:val="21"/>
                <w:vertAlign w:val="superscript"/>
              </w:rPr>
              <w:t>3</w:t>
            </w:r>
            <w:r>
              <w:rPr>
                <w:rFonts w:hint="eastAsia"/>
                <w:szCs w:val="21"/>
              </w:rPr>
              <w:t>的渗滤液调节池，然后一并回喷至垃圾场。</w:t>
            </w:r>
          </w:p>
        </w:tc>
        <w:tc>
          <w:tcPr>
            <w:tcW w:w="3969" w:type="dxa"/>
            <w:tcBorders>
              <w:tl2br w:val="nil"/>
              <w:tr2bl w:val="nil"/>
            </w:tcBorders>
            <w:vAlign w:val="center"/>
          </w:tcPr>
          <w:p>
            <w:pPr>
              <w:spacing w:line="250" w:lineRule="exact"/>
              <w:jc w:val="left"/>
            </w:pPr>
            <w:r>
              <w:rPr>
                <w:rFonts w:hint="eastAsia"/>
                <w:szCs w:val="21"/>
              </w:rPr>
              <w:t>1、对渗滤液收集池防渗层重新进行敷设修复。</w:t>
            </w:r>
          </w:p>
        </w:tc>
        <w:tc>
          <w:tcPr>
            <w:tcW w:w="992" w:type="dxa"/>
            <w:tcBorders>
              <w:tl2br w:val="nil"/>
              <w:tr2bl w:val="nil"/>
            </w:tcBorders>
            <w:vAlign w:val="center"/>
          </w:tcPr>
          <w:p>
            <w:pPr>
              <w:spacing w:line="250" w:lineRule="exact"/>
              <w:jc w:val="center"/>
              <w:rPr>
                <w:szCs w:val="21"/>
              </w:rPr>
            </w:pPr>
            <w:r>
              <w:rPr>
                <w:rFonts w:hint="eastAsia"/>
                <w:szCs w:val="21"/>
              </w:rPr>
              <w:t>已完成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57" w:hRule="atLeast"/>
          <w:jc w:val="center"/>
        </w:trPr>
        <w:tc>
          <w:tcPr>
            <w:tcW w:w="568" w:type="dxa"/>
            <w:vMerge w:val="continue"/>
            <w:tcBorders>
              <w:tl2br w:val="nil"/>
              <w:tr2bl w:val="nil"/>
            </w:tcBorders>
            <w:vAlign w:val="center"/>
          </w:tcPr>
          <w:p>
            <w:pPr>
              <w:spacing w:line="250" w:lineRule="exact"/>
              <w:jc w:val="center"/>
            </w:pPr>
          </w:p>
        </w:tc>
        <w:tc>
          <w:tcPr>
            <w:tcW w:w="677" w:type="dxa"/>
            <w:vMerge w:val="continue"/>
            <w:tcBorders>
              <w:tl2br w:val="nil"/>
              <w:tr2bl w:val="nil"/>
            </w:tcBorders>
            <w:vAlign w:val="center"/>
          </w:tcPr>
          <w:p>
            <w:pPr>
              <w:spacing w:line="250" w:lineRule="exact"/>
              <w:jc w:val="center"/>
            </w:pPr>
          </w:p>
        </w:tc>
        <w:tc>
          <w:tcPr>
            <w:tcW w:w="1822" w:type="dxa"/>
            <w:vMerge w:val="continue"/>
            <w:tcBorders>
              <w:tl2br w:val="nil"/>
              <w:tr2bl w:val="nil"/>
            </w:tcBorders>
            <w:vAlign w:val="center"/>
          </w:tcPr>
          <w:p>
            <w:pPr>
              <w:spacing w:line="250" w:lineRule="exact"/>
              <w:jc w:val="center"/>
            </w:pPr>
          </w:p>
        </w:tc>
        <w:tc>
          <w:tcPr>
            <w:tcW w:w="1418" w:type="dxa"/>
            <w:vMerge w:val="continue"/>
            <w:tcBorders>
              <w:tl2br w:val="nil"/>
              <w:tr2bl w:val="nil"/>
            </w:tcBorders>
            <w:vAlign w:val="center"/>
          </w:tcPr>
          <w:p>
            <w:pPr>
              <w:spacing w:line="250" w:lineRule="exact"/>
              <w:jc w:val="center"/>
            </w:pPr>
          </w:p>
        </w:tc>
        <w:tc>
          <w:tcPr>
            <w:tcW w:w="3969" w:type="dxa"/>
            <w:tcBorders>
              <w:tl2br w:val="nil"/>
              <w:tr2bl w:val="nil"/>
            </w:tcBorders>
            <w:vAlign w:val="center"/>
          </w:tcPr>
          <w:p>
            <w:pPr>
              <w:spacing w:line="250" w:lineRule="exact"/>
              <w:jc w:val="left"/>
            </w:pPr>
            <w:r>
              <w:rPr>
                <w:rFonts w:hint="eastAsia"/>
                <w:szCs w:val="21"/>
              </w:rPr>
              <w:t>2、利用场内东北办公管理区机修间空闲房间，在房内增设1套“两级DTRO反渗透”渗滤液处理设施，将积存渗滤液导排至收集池内后再经上述设施进行处理，渗滤液处理达标满足《城市污水再生利用城市杂用水水质》(GB/T18920­2020)标准要求后全部回用于县城绿化、道路清扫，不外排。</w:t>
            </w:r>
          </w:p>
        </w:tc>
        <w:tc>
          <w:tcPr>
            <w:tcW w:w="992" w:type="dxa"/>
            <w:tcBorders>
              <w:tl2br w:val="nil"/>
              <w:tr2bl w:val="nil"/>
            </w:tcBorders>
            <w:vAlign w:val="center"/>
          </w:tcPr>
          <w:p>
            <w:pPr>
              <w:spacing w:line="250" w:lineRule="exact"/>
              <w:jc w:val="center"/>
              <w:rPr>
                <w:szCs w:val="21"/>
              </w:rPr>
            </w:pPr>
            <w:r>
              <w:rPr>
                <w:rFonts w:hint="eastAsia"/>
                <w:szCs w:val="21"/>
              </w:rPr>
              <w:t>已完成，积存渗滤液正在处理中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568" w:type="dxa"/>
            <w:vMerge w:val="continue"/>
            <w:tcBorders>
              <w:tl2br w:val="nil"/>
              <w:tr2bl w:val="nil"/>
            </w:tcBorders>
            <w:vAlign w:val="center"/>
          </w:tcPr>
          <w:p>
            <w:pPr>
              <w:spacing w:line="250" w:lineRule="exact"/>
              <w:jc w:val="center"/>
              <w:rPr>
                <w:szCs w:val="21"/>
              </w:rPr>
            </w:pPr>
          </w:p>
        </w:tc>
        <w:tc>
          <w:tcPr>
            <w:tcW w:w="677" w:type="dxa"/>
            <w:vMerge w:val="continue"/>
            <w:tcBorders>
              <w:tl2br w:val="nil"/>
              <w:tr2bl w:val="nil"/>
            </w:tcBorders>
            <w:vAlign w:val="center"/>
          </w:tcPr>
          <w:p>
            <w:pPr>
              <w:spacing w:line="250" w:lineRule="exact"/>
              <w:jc w:val="center"/>
              <w:rPr>
                <w:szCs w:val="21"/>
              </w:rPr>
            </w:pPr>
          </w:p>
        </w:tc>
        <w:tc>
          <w:tcPr>
            <w:tcW w:w="1822" w:type="dxa"/>
            <w:vMerge w:val="continue"/>
            <w:tcBorders>
              <w:tl2br w:val="nil"/>
              <w:tr2bl w:val="nil"/>
            </w:tcBorders>
            <w:vAlign w:val="center"/>
          </w:tcPr>
          <w:p>
            <w:pPr>
              <w:spacing w:line="250" w:lineRule="exact"/>
              <w:jc w:val="center"/>
              <w:rPr>
                <w:szCs w:val="21"/>
              </w:rPr>
            </w:pPr>
          </w:p>
        </w:tc>
        <w:tc>
          <w:tcPr>
            <w:tcW w:w="1418" w:type="dxa"/>
            <w:vMerge w:val="continue"/>
            <w:tcBorders>
              <w:tl2br w:val="nil"/>
              <w:tr2bl w:val="nil"/>
            </w:tcBorders>
            <w:vAlign w:val="center"/>
          </w:tcPr>
          <w:p>
            <w:pPr>
              <w:spacing w:line="250" w:lineRule="exact"/>
              <w:jc w:val="center"/>
              <w:rPr>
                <w:szCs w:val="21"/>
              </w:rPr>
            </w:pPr>
          </w:p>
        </w:tc>
        <w:tc>
          <w:tcPr>
            <w:tcW w:w="3969" w:type="dxa"/>
            <w:tcBorders>
              <w:tl2br w:val="nil"/>
              <w:tr2bl w:val="nil"/>
            </w:tcBorders>
            <w:vAlign w:val="center"/>
          </w:tcPr>
          <w:p>
            <w:pPr>
              <w:spacing w:line="250" w:lineRule="exact"/>
              <w:jc w:val="left"/>
              <w:rPr>
                <w:szCs w:val="21"/>
              </w:rPr>
            </w:pPr>
            <w:r>
              <w:rPr>
                <w:rFonts w:hint="eastAsia"/>
                <w:szCs w:val="21"/>
              </w:rPr>
              <w:t>3、对渗滤液收集池顶部进行加盖封闭处理，封闭方式为“钢结构+反吊膜”。</w:t>
            </w:r>
          </w:p>
        </w:tc>
        <w:tc>
          <w:tcPr>
            <w:tcW w:w="992" w:type="dxa"/>
            <w:tcBorders>
              <w:tl2br w:val="nil"/>
              <w:tr2bl w:val="nil"/>
            </w:tcBorders>
            <w:vAlign w:val="center"/>
          </w:tcPr>
          <w:p>
            <w:pPr>
              <w:spacing w:line="250" w:lineRule="exact"/>
              <w:jc w:val="center"/>
              <w:rPr>
                <w:szCs w:val="21"/>
              </w:rPr>
            </w:pPr>
            <w:r>
              <w:rPr>
                <w:rFonts w:hint="eastAsia"/>
                <w:szCs w:val="21"/>
              </w:rPr>
              <w:t>已完成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1" w:hRule="atLeast"/>
          <w:jc w:val="center"/>
        </w:trPr>
        <w:tc>
          <w:tcPr>
            <w:tcW w:w="568" w:type="dxa"/>
            <w:vMerge w:val="continue"/>
            <w:tcBorders>
              <w:tl2br w:val="nil"/>
              <w:tr2bl w:val="nil"/>
            </w:tcBorders>
            <w:vAlign w:val="center"/>
          </w:tcPr>
          <w:p>
            <w:pPr>
              <w:spacing w:line="250" w:lineRule="exact"/>
              <w:jc w:val="center"/>
              <w:rPr>
                <w:szCs w:val="21"/>
              </w:rPr>
            </w:pPr>
          </w:p>
        </w:tc>
        <w:tc>
          <w:tcPr>
            <w:tcW w:w="677" w:type="dxa"/>
            <w:vMerge w:val="continue"/>
            <w:tcBorders>
              <w:tl2br w:val="nil"/>
              <w:tr2bl w:val="nil"/>
            </w:tcBorders>
            <w:vAlign w:val="center"/>
          </w:tcPr>
          <w:p>
            <w:pPr>
              <w:spacing w:line="250" w:lineRule="exact"/>
              <w:jc w:val="center"/>
              <w:rPr>
                <w:szCs w:val="21"/>
              </w:rPr>
            </w:pPr>
          </w:p>
        </w:tc>
        <w:tc>
          <w:tcPr>
            <w:tcW w:w="1822" w:type="dxa"/>
            <w:vMerge w:val="continue"/>
            <w:tcBorders>
              <w:tl2br w:val="nil"/>
              <w:tr2bl w:val="nil"/>
            </w:tcBorders>
            <w:vAlign w:val="center"/>
          </w:tcPr>
          <w:p>
            <w:pPr>
              <w:spacing w:line="250" w:lineRule="exact"/>
              <w:jc w:val="center"/>
              <w:rPr>
                <w:szCs w:val="21"/>
              </w:rPr>
            </w:pPr>
          </w:p>
        </w:tc>
        <w:tc>
          <w:tcPr>
            <w:tcW w:w="1418" w:type="dxa"/>
            <w:vMerge w:val="continue"/>
            <w:tcBorders>
              <w:tl2br w:val="nil"/>
              <w:tr2bl w:val="nil"/>
            </w:tcBorders>
            <w:vAlign w:val="center"/>
          </w:tcPr>
          <w:p>
            <w:pPr>
              <w:spacing w:line="250" w:lineRule="exact"/>
              <w:jc w:val="center"/>
              <w:rPr>
                <w:szCs w:val="21"/>
              </w:rPr>
            </w:pPr>
          </w:p>
        </w:tc>
        <w:tc>
          <w:tcPr>
            <w:tcW w:w="3969" w:type="dxa"/>
            <w:tcBorders>
              <w:tl2br w:val="nil"/>
              <w:tr2bl w:val="nil"/>
            </w:tcBorders>
            <w:vAlign w:val="center"/>
          </w:tcPr>
          <w:p>
            <w:pPr>
              <w:spacing w:line="250" w:lineRule="exact"/>
              <w:jc w:val="left"/>
              <w:rPr>
                <w:szCs w:val="21"/>
              </w:rPr>
            </w:pPr>
            <w:r>
              <w:rPr>
                <w:rFonts w:hint="eastAsia"/>
                <w:szCs w:val="21"/>
              </w:rPr>
              <w:t>4、在渗滤液收集池南侧增设1座臭气处理间，采用“生物降解除臭”工艺，收集池内的恶臭气体收集后经上述设施处理达标，最后经排气筒排放。</w:t>
            </w:r>
          </w:p>
        </w:tc>
        <w:tc>
          <w:tcPr>
            <w:tcW w:w="992" w:type="dxa"/>
            <w:tcBorders>
              <w:tl2br w:val="nil"/>
              <w:tr2bl w:val="nil"/>
            </w:tcBorders>
            <w:vAlign w:val="center"/>
          </w:tcPr>
          <w:p>
            <w:pPr>
              <w:spacing w:line="250" w:lineRule="exact"/>
              <w:jc w:val="center"/>
              <w:rPr>
                <w:szCs w:val="21"/>
              </w:rPr>
            </w:pPr>
            <w:r>
              <w:rPr>
                <w:rFonts w:hint="eastAsia"/>
                <w:szCs w:val="21"/>
              </w:rPr>
              <w:t>已完成，运行中</w:t>
            </w:r>
          </w:p>
        </w:tc>
      </w:tr>
    </w:tbl>
    <w:p>
      <w:pPr>
        <w:spacing w:line="500" w:lineRule="exact"/>
        <w:jc w:val="center"/>
        <w:rPr>
          <w:bCs/>
          <w:sz w:val="24"/>
        </w:rPr>
      </w:pPr>
      <w:r>
        <w:rPr>
          <w:b/>
          <w:sz w:val="24"/>
        </w:rPr>
        <w:t>表</w:t>
      </w:r>
      <w:r>
        <w:rPr>
          <w:rFonts w:hint="eastAsia"/>
          <w:b/>
          <w:sz w:val="24"/>
        </w:rPr>
        <w:t>3.1</w:t>
      </w:r>
      <w:r>
        <w:rPr>
          <w:b/>
          <w:sz w:val="24"/>
        </w:rPr>
        <w:t>-</w:t>
      </w:r>
      <w:r>
        <w:rPr>
          <w:rFonts w:hint="eastAsia"/>
          <w:b/>
          <w:sz w:val="24"/>
        </w:rPr>
        <w:t>2续壶关县第一垃圾填埋场存在的主要问题及整改措施表</w:t>
      </w:r>
    </w:p>
    <w:tbl>
      <w:tblPr>
        <w:tblStyle w:val="30"/>
        <w:tblW w:w="551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01"/>
        <w:gridCol w:w="922"/>
        <w:gridCol w:w="2025"/>
        <w:gridCol w:w="2940"/>
        <w:gridCol w:w="2296"/>
        <w:gridCol w:w="7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502" w:type="dxa"/>
            <w:tcBorders>
              <w:tl2br w:val="nil"/>
              <w:tr2bl w:val="nil"/>
            </w:tcBorders>
            <w:vAlign w:val="center"/>
          </w:tcPr>
          <w:p>
            <w:pPr>
              <w:spacing w:line="250" w:lineRule="exact"/>
              <w:jc w:val="center"/>
              <w:rPr>
                <w:szCs w:val="21"/>
              </w:rPr>
            </w:pPr>
            <w:r>
              <w:rPr>
                <w:rFonts w:hint="eastAsia"/>
                <w:szCs w:val="21"/>
              </w:rPr>
              <w:t>序号</w:t>
            </w:r>
          </w:p>
        </w:tc>
        <w:tc>
          <w:tcPr>
            <w:tcW w:w="922" w:type="dxa"/>
            <w:tcBorders>
              <w:tl2br w:val="nil"/>
              <w:tr2bl w:val="nil"/>
            </w:tcBorders>
            <w:vAlign w:val="center"/>
          </w:tcPr>
          <w:p>
            <w:pPr>
              <w:spacing w:line="250" w:lineRule="exact"/>
              <w:jc w:val="center"/>
              <w:rPr>
                <w:szCs w:val="21"/>
              </w:rPr>
            </w:pPr>
            <w:r>
              <w:rPr>
                <w:rFonts w:hint="eastAsia"/>
                <w:szCs w:val="21"/>
              </w:rPr>
              <w:t>主要问题</w:t>
            </w:r>
          </w:p>
        </w:tc>
        <w:tc>
          <w:tcPr>
            <w:tcW w:w="2025" w:type="dxa"/>
            <w:tcBorders>
              <w:tl2br w:val="nil"/>
              <w:tr2bl w:val="nil"/>
            </w:tcBorders>
            <w:vAlign w:val="center"/>
          </w:tcPr>
          <w:p>
            <w:pPr>
              <w:spacing w:line="250" w:lineRule="exact"/>
              <w:jc w:val="center"/>
              <w:rPr>
                <w:szCs w:val="21"/>
              </w:rPr>
            </w:pPr>
            <w:r>
              <w:rPr>
                <w:rFonts w:hint="eastAsia"/>
                <w:szCs w:val="21"/>
              </w:rPr>
              <w:t>问题内容</w:t>
            </w:r>
          </w:p>
        </w:tc>
        <w:tc>
          <w:tcPr>
            <w:tcW w:w="2940" w:type="dxa"/>
            <w:tcBorders>
              <w:tl2br w:val="nil"/>
              <w:tr2bl w:val="nil"/>
            </w:tcBorders>
            <w:vAlign w:val="center"/>
          </w:tcPr>
          <w:p>
            <w:pPr>
              <w:spacing w:line="250" w:lineRule="exact"/>
              <w:jc w:val="center"/>
              <w:rPr>
                <w:szCs w:val="21"/>
              </w:rPr>
            </w:pPr>
            <w:r>
              <w:rPr>
                <w:rFonts w:hint="eastAsia"/>
                <w:szCs w:val="21"/>
              </w:rPr>
              <w:t>环评及批复相关要求</w:t>
            </w:r>
          </w:p>
        </w:tc>
        <w:tc>
          <w:tcPr>
            <w:tcW w:w="2296" w:type="dxa"/>
            <w:tcBorders>
              <w:tl2br w:val="nil"/>
              <w:tr2bl w:val="nil"/>
            </w:tcBorders>
            <w:vAlign w:val="center"/>
          </w:tcPr>
          <w:p>
            <w:pPr>
              <w:spacing w:line="250" w:lineRule="exact"/>
              <w:jc w:val="center"/>
              <w:rPr>
                <w:szCs w:val="21"/>
              </w:rPr>
            </w:pPr>
            <w:r>
              <w:rPr>
                <w:rFonts w:hint="eastAsia"/>
                <w:szCs w:val="21"/>
              </w:rPr>
              <w:t>整改措施</w:t>
            </w:r>
          </w:p>
        </w:tc>
        <w:tc>
          <w:tcPr>
            <w:tcW w:w="719" w:type="dxa"/>
            <w:tcBorders>
              <w:tl2br w:val="nil"/>
              <w:tr2bl w:val="nil"/>
            </w:tcBorders>
            <w:vAlign w:val="center"/>
          </w:tcPr>
          <w:p>
            <w:pPr>
              <w:spacing w:line="250" w:lineRule="exact"/>
              <w:jc w:val="center"/>
              <w:rPr>
                <w:szCs w:val="21"/>
              </w:rPr>
            </w:pPr>
            <w:r>
              <w:rPr>
                <w:rFonts w:hint="eastAsia"/>
                <w:szCs w:val="21"/>
              </w:rPr>
              <w:t>整改进度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7" w:hRule="exact"/>
          <w:jc w:val="center"/>
        </w:trPr>
        <w:tc>
          <w:tcPr>
            <w:tcW w:w="502" w:type="dxa"/>
            <w:tcBorders>
              <w:tl2br w:val="nil"/>
              <w:tr2bl w:val="nil"/>
            </w:tcBorders>
            <w:vAlign w:val="center"/>
          </w:tcPr>
          <w:p>
            <w:pPr>
              <w:spacing w:line="250" w:lineRule="exact"/>
              <w:jc w:val="center"/>
              <w:rPr>
                <w:szCs w:val="21"/>
              </w:rPr>
            </w:pPr>
            <w:r>
              <w:rPr>
                <w:rFonts w:hint="eastAsia"/>
                <w:szCs w:val="21"/>
              </w:rPr>
              <w:t>2</w:t>
            </w:r>
          </w:p>
        </w:tc>
        <w:tc>
          <w:tcPr>
            <w:tcW w:w="922" w:type="dxa"/>
            <w:tcBorders>
              <w:tl2br w:val="nil"/>
              <w:tr2bl w:val="nil"/>
            </w:tcBorders>
            <w:vAlign w:val="center"/>
          </w:tcPr>
          <w:p>
            <w:pPr>
              <w:spacing w:line="250" w:lineRule="exact"/>
              <w:jc w:val="center"/>
              <w:rPr>
                <w:szCs w:val="21"/>
              </w:rPr>
            </w:pPr>
            <w:r>
              <w:rPr>
                <w:rFonts w:hint="eastAsia"/>
                <w:szCs w:val="21"/>
              </w:rPr>
              <w:t>库区填埋气</w:t>
            </w:r>
          </w:p>
        </w:tc>
        <w:tc>
          <w:tcPr>
            <w:tcW w:w="2025" w:type="dxa"/>
            <w:tcBorders>
              <w:tl2br w:val="nil"/>
              <w:tr2bl w:val="nil"/>
            </w:tcBorders>
            <w:vAlign w:val="center"/>
          </w:tcPr>
          <w:p>
            <w:pPr>
              <w:spacing w:line="250" w:lineRule="exact"/>
              <w:jc w:val="center"/>
              <w:rPr>
                <w:szCs w:val="21"/>
              </w:rPr>
            </w:pPr>
            <w:r>
              <w:rPr>
                <w:rFonts w:hint="eastAsia"/>
                <w:szCs w:val="21"/>
              </w:rPr>
              <w:t>未配套完善有效的收集、焚烧系统，填埋气仍会在场内聚集，难以彻底消除火灾及爆炸隐患。</w:t>
            </w:r>
          </w:p>
        </w:tc>
        <w:tc>
          <w:tcPr>
            <w:tcW w:w="2940" w:type="dxa"/>
            <w:tcBorders>
              <w:tl2br w:val="nil"/>
              <w:tr2bl w:val="nil"/>
            </w:tcBorders>
            <w:vAlign w:val="center"/>
          </w:tcPr>
          <w:p>
            <w:pPr>
              <w:spacing w:line="250" w:lineRule="exact"/>
              <w:jc w:val="center"/>
              <w:rPr>
                <w:szCs w:val="21"/>
              </w:rPr>
            </w:pPr>
            <w:r>
              <w:rPr>
                <w:rFonts w:hint="eastAsia"/>
                <w:szCs w:val="21"/>
              </w:rPr>
              <w:t>建设有效的垃圾填埋气收集、导排装置，并尽可能综合利用垃圾填埋产生的沼气，若暂时不能利用，要将填埋场产生的沼气统一收集后燃烧排放。</w:t>
            </w:r>
          </w:p>
        </w:tc>
        <w:tc>
          <w:tcPr>
            <w:tcW w:w="2296" w:type="dxa"/>
            <w:tcBorders>
              <w:tl2br w:val="nil"/>
              <w:tr2bl w:val="nil"/>
            </w:tcBorders>
            <w:vAlign w:val="center"/>
          </w:tcPr>
          <w:p>
            <w:pPr>
              <w:spacing w:line="250" w:lineRule="exact"/>
              <w:jc w:val="center"/>
              <w:rPr>
                <w:szCs w:val="21"/>
              </w:rPr>
            </w:pPr>
            <w:r>
              <w:rPr>
                <w:rFonts w:hint="eastAsia"/>
                <w:szCs w:val="21"/>
              </w:rPr>
              <w:t>在（一期）填埋区外东南角设1座填埋气抽气机房，并配套完善收集、焚烧系统。</w:t>
            </w:r>
          </w:p>
        </w:tc>
        <w:tc>
          <w:tcPr>
            <w:tcW w:w="719" w:type="dxa"/>
            <w:tcBorders>
              <w:tl2br w:val="nil"/>
              <w:tr2bl w:val="nil"/>
            </w:tcBorders>
            <w:vAlign w:val="center"/>
          </w:tcPr>
          <w:p>
            <w:pPr>
              <w:spacing w:line="250" w:lineRule="exact"/>
              <w:jc w:val="center"/>
              <w:rPr>
                <w:szCs w:val="21"/>
              </w:rPr>
            </w:pPr>
            <w:r>
              <w:rPr>
                <w:rFonts w:hint="eastAsia"/>
                <w:szCs w:val="21"/>
              </w:rPr>
              <w:t>整改中</w:t>
            </w:r>
          </w:p>
        </w:tc>
      </w:tr>
    </w:tbl>
    <w:p>
      <w:pPr>
        <w:pStyle w:val="2"/>
        <w:spacing w:line="480" w:lineRule="exact"/>
        <w:ind w:firstLine="480" w:firstLineChars="200"/>
      </w:pPr>
      <w:r>
        <w:rPr>
          <w:rFonts w:hint="eastAsia"/>
        </w:rPr>
        <w:t>2022年9月8日、9日，监测单位对壶关县第一垃圾填埋场增设的渗滤液处理设施进、出口水质进行了检测，根据检测结果，出水水质满足《生活垃圾填埋场污染控制标准》(GB16889-2008)和《城市污水再生利用城市杂用水水质》(GB/T18920­2020)中城市绿化、道路清扫的标准要求。具体详见下表。</w:t>
      </w:r>
    </w:p>
    <w:p>
      <w:pPr>
        <w:spacing w:line="500" w:lineRule="exact"/>
        <w:jc w:val="center"/>
        <w:rPr>
          <w:b/>
          <w:sz w:val="24"/>
        </w:rPr>
      </w:pPr>
      <w:r>
        <w:rPr>
          <w:b/>
          <w:sz w:val="24"/>
        </w:rPr>
        <w:t>表</w:t>
      </w:r>
      <w:r>
        <w:rPr>
          <w:rFonts w:hint="eastAsia"/>
          <w:b/>
          <w:sz w:val="24"/>
        </w:rPr>
        <w:t>3.1-3  壶关县第一垃圾填埋场渗滤液处理设施进、出口水质检测结果统计表</w:t>
      </w:r>
    </w:p>
    <w:tbl>
      <w:tblPr>
        <w:tblStyle w:val="29"/>
        <w:tblW w:w="592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384"/>
        <w:gridCol w:w="1257"/>
        <w:gridCol w:w="1580"/>
        <w:gridCol w:w="1581"/>
        <w:gridCol w:w="938"/>
        <w:gridCol w:w="992"/>
        <w:gridCol w:w="992"/>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tblHeader/>
          <w:jc w:val="center"/>
        </w:trPr>
        <w:tc>
          <w:tcPr>
            <w:tcW w:w="2641" w:type="dxa"/>
            <w:gridSpan w:val="2"/>
            <w:vMerge w:val="restart"/>
            <w:tcBorders>
              <w:tl2br w:val="nil"/>
              <w:tr2bl w:val="nil"/>
            </w:tcBorders>
            <w:vAlign w:val="center"/>
          </w:tcPr>
          <w:p>
            <w:pPr>
              <w:pStyle w:val="3"/>
              <w:adjustRightInd w:val="0"/>
              <w:spacing w:before="24" w:after="24" w:line="240" w:lineRule="atLeast"/>
              <w:ind w:left="1260" w:leftChars="600" w:firstLine="630" w:firstLineChars="300"/>
              <w:jc w:val="both"/>
              <w:rPr>
                <w:b/>
                <w:szCs w:val="21"/>
              </w:rPr>
            </w:pP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-1905</wp:posOffset>
                      </wp:positionV>
                      <wp:extent cx="1638935" cy="586105"/>
                      <wp:effectExtent l="1905" t="4445" r="16510" b="19050"/>
                      <wp:wrapNone/>
                      <wp:docPr id="3" name="直接连接符 3"/>
                      <wp:cNvGraphicFramePr/>
                      <a:graphic xmlns:a="http://schemas.openxmlformats.org/drawingml/2006/main">
                        <a:graphicData uri="http://schemas.microsoft.com/office/word/2010/wordprocessingShape">
                          <wps:wsp>
                            <wps:cNvCnPr/>
                            <wps:spPr>
                              <a:xfrm>
                                <a:off x="499745" y="4631055"/>
                                <a:ext cx="1917065" cy="5861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9pt;margin-top:-0.15pt;height:46.15pt;width:129.05pt;z-index:251663360;mso-width-relative:page;mso-height-relative:page;" filled="f" stroked="t" coordsize="21600,21600" o:gfxdata="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uJ6as1AAAAAYBAAAPAAAAAAAAAAEAIAAAACIAAABkcnMvZG93bnJldi54bWxQSwEC&#10;FAAUAAAACACHTuJA5gX5RfgBAADPAwAADgAAAAAAAAABACAAAAAjAQAAZHJzL2Uyb0RvYy54bWxQ&#10;SwUGAAAAAAYABgBZAQAAjQUAAAAA&#10;">
                      <v:fill on="f" focussize="0,0"/>
                      <v:stroke weight="0.5pt" color="#000000" miterlimit="8" joinstyle="miter"/>
                      <v:imagedata o:title=""/>
                      <o:lock v:ext="edit" aspectratio="f"/>
                    </v:line>
                  </w:pict>
                </mc:Fallback>
              </mc:AlternateContent>
            </w:r>
            <w:r>
              <w:rPr>
                <w:b/>
                <w:szCs w:val="21"/>
              </w:rPr>
              <w:t>项目</w:t>
            </w:r>
          </w:p>
          <w:p>
            <w:pPr>
              <w:pStyle w:val="3"/>
              <w:adjustRightInd w:val="0"/>
              <w:spacing w:before="24" w:after="24" w:line="240" w:lineRule="atLeast"/>
              <w:ind w:left="1260" w:leftChars="600" w:firstLine="632" w:firstLineChars="300"/>
              <w:jc w:val="both"/>
              <w:rPr>
                <w:b/>
                <w:szCs w:val="21"/>
              </w:rPr>
            </w:pPr>
          </w:p>
          <w:p>
            <w:pPr>
              <w:pStyle w:val="3"/>
              <w:adjustRightInd w:val="0"/>
              <w:spacing w:before="24" w:after="24" w:line="240" w:lineRule="atLeast"/>
              <w:ind w:firstLine="632" w:firstLineChars="300"/>
              <w:jc w:val="both"/>
              <w:rPr>
                <w:bCs w:val="0"/>
                <w:szCs w:val="21"/>
              </w:rPr>
            </w:pPr>
            <w:r>
              <w:rPr>
                <w:b/>
                <w:szCs w:val="21"/>
              </w:rPr>
              <w:t>结果</w:t>
            </w:r>
          </w:p>
        </w:tc>
        <w:tc>
          <w:tcPr>
            <w:tcW w:w="1580" w:type="dxa"/>
            <w:vMerge w:val="restart"/>
            <w:tcBorders>
              <w:tl2br w:val="nil"/>
              <w:tr2bl w:val="nil"/>
            </w:tcBorders>
            <w:vAlign w:val="center"/>
          </w:tcPr>
          <w:p>
            <w:pPr>
              <w:spacing w:line="240" w:lineRule="exact"/>
              <w:jc w:val="center"/>
              <w:rPr>
                <w:b/>
                <w:bCs/>
                <w:szCs w:val="21"/>
              </w:rPr>
            </w:pPr>
            <w:r>
              <w:rPr>
                <w:rFonts w:hint="eastAsia"/>
                <w:b/>
                <w:bCs/>
                <w:szCs w:val="21"/>
              </w:rPr>
              <w:t>渗滤液处理</w:t>
            </w:r>
          </w:p>
          <w:p>
            <w:pPr>
              <w:spacing w:line="240" w:lineRule="exact"/>
              <w:jc w:val="center"/>
              <w:rPr>
                <w:b/>
                <w:szCs w:val="21"/>
              </w:rPr>
            </w:pPr>
            <w:r>
              <w:rPr>
                <w:rFonts w:hint="eastAsia"/>
                <w:b/>
                <w:bCs/>
                <w:szCs w:val="21"/>
              </w:rPr>
              <w:t>设施进口</w:t>
            </w:r>
          </w:p>
        </w:tc>
        <w:tc>
          <w:tcPr>
            <w:tcW w:w="1581" w:type="dxa"/>
            <w:vMerge w:val="restart"/>
            <w:tcBorders>
              <w:tl2br w:val="nil"/>
              <w:tr2bl w:val="nil"/>
            </w:tcBorders>
            <w:vAlign w:val="center"/>
          </w:tcPr>
          <w:p>
            <w:pPr>
              <w:spacing w:line="240" w:lineRule="exact"/>
              <w:jc w:val="center"/>
              <w:rPr>
                <w:b/>
                <w:szCs w:val="21"/>
              </w:rPr>
            </w:pPr>
            <w:r>
              <w:rPr>
                <w:rFonts w:hint="eastAsia"/>
                <w:b/>
                <w:szCs w:val="21"/>
              </w:rPr>
              <w:t>渗滤液处理</w:t>
            </w:r>
          </w:p>
          <w:p>
            <w:pPr>
              <w:spacing w:line="240" w:lineRule="exact"/>
              <w:jc w:val="center"/>
              <w:rPr>
                <w:b/>
                <w:szCs w:val="21"/>
              </w:rPr>
            </w:pPr>
            <w:r>
              <w:rPr>
                <w:rFonts w:hint="eastAsia"/>
                <w:b/>
                <w:szCs w:val="21"/>
              </w:rPr>
              <w:t>设施出口</w:t>
            </w:r>
          </w:p>
        </w:tc>
        <w:tc>
          <w:tcPr>
            <w:tcW w:w="1930" w:type="dxa"/>
            <w:gridSpan w:val="2"/>
            <w:vMerge w:val="restart"/>
            <w:tcBorders>
              <w:tl2br w:val="nil"/>
              <w:tr2bl w:val="nil"/>
            </w:tcBorders>
            <w:vAlign w:val="center"/>
          </w:tcPr>
          <w:p>
            <w:pPr>
              <w:pStyle w:val="3"/>
              <w:adjustRightInd w:val="0"/>
              <w:spacing w:before="24" w:after="24" w:line="240" w:lineRule="atLeast"/>
              <w:rPr>
                <w:b/>
                <w:szCs w:val="21"/>
              </w:rPr>
            </w:pPr>
            <w:r>
              <w:rPr>
                <w:b/>
                <w:szCs w:val="21"/>
              </w:rPr>
              <w:t>GB16889-2008</w:t>
            </w:r>
          </w:p>
        </w:tc>
        <w:tc>
          <w:tcPr>
            <w:tcW w:w="2126" w:type="dxa"/>
            <w:gridSpan w:val="2"/>
            <w:tcBorders>
              <w:tl2br w:val="nil"/>
              <w:tr2bl w:val="nil"/>
            </w:tcBorders>
            <w:vAlign w:val="center"/>
          </w:tcPr>
          <w:p>
            <w:pPr>
              <w:pStyle w:val="3"/>
              <w:adjustRightInd w:val="0"/>
              <w:spacing w:before="24" w:after="24" w:line="240" w:lineRule="atLeast"/>
              <w:rPr>
                <w:b/>
                <w:szCs w:val="21"/>
              </w:rPr>
            </w:pPr>
            <w:r>
              <w:rPr>
                <w:b/>
                <w:szCs w:val="21"/>
              </w:rPr>
              <w:t>GB/T18920­20</w:t>
            </w:r>
            <w:r>
              <w:rPr>
                <w:rFonts w:hint="eastAsia"/>
                <w:b/>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tblHeader/>
          <w:jc w:val="center"/>
        </w:trPr>
        <w:tc>
          <w:tcPr>
            <w:tcW w:w="2641" w:type="dxa"/>
            <w:gridSpan w:val="2"/>
            <w:vMerge w:val="continue"/>
            <w:tcBorders>
              <w:tl2br w:val="nil"/>
              <w:tr2bl w:val="nil"/>
            </w:tcBorders>
            <w:vAlign w:val="center"/>
          </w:tcPr>
          <w:p>
            <w:pPr>
              <w:pStyle w:val="3"/>
              <w:adjustRightInd w:val="0"/>
              <w:spacing w:before="24" w:after="24" w:line="240" w:lineRule="atLeast"/>
              <w:ind w:firstLine="400"/>
              <w:jc w:val="both"/>
              <w:rPr>
                <w:bCs w:val="0"/>
                <w:szCs w:val="21"/>
              </w:rPr>
            </w:pPr>
          </w:p>
        </w:tc>
        <w:tc>
          <w:tcPr>
            <w:tcW w:w="1580" w:type="dxa"/>
            <w:vMerge w:val="continue"/>
            <w:tcBorders>
              <w:tl2br w:val="nil"/>
              <w:tr2bl w:val="nil"/>
            </w:tcBorders>
            <w:vAlign w:val="center"/>
          </w:tcPr>
          <w:p>
            <w:pPr>
              <w:pStyle w:val="3"/>
              <w:adjustRightInd w:val="0"/>
              <w:spacing w:before="24" w:after="24" w:line="240" w:lineRule="atLeast"/>
              <w:ind w:firstLine="402"/>
              <w:rPr>
                <w:b/>
                <w:szCs w:val="21"/>
              </w:rPr>
            </w:pPr>
          </w:p>
        </w:tc>
        <w:tc>
          <w:tcPr>
            <w:tcW w:w="1581" w:type="dxa"/>
            <w:vMerge w:val="continue"/>
            <w:tcBorders>
              <w:tl2br w:val="nil"/>
              <w:tr2bl w:val="nil"/>
            </w:tcBorders>
            <w:vAlign w:val="center"/>
          </w:tcPr>
          <w:p>
            <w:pPr>
              <w:pStyle w:val="3"/>
              <w:adjustRightInd w:val="0"/>
              <w:spacing w:before="24" w:after="24" w:line="240" w:lineRule="atLeast"/>
              <w:ind w:firstLine="402"/>
              <w:rPr>
                <w:b/>
                <w:szCs w:val="21"/>
              </w:rPr>
            </w:pPr>
          </w:p>
        </w:tc>
        <w:tc>
          <w:tcPr>
            <w:tcW w:w="1930" w:type="dxa"/>
            <w:gridSpan w:val="2"/>
            <w:vMerge w:val="continue"/>
            <w:tcBorders>
              <w:tl2br w:val="nil"/>
              <w:tr2bl w:val="nil"/>
            </w:tcBorders>
            <w:vAlign w:val="center"/>
          </w:tcPr>
          <w:p>
            <w:pPr>
              <w:spacing w:line="240" w:lineRule="exact"/>
              <w:jc w:val="center"/>
              <w:rPr>
                <w:b/>
                <w:bCs/>
                <w:szCs w:val="21"/>
              </w:rPr>
            </w:pPr>
          </w:p>
        </w:tc>
        <w:tc>
          <w:tcPr>
            <w:tcW w:w="2126" w:type="dxa"/>
            <w:gridSpan w:val="2"/>
            <w:tcBorders>
              <w:tl2br w:val="nil"/>
              <w:tr2bl w:val="nil"/>
            </w:tcBorders>
            <w:vAlign w:val="center"/>
          </w:tcPr>
          <w:p>
            <w:pPr>
              <w:spacing w:line="240" w:lineRule="exact"/>
              <w:jc w:val="center"/>
              <w:rPr>
                <w:b/>
                <w:bCs/>
                <w:szCs w:val="21"/>
              </w:rPr>
            </w:pPr>
            <w:r>
              <w:rPr>
                <w:b/>
                <w:bCs/>
                <w:szCs w:val="21"/>
              </w:rPr>
              <w:t>城市绿化</w:t>
            </w:r>
            <w:r>
              <w:rPr>
                <w:rFonts w:hint="eastAsia"/>
                <w:b/>
                <w:bCs/>
                <w:szCs w:val="21"/>
              </w:rPr>
              <w:t>、道路清扫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tblHeader/>
          <w:jc w:val="center"/>
        </w:trPr>
        <w:tc>
          <w:tcPr>
            <w:tcW w:w="2641" w:type="dxa"/>
            <w:gridSpan w:val="2"/>
            <w:vMerge w:val="continue"/>
            <w:tcBorders>
              <w:tl2br w:val="nil"/>
              <w:tr2bl w:val="nil"/>
            </w:tcBorders>
            <w:vAlign w:val="center"/>
          </w:tcPr>
          <w:p>
            <w:pPr>
              <w:pStyle w:val="3"/>
              <w:adjustRightInd w:val="0"/>
              <w:spacing w:before="24" w:after="24" w:line="240" w:lineRule="atLeast"/>
              <w:ind w:firstLine="400"/>
              <w:jc w:val="both"/>
              <w:rPr>
                <w:bCs w:val="0"/>
                <w:szCs w:val="21"/>
              </w:rPr>
            </w:pPr>
          </w:p>
        </w:tc>
        <w:tc>
          <w:tcPr>
            <w:tcW w:w="1580" w:type="dxa"/>
            <w:vMerge w:val="continue"/>
            <w:tcBorders>
              <w:tl2br w:val="nil"/>
              <w:tr2bl w:val="nil"/>
            </w:tcBorders>
            <w:vAlign w:val="center"/>
          </w:tcPr>
          <w:p>
            <w:pPr>
              <w:spacing w:line="240" w:lineRule="exact"/>
              <w:jc w:val="center"/>
              <w:rPr>
                <w:b/>
                <w:szCs w:val="21"/>
              </w:rPr>
            </w:pPr>
          </w:p>
        </w:tc>
        <w:tc>
          <w:tcPr>
            <w:tcW w:w="1581" w:type="dxa"/>
            <w:vMerge w:val="continue"/>
            <w:tcBorders>
              <w:tl2br w:val="nil"/>
              <w:tr2bl w:val="nil"/>
            </w:tcBorders>
            <w:vAlign w:val="center"/>
          </w:tcPr>
          <w:p>
            <w:pPr>
              <w:spacing w:line="240" w:lineRule="exact"/>
              <w:jc w:val="center"/>
              <w:rPr>
                <w:b/>
                <w:szCs w:val="21"/>
              </w:rPr>
            </w:pPr>
          </w:p>
        </w:tc>
        <w:tc>
          <w:tcPr>
            <w:tcW w:w="938" w:type="dxa"/>
            <w:tcBorders>
              <w:tl2br w:val="nil"/>
              <w:tr2bl w:val="nil"/>
            </w:tcBorders>
            <w:vAlign w:val="center"/>
          </w:tcPr>
          <w:p>
            <w:pPr>
              <w:spacing w:line="240" w:lineRule="exact"/>
              <w:jc w:val="center"/>
              <w:rPr>
                <w:b/>
                <w:szCs w:val="21"/>
              </w:rPr>
            </w:pPr>
            <w:r>
              <w:rPr>
                <w:b/>
                <w:bCs/>
                <w:szCs w:val="21"/>
              </w:rPr>
              <w:t>标准值</w:t>
            </w:r>
          </w:p>
        </w:tc>
        <w:tc>
          <w:tcPr>
            <w:tcW w:w="992" w:type="dxa"/>
            <w:tcBorders>
              <w:tl2br w:val="nil"/>
              <w:tr2bl w:val="nil"/>
            </w:tcBorders>
            <w:vAlign w:val="center"/>
          </w:tcPr>
          <w:p>
            <w:pPr>
              <w:spacing w:line="240" w:lineRule="exact"/>
              <w:jc w:val="center"/>
              <w:rPr>
                <w:b/>
                <w:szCs w:val="21"/>
              </w:rPr>
            </w:pPr>
            <w:r>
              <w:rPr>
                <w:b/>
                <w:szCs w:val="21"/>
              </w:rPr>
              <w:t>达标</w:t>
            </w:r>
            <w:r>
              <w:rPr>
                <w:b/>
                <w:bCs/>
                <w:szCs w:val="21"/>
              </w:rPr>
              <w:t>情况</w:t>
            </w:r>
          </w:p>
        </w:tc>
        <w:tc>
          <w:tcPr>
            <w:tcW w:w="992" w:type="dxa"/>
            <w:tcBorders>
              <w:tl2br w:val="nil"/>
              <w:tr2bl w:val="nil"/>
            </w:tcBorders>
            <w:vAlign w:val="center"/>
          </w:tcPr>
          <w:p>
            <w:pPr>
              <w:spacing w:line="240" w:lineRule="exact"/>
              <w:jc w:val="center"/>
              <w:rPr>
                <w:b/>
                <w:bCs/>
                <w:szCs w:val="21"/>
              </w:rPr>
            </w:pPr>
            <w:r>
              <w:rPr>
                <w:b/>
                <w:bCs/>
                <w:szCs w:val="21"/>
              </w:rPr>
              <w:t>标准值</w:t>
            </w:r>
          </w:p>
        </w:tc>
        <w:tc>
          <w:tcPr>
            <w:tcW w:w="1134" w:type="dxa"/>
            <w:tcBorders>
              <w:tl2br w:val="nil"/>
              <w:tr2bl w:val="nil"/>
            </w:tcBorders>
            <w:vAlign w:val="center"/>
          </w:tcPr>
          <w:p>
            <w:pPr>
              <w:spacing w:line="240" w:lineRule="exact"/>
              <w:jc w:val="center"/>
              <w:rPr>
                <w:b/>
                <w:bCs/>
                <w:color w:val="000000"/>
                <w:kern w:val="0"/>
                <w:szCs w:val="21"/>
              </w:rPr>
            </w:pPr>
            <w:r>
              <w:rPr>
                <w:b/>
                <w:bCs/>
                <w:szCs w:val="21"/>
              </w:rPr>
              <w:t>达标</w:t>
            </w:r>
            <w:r>
              <w:rPr>
                <w:b/>
                <w:szCs w:val="21"/>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tLeast"/>
              <w:rPr>
                <w:bCs w:val="0"/>
                <w:color w:val="auto"/>
                <w:szCs w:val="21"/>
              </w:rPr>
            </w:pPr>
            <w:r>
              <w:rPr>
                <w:bCs w:val="0"/>
                <w:color w:val="auto"/>
                <w:szCs w:val="21"/>
              </w:rPr>
              <w:t>PH</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无量纲</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7.99</w:t>
            </w:r>
            <w:r>
              <w:rPr>
                <w:bCs w:val="0"/>
                <w:szCs w:val="21"/>
              </w:rPr>
              <w:t>~</w:t>
            </w:r>
            <w:r>
              <w:rPr>
                <w:rFonts w:hint="eastAsia"/>
                <w:bCs w:val="0"/>
                <w:szCs w:val="21"/>
              </w:rPr>
              <w:t>8.65</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7.65</w:t>
            </w:r>
            <w:r>
              <w:rPr>
                <w:bCs w:val="0"/>
                <w:szCs w:val="21"/>
              </w:rPr>
              <w:t>~</w:t>
            </w:r>
            <w:r>
              <w:rPr>
                <w:rFonts w:hint="eastAsia"/>
                <w:bCs w:val="0"/>
                <w:szCs w:val="21"/>
              </w:rPr>
              <w:t>7.92</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6~9</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tabs>
                <w:tab w:val="left" w:pos="640"/>
              </w:tabs>
              <w:adjustRightInd w:val="0"/>
              <w:spacing w:line="240" w:lineRule="exact"/>
              <w:jc w:val="center"/>
              <w:rPr>
                <w:szCs w:val="21"/>
              </w:rPr>
            </w:pPr>
            <w:r>
              <w:rPr>
                <w:szCs w:val="21"/>
              </w:rPr>
              <w:t>COD</w:t>
            </w:r>
            <w:r>
              <w:rPr>
                <w:szCs w:val="21"/>
                <w:vertAlign w:val="subscript"/>
              </w:rPr>
              <w:t>cr</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955</w:t>
            </w:r>
            <w:r>
              <w:rPr>
                <w:bCs w:val="0"/>
                <w:szCs w:val="21"/>
              </w:rPr>
              <w:t>~</w:t>
            </w:r>
            <w:r>
              <w:rPr>
                <w:rFonts w:hint="eastAsia"/>
                <w:bCs w:val="0"/>
                <w:szCs w:val="21"/>
              </w:rPr>
              <w:t>1021</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13</w:t>
            </w:r>
            <w:r>
              <w:rPr>
                <w:bCs w:val="0"/>
                <w:szCs w:val="21"/>
              </w:rPr>
              <w:t>~</w:t>
            </w:r>
            <w:r>
              <w:rPr>
                <w:rFonts w:hint="eastAsia"/>
                <w:bCs w:val="0"/>
                <w:szCs w:val="21"/>
              </w:rPr>
              <w:t>25</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60</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bCs w:val="0"/>
                <w:color w:val="auto"/>
                <w:szCs w:val="21"/>
              </w:rPr>
              <w:t>BOD</w:t>
            </w:r>
            <w:r>
              <w:rPr>
                <w:bCs w:val="0"/>
                <w:color w:val="auto"/>
                <w:szCs w:val="21"/>
                <w:vertAlign w:val="subscript"/>
              </w:rPr>
              <w:t>5</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409</w:t>
            </w:r>
            <w:r>
              <w:rPr>
                <w:bCs w:val="0"/>
                <w:szCs w:val="21"/>
              </w:rPr>
              <w:t>~</w:t>
            </w:r>
            <w:r>
              <w:rPr>
                <w:rFonts w:hint="eastAsia"/>
                <w:bCs w:val="0"/>
                <w:szCs w:val="21"/>
              </w:rPr>
              <w:t>481</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4.9</w:t>
            </w:r>
            <w:r>
              <w:rPr>
                <w:bCs w:val="0"/>
                <w:szCs w:val="21"/>
              </w:rPr>
              <w:t>~</w:t>
            </w:r>
            <w:r>
              <w:rPr>
                <w:rFonts w:hint="eastAsia"/>
                <w:bCs w:val="0"/>
                <w:szCs w:val="21"/>
              </w:rPr>
              <w:t>8.0</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20</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color w:val="auto"/>
                <w:szCs w:val="21"/>
              </w:rPr>
            </w:pPr>
            <w:r>
              <w:rPr>
                <w:bCs w:val="0"/>
                <w:color w:val="auto"/>
                <w:szCs w:val="21"/>
              </w:rPr>
              <w:t>氨氮</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62.5</w:t>
            </w:r>
            <w:r>
              <w:rPr>
                <w:bCs w:val="0"/>
                <w:szCs w:val="21"/>
              </w:rPr>
              <w:t>~</w:t>
            </w:r>
            <w:r>
              <w:rPr>
                <w:rFonts w:hint="eastAsia"/>
                <w:bCs w:val="0"/>
                <w:szCs w:val="21"/>
              </w:rPr>
              <w:t>471</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0.90</w:t>
            </w:r>
            <w:r>
              <w:rPr>
                <w:bCs w:val="0"/>
                <w:szCs w:val="21"/>
              </w:rPr>
              <w:t>~</w:t>
            </w:r>
            <w:r>
              <w:rPr>
                <w:rFonts w:hint="eastAsia"/>
                <w:bCs w:val="0"/>
                <w:szCs w:val="21"/>
              </w:rPr>
              <w:t>1.33</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8</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8</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bCs w:val="0"/>
                <w:szCs w:val="21"/>
              </w:rPr>
              <w:t>总氮</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70.5</w:t>
            </w:r>
            <w:r>
              <w:rPr>
                <w:bCs w:val="0"/>
                <w:szCs w:val="21"/>
              </w:rPr>
              <w:t>~</w:t>
            </w:r>
            <w:r>
              <w:rPr>
                <w:rFonts w:hint="eastAsia"/>
                <w:bCs w:val="0"/>
                <w:szCs w:val="21"/>
              </w:rPr>
              <w:t>491</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1.92</w:t>
            </w:r>
            <w:r>
              <w:rPr>
                <w:bCs w:val="0"/>
                <w:szCs w:val="21"/>
              </w:rPr>
              <w:t>~</w:t>
            </w:r>
            <w:r>
              <w:rPr>
                <w:rFonts w:hint="eastAsia"/>
                <w:bCs w:val="0"/>
                <w:szCs w:val="21"/>
              </w:rPr>
              <w:t>2.51</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20</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bCs w:val="0"/>
                <w:szCs w:val="21"/>
              </w:rPr>
              <w:t>SS</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124</w:t>
            </w:r>
            <w:r>
              <w:rPr>
                <w:bCs w:val="0"/>
                <w:szCs w:val="21"/>
              </w:rPr>
              <w:t>~</w:t>
            </w:r>
            <w:r>
              <w:rPr>
                <w:rFonts w:hint="eastAsia"/>
                <w:bCs w:val="0"/>
                <w:szCs w:val="21"/>
              </w:rPr>
              <w:t>146</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5</w:t>
            </w:r>
            <w:r>
              <w:rPr>
                <w:bCs w:val="0"/>
                <w:szCs w:val="21"/>
              </w:rPr>
              <w:t>~</w:t>
            </w:r>
            <w:r>
              <w:rPr>
                <w:rFonts w:hint="eastAsia"/>
                <w:bCs w:val="0"/>
                <w:szCs w:val="21"/>
              </w:rPr>
              <w:t>10</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30</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总磷</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2.81</w:t>
            </w:r>
            <w:r>
              <w:rPr>
                <w:bCs w:val="0"/>
                <w:szCs w:val="21"/>
              </w:rPr>
              <w:t>~</w:t>
            </w:r>
            <w:r>
              <w:rPr>
                <w:rFonts w:hint="eastAsia"/>
                <w:bCs w:val="0"/>
                <w:szCs w:val="21"/>
              </w:rPr>
              <w:t>9.22</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0.2</w:t>
            </w:r>
            <w:r>
              <w:rPr>
                <w:bCs w:val="0"/>
                <w:szCs w:val="21"/>
              </w:rPr>
              <w:t>~</w:t>
            </w:r>
            <w:r>
              <w:rPr>
                <w:rFonts w:hint="eastAsia"/>
                <w:bCs w:val="0"/>
                <w:szCs w:val="21"/>
              </w:rPr>
              <w:t>0.31</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1.5</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总汞</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58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0.001</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总镉</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58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0.01</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总铬</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0.012</w:t>
            </w:r>
            <w:r>
              <w:rPr>
                <w:bCs w:val="0"/>
                <w:szCs w:val="21"/>
              </w:rPr>
              <w:t>~</w:t>
            </w:r>
            <w:r>
              <w:rPr>
                <w:rFonts w:hint="eastAsia"/>
                <w:bCs w:val="0"/>
                <w:szCs w:val="21"/>
              </w:rPr>
              <w:t>0.018</w:t>
            </w:r>
          </w:p>
        </w:tc>
        <w:tc>
          <w:tcPr>
            <w:tcW w:w="158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0.1</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六价铬</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0.013</w:t>
            </w:r>
            <w:r>
              <w:rPr>
                <w:bCs w:val="0"/>
                <w:szCs w:val="21"/>
              </w:rPr>
              <w:t>~</w:t>
            </w:r>
            <w:r>
              <w:rPr>
                <w:rFonts w:hint="eastAsia"/>
                <w:bCs w:val="0"/>
                <w:szCs w:val="21"/>
              </w:rPr>
              <w:t>0.018</w:t>
            </w:r>
          </w:p>
        </w:tc>
        <w:tc>
          <w:tcPr>
            <w:tcW w:w="158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0.05</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总砷</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0.008</w:t>
            </w:r>
            <w:r>
              <w:rPr>
                <w:bCs w:val="0"/>
                <w:szCs w:val="21"/>
              </w:rPr>
              <w:t>~</w:t>
            </w:r>
            <w:r>
              <w:rPr>
                <w:rFonts w:hint="eastAsia"/>
                <w:bCs w:val="0"/>
                <w:szCs w:val="21"/>
              </w:rPr>
              <w:t>0.011</w:t>
            </w:r>
          </w:p>
        </w:tc>
        <w:tc>
          <w:tcPr>
            <w:tcW w:w="158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0.1</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总铅</w:t>
            </w:r>
          </w:p>
        </w:tc>
        <w:tc>
          <w:tcPr>
            <w:tcW w:w="1257"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58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0.1</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exact"/>
          <w:jc w:val="center"/>
        </w:trPr>
        <w:tc>
          <w:tcPr>
            <w:tcW w:w="1384"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色度</w:t>
            </w:r>
          </w:p>
        </w:tc>
        <w:tc>
          <w:tcPr>
            <w:tcW w:w="125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稀释倍数</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褐色液体</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10</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30</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30</w:t>
            </w:r>
          </w:p>
        </w:tc>
        <w:tc>
          <w:tcPr>
            <w:tcW w:w="1134"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粪大肠菌群数</w:t>
            </w:r>
          </w:p>
        </w:tc>
        <w:tc>
          <w:tcPr>
            <w:tcW w:w="1257"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个/L</w:t>
            </w:r>
          </w:p>
        </w:tc>
        <w:tc>
          <w:tcPr>
            <w:tcW w:w="1580"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1.4</w:t>
            </w:r>
            <w:r>
              <w:rPr>
                <w:rFonts w:ascii="Arial" w:hAnsi="Arial" w:cs="Arial"/>
                <w:bCs w:val="0"/>
                <w:szCs w:val="21"/>
              </w:rPr>
              <w:t>×</w:t>
            </w:r>
            <w:r>
              <w:rPr>
                <w:rFonts w:hint="eastAsia"/>
                <w:bCs w:val="0"/>
                <w:szCs w:val="21"/>
              </w:rPr>
              <w:t>10</w:t>
            </w:r>
            <w:r>
              <w:rPr>
                <w:rFonts w:hint="eastAsia"/>
                <w:bCs w:val="0"/>
                <w:szCs w:val="21"/>
                <w:vertAlign w:val="superscript"/>
              </w:rPr>
              <w:t>5</w:t>
            </w:r>
            <w:r>
              <w:rPr>
                <w:bCs w:val="0"/>
                <w:szCs w:val="21"/>
              </w:rPr>
              <w:t>~</w:t>
            </w:r>
            <w:r>
              <w:rPr>
                <w:rFonts w:hint="eastAsia"/>
                <w:bCs w:val="0"/>
                <w:szCs w:val="21"/>
              </w:rPr>
              <w:t>12.9</w:t>
            </w:r>
            <w:r>
              <w:rPr>
                <w:rFonts w:ascii="Arial" w:hAnsi="Arial" w:cs="Arial"/>
                <w:bCs w:val="0"/>
                <w:szCs w:val="21"/>
              </w:rPr>
              <w:t>×</w:t>
            </w:r>
            <w:r>
              <w:rPr>
                <w:rFonts w:hint="eastAsia"/>
                <w:bCs w:val="0"/>
                <w:szCs w:val="21"/>
              </w:rPr>
              <w:t>10</w:t>
            </w:r>
            <w:r>
              <w:rPr>
                <w:rFonts w:hint="eastAsia"/>
                <w:bCs w:val="0"/>
                <w:szCs w:val="21"/>
                <w:vertAlign w:val="superscript"/>
              </w:rPr>
              <w:t>5</w:t>
            </w:r>
          </w:p>
        </w:tc>
        <w:tc>
          <w:tcPr>
            <w:tcW w:w="158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210</w:t>
            </w:r>
            <w:r>
              <w:rPr>
                <w:bCs w:val="0"/>
                <w:szCs w:val="21"/>
              </w:rPr>
              <w:t>~</w:t>
            </w:r>
            <w:r>
              <w:rPr>
                <w:rFonts w:hint="eastAsia"/>
                <w:bCs w:val="0"/>
                <w:szCs w:val="21"/>
              </w:rPr>
              <w:t>380</w:t>
            </w:r>
          </w:p>
        </w:tc>
        <w:tc>
          <w:tcPr>
            <w:tcW w:w="93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10000</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exact"/>
              <w:rPr>
                <w:bCs w:val="0"/>
                <w:szCs w:val="21"/>
              </w:rPr>
            </w:pPr>
            <w:r>
              <w:rPr>
                <w:rFonts w:hint="eastAsia"/>
              </w:rPr>
              <w:t>大肠埃希氏菌</w:t>
            </w:r>
          </w:p>
        </w:tc>
        <w:tc>
          <w:tcPr>
            <w:tcW w:w="1257" w:type="dxa"/>
            <w:tcBorders>
              <w:tl2br w:val="nil"/>
              <w:tr2bl w:val="nil"/>
            </w:tcBorders>
            <w:vAlign w:val="center"/>
          </w:tcPr>
          <w:p>
            <w:pPr>
              <w:pStyle w:val="3"/>
              <w:adjustRightInd w:val="0"/>
              <w:spacing w:before="24" w:after="24" w:line="240" w:lineRule="exact"/>
              <w:rPr>
                <w:bCs w:val="0"/>
                <w:szCs w:val="21"/>
              </w:rPr>
            </w:pPr>
            <w:r>
              <w:rPr>
                <w:rFonts w:hint="eastAsia"/>
                <w:szCs w:val="21"/>
              </w:rPr>
              <w:t>CFU/100mL</w:t>
            </w:r>
          </w:p>
        </w:tc>
        <w:tc>
          <w:tcPr>
            <w:tcW w:w="1580"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28</w:t>
            </w:r>
            <w:r>
              <w:rPr>
                <w:bCs w:val="0"/>
                <w:szCs w:val="21"/>
              </w:rPr>
              <w:t>~</w:t>
            </w:r>
            <w:r>
              <w:rPr>
                <w:rFonts w:hint="eastAsia"/>
                <w:bCs w:val="0"/>
                <w:szCs w:val="21"/>
              </w:rPr>
              <w:t>45</w:t>
            </w:r>
          </w:p>
        </w:tc>
        <w:tc>
          <w:tcPr>
            <w:tcW w:w="158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&lt;3</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rPr>
              <w:t>无</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1" w:hRule="exact"/>
          <w:jc w:val="center"/>
        </w:trPr>
        <w:tc>
          <w:tcPr>
            <w:tcW w:w="1384" w:type="dxa"/>
            <w:tcBorders>
              <w:tl2br w:val="nil"/>
              <w:tr2bl w:val="nil"/>
            </w:tcBorders>
            <w:vAlign w:val="center"/>
          </w:tcPr>
          <w:p>
            <w:pPr>
              <w:pStyle w:val="3"/>
              <w:adjustRightInd w:val="0"/>
              <w:spacing w:before="24" w:after="24" w:line="240" w:lineRule="exact"/>
            </w:pPr>
            <w:r>
              <w:rPr>
                <w:rFonts w:hint="eastAsia"/>
              </w:rPr>
              <w:t>阴离子表面</w:t>
            </w:r>
          </w:p>
          <w:p>
            <w:pPr>
              <w:pStyle w:val="3"/>
              <w:adjustRightInd w:val="0"/>
              <w:spacing w:before="24" w:after="24" w:line="240" w:lineRule="exact"/>
              <w:rPr>
                <w:bCs w:val="0"/>
                <w:szCs w:val="21"/>
              </w:rPr>
            </w:pPr>
            <w:r>
              <w:rPr>
                <w:rFonts w:hint="eastAsia"/>
              </w:rPr>
              <w:t>活性剂</w:t>
            </w:r>
          </w:p>
        </w:tc>
        <w:tc>
          <w:tcPr>
            <w:tcW w:w="1257" w:type="dxa"/>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1580"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8.14</w:t>
            </w:r>
            <w:r>
              <w:rPr>
                <w:bCs w:val="0"/>
                <w:szCs w:val="21"/>
              </w:rPr>
              <w:t>~</w:t>
            </w:r>
            <w:r>
              <w:rPr>
                <w:rFonts w:hint="eastAsia"/>
                <w:bCs w:val="0"/>
                <w:szCs w:val="21"/>
              </w:rPr>
              <w:t>9.62</w:t>
            </w:r>
          </w:p>
        </w:tc>
        <w:tc>
          <w:tcPr>
            <w:tcW w:w="158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0.29</w:t>
            </w:r>
            <w:r>
              <w:rPr>
                <w:bCs w:val="0"/>
                <w:szCs w:val="21"/>
              </w:rPr>
              <w:t>~</w:t>
            </w:r>
            <w:r>
              <w:rPr>
                <w:rFonts w:hint="eastAsia"/>
                <w:bCs w:val="0"/>
                <w:szCs w:val="21"/>
              </w:rPr>
              <w:t>0.51</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t>≤</w:t>
            </w:r>
            <w:r>
              <w:rPr>
                <w:rFonts w:hint="eastAsia"/>
              </w:rPr>
              <w:t>0.5</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exact"/>
              <w:rPr>
                <w:bCs w:val="0"/>
                <w:szCs w:val="21"/>
              </w:rPr>
            </w:pPr>
            <w:r>
              <w:rPr>
                <w:rFonts w:hint="eastAsia"/>
              </w:rPr>
              <w:t>溶解氧</w:t>
            </w:r>
          </w:p>
        </w:tc>
        <w:tc>
          <w:tcPr>
            <w:tcW w:w="1257" w:type="dxa"/>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1580"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17.3</w:t>
            </w:r>
            <w:r>
              <w:rPr>
                <w:bCs w:val="0"/>
                <w:szCs w:val="21"/>
              </w:rPr>
              <w:t>~</w:t>
            </w:r>
            <w:r>
              <w:rPr>
                <w:rFonts w:hint="eastAsia"/>
                <w:bCs w:val="0"/>
                <w:szCs w:val="21"/>
              </w:rPr>
              <w:t>22.3</w:t>
            </w:r>
          </w:p>
        </w:tc>
        <w:tc>
          <w:tcPr>
            <w:tcW w:w="158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3</w:t>
            </w:r>
            <w:r>
              <w:rPr>
                <w:bCs w:val="0"/>
                <w:szCs w:val="21"/>
              </w:rPr>
              <w:t>~</w:t>
            </w:r>
            <w:r>
              <w:rPr>
                <w:rFonts w:hint="eastAsia"/>
                <w:bCs w:val="0"/>
                <w:szCs w:val="21"/>
              </w:rPr>
              <w:t>6.4</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t>≥</w:t>
            </w:r>
            <w:r>
              <w:rPr>
                <w:rFonts w:hint="eastAsia"/>
              </w:rPr>
              <w:t>2.0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exact"/>
              <w:rPr>
                <w:bCs w:val="0"/>
                <w:szCs w:val="21"/>
              </w:rPr>
            </w:pPr>
            <w:r>
              <w:rPr>
                <w:rFonts w:hint="eastAsia"/>
              </w:rPr>
              <w:t>溶解性总固体</w:t>
            </w:r>
          </w:p>
        </w:tc>
        <w:tc>
          <w:tcPr>
            <w:tcW w:w="1257" w:type="dxa"/>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1580"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655</w:t>
            </w:r>
            <w:r>
              <w:rPr>
                <w:bCs w:val="0"/>
                <w:szCs w:val="21"/>
              </w:rPr>
              <w:t>~</w:t>
            </w:r>
            <w:r>
              <w:rPr>
                <w:rFonts w:hint="eastAsia"/>
                <w:bCs w:val="0"/>
                <w:szCs w:val="21"/>
              </w:rPr>
              <w:t>914</w:t>
            </w:r>
          </w:p>
        </w:tc>
        <w:tc>
          <w:tcPr>
            <w:tcW w:w="158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159</w:t>
            </w:r>
            <w:r>
              <w:rPr>
                <w:bCs w:val="0"/>
                <w:szCs w:val="21"/>
              </w:rPr>
              <w:t>~</w:t>
            </w:r>
            <w:r>
              <w:rPr>
                <w:rFonts w:hint="eastAsia"/>
                <w:bCs w:val="0"/>
                <w:szCs w:val="21"/>
              </w:rPr>
              <w:t>362</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t>≤1000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exact"/>
            </w:pPr>
            <w:r>
              <w:rPr>
                <w:rFonts w:hint="eastAsia"/>
              </w:rPr>
              <w:t>嗅</w:t>
            </w:r>
          </w:p>
        </w:tc>
        <w:tc>
          <w:tcPr>
            <w:tcW w:w="1257" w:type="dxa"/>
            <w:tcBorders>
              <w:tl2br w:val="nil"/>
              <w:tr2bl w:val="nil"/>
            </w:tcBorders>
            <w:vAlign w:val="center"/>
          </w:tcPr>
          <w:p>
            <w:pPr>
              <w:pStyle w:val="3"/>
              <w:adjustRightInd w:val="0"/>
              <w:spacing w:before="24" w:after="24" w:line="240" w:lineRule="exact"/>
              <w:rPr>
                <w:szCs w:val="21"/>
              </w:rPr>
            </w:pPr>
          </w:p>
        </w:tc>
        <w:tc>
          <w:tcPr>
            <w:tcW w:w="1580"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明显</w:t>
            </w:r>
          </w:p>
        </w:tc>
        <w:tc>
          <w:tcPr>
            <w:tcW w:w="158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无</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pPr>
            <w:r>
              <w:rPr>
                <w:rFonts w:hint="eastAsia"/>
              </w:rPr>
              <w:t>无不快感</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384" w:type="dxa"/>
            <w:tcBorders>
              <w:tl2br w:val="nil"/>
              <w:tr2bl w:val="nil"/>
            </w:tcBorders>
            <w:vAlign w:val="center"/>
          </w:tcPr>
          <w:p>
            <w:pPr>
              <w:pStyle w:val="3"/>
              <w:adjustRightInd w:val="0"/>
              <w:spacing w:before="24" w:after="24" w:line="240" w:lineRule="auto"/>
            </w:pPr>
            <w:r>
              <w:rPr>
                <w:rFonts w:hint="eastAsia"/>
              </w:rPr>
              <w:t>浊度</w:t>
            </w:r>
          </w:p>
        </w:tc>
        <w:tc>
          <w:tcPr>
            <w:tcW w:w="1257" w:type="dxa"/>
            <w:tcBorders>
              <w:tl2br w:val="nil"/>
              <w:tr2bl w:val="nil"/>
            </w:tcBorders>
            <w:vAlign w:val="center"/>
          </w:tcPr>
          <w:p>
            <w:pPr>
              <w:pStyle w:val="3"/>
              <w:adjustRightInd w:val="0"/>
              <w:spacing w:before="24" w:after="24" w:line="240" w:lineRule="atLeast"/>
              <w:rPr>
                <w:szCs w:val="21"/>
              </w:rPr>
            </w:pPr>
            <w:r>
              <w:rPr>
                <w:rFonts w:hint="eastAsia"/>
                <w:szCs w:val="21"/>
              </w:rPr>
              <w:t>NTU</w:t>
            </w:r>
          </w:p>
        </w:tc>
        <w:tc>
          <w:tcPr>
            <w:tcW w:w="1580"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21</w:t>
            </w:r>
            <w:r>
              <w:rPr>
                <w:bCs w:val="0"/>
                <w:szCs w:val="21"/>
              </w:rPr>
              <w:t>~</w:t>
            </w:r>
            <w:r>
              <w:rPr>
                <w:rFonts w:hint="eastAsia"/>
                <w:bCs w:val="0"/>
                <w:szCs w:val="21"/>
              </w:rPr>
              <w:t>34</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3</w:t>
            </w:r>
            <w:r>
              <w:rPr>
                <w:bCs w:val="0"/>
                <w:szCs w:val="21"/>
              </w:rPr>
              <w:t>~</w:t>
            </w:r>
            <w:r>
              <w:rPr>
                <w:rFonts w:hint="eastAsia"/>
                <w:bCs w:val="0"/>
                <w:szCs w:val="21"/>
              </w:rPr>
              <w:t>4</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pPr>
            <w:r>
              <w:t>≤</w:t>
            </w:r>
            <w:r>
              <w:rPr>
                <w:rFonts w:hint="eastAsia"/>
              </w:rPr>
              <w:t>10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27" w:hRule="exact"/>
          <w:jc w:val="center"/>
        </w:trPr>
        <w:tc>
          <w:tcPr>
            <w:tcW w:w="1384" w:type="dxa"/>
            <w:tcBorders>
              <w:tl2br w:val="nil"/>
              <w:tr2bl w:val="nil"/>
            </w:tcBorders>
            <w:vAlign w:val="center"/>
          </w:tcPr>
          <w:p>
            <w:pPr>
              <w:pStyle w:val="3"/>
              <w:adjustRightInd w:val="0"/>
              <w:spacing w:before="24" w:after="24" w:line="240" w:lineRule="auto"/>
            </w:pPr>
            <w:r>
              <w:rPr>
                <w:rFonts w:hint="eastAsia"/>
              </w:rPr>
              <w:t>总氯</w:t>
            </w:r>
          </w:p>
        </w:tc>
        <w:tc>
          <w:tcPr>
            <w:tcW w:w="1257" w:type="dxa"/>
            <w:tcBorders>
              <w:tl2br w:val="nil"/>
              <w:tr2bl w:val="nil"/>
            </w:tcBorders>
            <w:vAlign w:val="center"/>
          </w:tcPr>
          <w:p>
            <w:pPr>
              <w:pStyle w:val="3"/>
              <w:adjustRightInd w:val="0"/>
              <w:spacing w:before="24" w:after="24" w:line="240" w:lineRule="atLeast"/>
              <w:rPr>
                <w:szCs w:val="21"/>
              </w:rPr>
            </w:pPr>
            <w:r>
              <w:rPr>
                <w:rFonts w:hint="eastAsia"/>
                <w:szCs w:val="21"/>
              </w:rPr>
              <w:t>mg/L</w:t>
            </w:r>
          </w:p>
        </w:tc>
        <w:tc>
          <w:tcPr>
            <w:tcW w:w="1580"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58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1.83</w:t>
            </w:r>
            <w:r>
              <w:rPr>
                <w:bCs w:val="0"/>
                <w:szCs w:val="21"/>
              </w:rPr>
              <w:t>~</w:t>
            </w:r>
            <w:r>
              <w:rPr>
                <w:rFonts w:hint="eastAsia"/>
                <w:bCs w:val="0"/>
                <w:szCs w:val="21"/>
              </w:rPr>
              <w:t>2.24</w:t>
            </w:r>
          </w:p>
        </w:tc>
        <w:tc>
          <w:tcPr>
            <w:tcW w:w="938"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exact"/>
            </w:pPr>
            <w:r>
              <w:t>≥</w:t>
            </w:r>
            <w:r>
              <w:rPr>
                <w:rFonts w:hint="eastAsia"/>
              </w:rPr>
              <w:t>1.0，绿化时不超2.5</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bl>
    <w:p>
      <w:pPr>
        <w:pStyle w:val="6"/>
        <w:spacing w:line="480" w:lineRule="exact"/>
      </w:pPr>
      <w:r>
        <w:rPr>
          <w:rFonts w:hint="eastAsia"/>
        </w:rPr>
        <w:t>3</w:t>
      </w:r>
      <w:r>
        <w:t>.</w:t>
      </w:r>
      <w:r>
        <w:rPr>
          <w:rFonts w:hint="eastAsia"/>
        </w:rPr>
        <w:t>1</w:t>
      </w:r>
      <w:r>
        <w:t>.</w:t>
      </w:r>
      <w:r>
        <w:rPr>
          <w:rFonts w:hint="eastAsia"/>
        </w:rPr>
        <w:t>3封场要求</w:t>
      </w:r>
    </w:p>
    <w:p>
      <w:pPr>
        <w:spacing w:line="480" w:lineRule="exact"/>
        <w:ind w:firstLine="480" w:firstLineChars="200"/>
        <w:rPr>
          <w:sz w:val="24"/>
        </w:rPr>
      </w:pPr>
      <w:r>
        <w:rPr>
          <w:rFonts w:hint="eastAsia"/>
          <w:sz w:val="24"/>
        </w:rPr>
        <w:t>壶关县第一垃圾填埋场目前处于停运、挂牌整改中，根据建设单位提供的资料，场地整改完成后将不再进行库区南侧二期填埋区的建设并将进行封场。</w:t>
      </w:r>
    </w:p>
    <w:p>
      <w:pPr>
        <w:pStyle w:val="2"/>
        <w:spacing w:line="480" w:lineRule="exact"/>
        <w:ind w:firstLine="480" w:firstLineChars="200"/>
      </w:pPr>
      <w:r>
        <w:rPr>
          <w:rFonts w:hint="eastAsia"/>
        </w:rPr>
        <w:t>针对壶关县第一垃圾填埋场封场后的环境影响，评价主要提出以下要求：运营单位应严格按照《生活垃圾填埋场封场技术规范》(GB51220-2017)、《生活垃圾卫生填埋处理技术规范》(GB50869-2013)、《生活垃圾填埋场污染控制标准》(GB16889-2008)等标准中的相关要求进行规范封场，主要包括垃圾堆体整形、覆盖工程、垃圾堆体绿化工程等，并继续做好场内渗滤液、填埋气的收集处置及地下水环境跟踪监测等工作。</w:t>
      </w:r>
    </w:p>
    <w:p>
      <w:pPr>
        <w:pStyle w:val="5"/>
        <w:spacing w:beforeLines="0" w:after="120"/>
        <w:rPr>
          <w:rFonts w:eastAsia="宋体"/>
          <w:b/>
          <w:bCs w:val="0"/>
          <w:color w:val="auto"/>
          <w:szCs w:val="30"/>
          <w:lang w:val="zh-CN"/>
        </w:rPr>
      </w:pPr>
      <w:bookmarkStart w:id="105" w:name="_Toc1393207445"/>
      <w:r>
        <w:rPr>
          <w:rFonts w:eastAsia="宋体"/>
          <w:b/>
          <w:bCs w:val="0"/>
          <w:color w:val="auto"/>
          <w:szCs w:val="30"/>
        </w:rPr>
        <w:t>3</w:t>
      </w:r>
      <w:r>
        <w:rPr>
          <w:rFonts w:eastAsia="宋体"/>
          <w:b/>
          <w:bCs w:val="0"/>
          <w:color w:val="auto"/>
          <w:szCs w:val="30"/>
          <w:lang w:val="zh-CN"/>
        </w:rPr>
        <w:t>.</w:t>
      </w:r>
      <w:r>
        <w:rPr>
          <w:rFonts w:hint="eastAsia" w:eastAsia="宋体"/>
          <w:b/>
          <w:bCs w:val="0"/>
          <w:color w:val="auto"/>
          <w:szCs w:val="30"/>
        </w:rPr>
        <w:t>2</w:t>
      </w:r>
      <w:r>
        <w:rPr>
          <w:rFonts w:hint="eastAsia" w:eastAsia="宋体"/>
          <w:b/>
          <w:bCs w:val="0"/>
          <w:color w:val="auto"/>
          <w:szCs w:val="30"/>
          <w:lang w:val="zh-CN"/>
        </w:rPr>
        <w:t>本项目</w:t>
      </w:r>
      <w:r>
        <w:rPr>
          <w:rFonts w:eastAsia="宋体"/>
          <w:b/>
          <w:bCs w:val="0"/>
          <w:color w:val="auto"/>
          <w:szCs w:val="30"/>
          <w:lang w:val="zh-CN"/>
        </w:rPr>
        <w:t>概况</w:t>
      </w:r>
      <w:bookmarkEnd w:id="105"/>
    </w:p>
    <w:p>
      <w:pPr>
        <w:pStyle w:val="6"/>
        <w:spacing w:line="480" w:lineRule="exact"/>
      </w:pPr>
      <w:r>
        <w:rPr>
          <w:rFonts w:hint="eastAsia"/>
        </w:rPr>
        <w:t>3</w:t>
      </w:r>
      <w:r>
        <w:t>.</w:t>
      </w:r>
      <w:r>
        <w:rPr>
          <w:rFonts w:hint="eastAsia"/>
        </w:rPr>
        <w:t>2</w:t>
      </w:r>
      <w:r>
        <w:t>.1</w:t>
      </w:r>
      <w:r>
        <w:rPr>
          <w:rFonts w:hint="eastAsia"/>
        </w:rPr>
        <w:t>项目基本情况</w:t>
      </w:r>
    </w:p>
    <w:p>
      <w:pPr>
        <w:spacing w:line="480" w:lineRule="exact"/>
        <w:ind w:firstLine="480" w:firstLineChars="200"/>
        <w:rPr>
          <w:sz w:val="24"/>
        </w:rPr>
      </w:pPr>
      <w:r>
        <w:rPr>
          <w:rFonts w:hint="eastAsia"/>
          <w:sz w:val="24"/>
        </w:rPr>
        <w:t>1、</w:t>
      </w:r>
      <w:r>
        <w:rPr>
          <w:sz w:val="24"/>
        </w:rPr>
        <w:t>项目名称：壶关县住房和城乡建设管理局县城生活垃圾处理二期工程项目</w:t>
      </w:r>
    </w:p>
    <w:p>
      <w:pPr>
        <w:spacing w:line="480" w:lineRule="exact"/>
        <w:ind w:left="1679" w:leftChars="228" w:hanging="1200" w:hangingChars="500"/>
        <w:rPr>
          <w:sz w:val="24"/>
        </w:rPr>
      </w:pPr>
      <w:r>
        <w:rPr>
          <w:rFonts w:hint="eastAsia"/>
          <w:sz w:val="24"/>
        </w:rPr>
        <w:t>2、建设单位：壶关县住房和城乡建设管理局</w:t>
      </w:r>
    </w:p>
    <w:p>
      <w:pPr>
        <w:spacing w:line="480" w:lineRule="exact"/>
        <w:ind w:left="1679" w:leftChars="228" w:hanging="1200" w:hangingChars="500"/>
        <w:rPr>
          <w:sz w:val="24"/>
        </w:rPr>
      </w:pPr>
      <w:r>
        <w:rPr>
          <w:rFonts w:hint="eastAsia"/>
          <w:sz w:val="24"/>
        </w:rPr>
        <w:t>3、建设项目性质：新建</w:t>
      </w:r>
    </w:p>
    <w:p>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4、建设地点：壶关县集店镇辛村村东约700m处，场地中心地理坐标东经113°15′57.53"，北纬36°11′</w:t>
      </w:r>
      <w:r>
        <w:rPr>
          <w:color w:val="000000" w:themeColor="text1"/>
          <w:sz w:val="24"/>
          <w14:textFill>
            <w14:solidFill>
              <w14:schemeClr w14:val="tx1"/>
            </w14:solidFill>
          </w14:textFill>
        </w:rPr>
        <w:t>10.23</w:t>
      </w:r>
      <w:r>
        <w:rPr>
          <w:rFonts w:hint="eastAsia"/>
          <w:color w:val="000000" w:themeColor="text1"/>
          <w:sz w:val="24"/>
          <w14:textFill>
            <w14:solidFill>
              <w14:schemeClr w14:val="tx1"/>
            </w14:solidFill>
          </w14:textFill>
        </w:rPr>
        <w:t>"</w:t>
      </w:r>
    </w:p>
    <w:p>
      <w:pPr>
        <w:spacing w:line="480" w:lineRule="exact"/>
        <w:ind w:firstLine="480" w:firstLineChars="200"/>
        <w:rPr>
          <w:sz w:val="24"/>
        </w:rPr>
      </w:pPr>
      <w:r>
        <w:rPr>
          <w:rFonts w:hint="eastAsia"/>
          <w:sz w:val="24"/>
        </w:rPr>
        <w:t>5、项目工程类型：平原型填埋场</w:t>
      </w:r>
    </w:p>
    <w:p>
      <w:pPr>
        <w:adjustRightInd w:val="0"/>
        <w:snapToGrid w:val="0"/>
        <w:spacing w:line="480" w:lineRule="exact"/>
        <w:ind w:firstLine="480" w:firstLineChars="200"/>
        <w:rPr>
          <w:sz w:val="24"/>
        </w:rPr>
      </w:pPr>
      <w:r>
        <w:rPr>
          <w:rFonts w:hint="eastAsia"/>
          <w:sz w:val="24"/>
        </w:rPr>
        <w:t>6、建设规模：项目占地面积</w:t>
      </w:r>
      <w:r>
        <w:rPr>
          <w:sz w:val="24"/>
        </w:rPr>
        <w:t>约53397.44</w:t>
      </w:r>
      <w:r>
        <w:rPr>
          <w:rFonts w:hint="eastAsia"/>
          <w:sz w:val="24"/>
        </w:rPr>
        <w:t>m</w:t>
      </w:r>
      <w:r>
        <w:rPr>
          <w:rFonts w:hint="eastAsia"/>
          <w:sz w:val="24"/>
          <w:vertAlign w:val="superscript"/>
        </w:rPr>
        <w:t>2</w:t>
      </w:r>
      <w:r>
        <w:rPr>
          <w:sz w:val="24"/>
        </w:rPr>
        <w:t>（</w:t>
      </w:r>
      <w:r>
        <w:rPr>
          <w:rFonts w:hint="eastAsia"/>
          <w:sz w:val="24"/>
        </w:rPr>
        <w:t>其中填埋库区面积约36600m</w:t>
      </w:r>
      <w:r>
        <w:rPr>
          <w:rFonts w:hint="eastAsia"/>
          <w:sz w:val="24"/>
          <w:vertAlign w:val="superscript"/>
        </w:rPr>
        <w:t>2</w:t>
      </w:r>
      <w:r>
        <w:rPr>
          <w:sz w:val="24"/>
        </w:rPr>
        <w:t>）</w:t>
      </w:r>
      <w:r>
        <w:rPr>
          <w:rFonts w:hint="eastAsia"/>
          <w:sz w:val="24"/>
        </w:rPr>
        <w:t>，总库容60万m</w:t>
      </w:r>
      <w:r>
        <w:rPr>
          <w:rFonts w:hint="eastAsia"/>
          <w:sz w:val="24"/>
          <w:vertAlign w:val="superscript"/>
        </w:rPr>
        <w:t>3</w:t>
      </w:r>
      <w:r>
        <w:rPr>
          <w:rFonts w:hint="eastAsia"/>
          <w:sz w:val="24"/>
        </w:rPr>
        <w:t>，服务范围主要为壶关县城及周边的集店镇、常平开发区，日处理垃圾量125t/d，设计服务年限约12年。</w:t>
      </w:r>
    </w:p>
    <w:p>
      <w:pPr>
        <w:adjustRightInd w:val="0"/>
        <w:snapToGrid w:val="0"/>
        <w:spacing w:line="480" w:lineRule="exact"/>
        <w:ind w:firstLine="480" w:firstLineChars="200"/>
        <w:rPr>
          <w:sz w:val="24"/>
        </w:rPr>
      </w:pPr>
      <w:r>
        <w:rPr>
          <w:rFonts w:hint="eastAsia"/>
          <w:sz w:val="24"/>
        </w:rPr>
        <w:t>根据《生活垃圾卫生填埋处理技术规范》(GB50869-2013)，项目拟建填埋场地规模为IV类。</w:t>
      </w:r>
    </w:p>
    <w:p>
      <w:pPr>
        <w:spacing w:line="480" w:lineRule="exact"/>
        <w:ind w:firstLine="480" w:firstLineChars="200"/>
        <w:rPr>
          <w:rFonts w:cs="宋体"/>
          <w:kern w:val="0"/>
          <w:sz w:val="24"/>
        </w:rPr>
      </w:pPr>
      <w:r>
        <w:rPr>
          <w:rFonts w:hint="eastAsia"/>
          <w:sz w:val="24"/>
        </w:rPr>
        <w:t>7、建设周期和投资估算：</w:t>
      </w:r>
      <w:r>
        <w:rPr>
          <w:sz w:val="24"/>
        </w:rPr>
        <w:t>项目</w:t>
      </w:r>
      <w:r>
        <w:rPr>
          <w:color w:val="000000"/>
          <w:kern w:val="0"/>
          <w:sz w:val="24"/>
        </w:rPr>
        <w:t>建</w:t>
      </w:r>
      <w:r>
        <w:rPr>
          <w:kern w:val="0"/>
          <w:sz w:val="24"/>
        </w:rPr>
        <w:t>设周期约为</w:t>
      </w:r>
      <w:r>
        <w:rPr>
          <w:rFonts w:hint="eastAsia"/>
          <w:kern w:val="0"/>
          <w:sz w:val="24"/>
        </w:rPr>
        <w:t>12月，</w:t>
      </w:r>
      <w:r>
        <w:rPr>
          <w:rFonts w:hint="eastAsia"/>
          <w:sz w:val="24"/>
        </w:rPr>
        <w:t>总投资估算约2638.82万元，全部由壶关县财政统筹解决。</w:t>
      </w:r>
    </w:p>
    <w:p>
      <w:pPr>
        <w:pStyle w:val="6"/>
        <w:spacing w:line="480" w:lineRule="exact"/>
      </w:pPr>
      <w:r>
        <w:rPr>
          <w:rFonts w:hint="eastAsia"/>
        </w:rPr>
        <w:t>3</w:t>
      </w:r>
      <w:r>
        <w:t>.</w:t>
      </w:r>
      <w:r>
        <w:rPr>
          <w:rFonts w:hint="eastAsia"/>
        </w:rPr>
        <w:t>2</w:t>
      </w:r>
      <w:r>
        <w:t>.</w:t>
      </w:r>
      <w:r>
        <w:rPr>
          <w:rFonts w:hint="eastAsia"/>
        </w:rPr>
        <w:t>2场地及四邻</w:t>
      </w:r>
    </w:p>
    <w:p>
      <w:pPr>
        <w:spacing w:line="480" w:lineRule="exact"/>
        <w:ind w:firstLine="480" w:firstLineChars="200"/>
        <w:rPr>
          <w:sz w:val="24"/>
        </w:rPr>
      </w:pPr>
      <w:r>
        <w:rPr>
          <w:rFonts w:hint="eastAsia"/>
          <w:sz w:val="24"/>
        </w:rPr>
        <w:t>现场调查，项目区域属农村地区，场地周围主要为农田及村庄，其中距离最近的村庄为南侧约670m处的逢善村，其次为西侧约700m处的辛村村。另外，场地东、南侧不远处分布有长治绕城高速和平长高速及高速互通，区域交通较为便利。</w:t>
      </w:r>
    </w:p>
    <w:p>
      <w:pPr>
        <w:jc w:val="center"/>
        <w:rPr>
          <w:sz w:val="24"/>
        </w:rPr>
      </w:pPr>
      <w:r>
        <w:rPr>
          <w:sz w:val="24"/>
        </w:rPr>
        <w:drawing>
          <wp:inline distT="0" distB="0" distL="0" distR="0">
            <wp:extent cx="5274310" cy="3642995"/>
            <wp:effectExtent l="19050" t="0" r="2540" b="0"/>
            <wp:docPr id="4" name="图片 3" descr="四邻位置关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四邻位置关系.jpg"/>
                    <pic:cNvPicPr>
                      <a:picLocks noChangeAspect="1"/>
                    </pic:cNvPicPr>
                  </pic:nvPicPr>
                  <pic:blipFill>
                    <a:blip r:embed="rId43" cstate="print"/>
                    <a:stretch>
                      <a:fillRect/>
                    </a:stretch>
                  </pic:blipFill>
                  <pic:spPr>
                    <a:xfrm>
                      <a:off x="0" y="0"/>
                      <a:ext cx="5274310" cy="3642995"/>
                    </a:xfrm>
                    <a:prstGeom prst="rect">
                      <a:avLst/>
                    </a:prstGeom>
                  </pic:spPr>
                </pic:pic>
              </a:graphicData>
            </a:graphic>
          </wp:inline>
        </w:drawing>
      </w:r>
    </w:p>
    <w:p>
      <w:pPr>
        <w:pStyle w:val="10"/>
        <w:spacing w:line="300" w:lineRule="exact"/>
        <w:ind w:firstLine="0" w:firstLineChars="0"/>
        <w:jc w:val="center"/>
        <w:rPr>
          <w:b/>
          <w:bCs/>
          <w:sz w:val="24"/>
          <w:szCs w:val="24"/>
        </w:rPr>
      </w:pPr>
      <w:r>
        <w:rPr>
          <w:rFonts w:hint="eastAsia"/>
          <w:b/>
          <w:bCs/>
          <w:sz w:val="24"/>
          <w:szCs w:val="24"/>
        </w:rPr>
        <w:t>项目场地四邻位置图</w:t>
      </w:r>
    </w:p>
    <w:p>
      <w:pPr>
        <w:pStyle w:val="6"/>
        <w:spacing w:line="480" w:lineRule="exact"/>
      </w:pPr>
      <w:r>
        <w:rPr>
          <w:rFonts w:hint="eastAsia"/>
        </w:rPr>
        <w:t>3</w:t>
      </w:r>
      <w:r>
        <w:t>.</w:t>
      </w:r>
      <w:r>
        <w:rPr>
          <w:rFonts w:hint="eastAsia"/>
        </w:rPr>
        <w:t>2</w:t>
      </w:r>
      <w:r>
        <w:t>.</w:t>
      </w:r>
      <w:r>
        <w:rPr>
          <w:rFonts w:hint="eastAsia"/>
        </w:rPr>
        <w:t>3场地总平面布置</w:t>
      </w:r>
    </w:p>
    <w:p>
      <w:pPr>
        <w:spacing w:line="480" w:lineRule="exact"/>
        <w:ind w:firstLine="480" w:firstLineChars="200"/>
        <w:rPr>
          <w:sz w:val="24"/>
        </w:rPr>
      </w:pPr>
      <w:r>
        <w:rPr>
          <w:rFonts w:hint="eastAsia"/>
          <w:sz w:val="24"/>
        </w:rPr>
        <w:t>项目场地总面积约53397.44m</w:t>
      </w:r>
      <w:r>
        <w:rPr>
          <w:rFonts w:hint="eastAsia"/>
          <w:sz w:val="24"/>
          <w:vertAlign w:val="superscript"/>
        </w:rPr>
        <w:t>2</w:t>
      </w:r>
      <w:r>
        <w:rPr>
          <w:rFonts w:hint="eastAsia"/>
          <w:sz w:val="24"/>
        </w:rPr>
        <w:t>（80亩），平面布置近视为矩形，按功能划分，场内主要包括填埋作业区、办公管理区、渗滤液处理车间、填埋气抽气机房等，其中填埋作业区位于场内中央大部，面积约36600m</w:t>
      </w:r>
      <w:r>
        <w:rPr>
          <w:rFonts w:hint="eastAsia"/>
          <w:sz w:val="24"/>
          <w:vertAlign w:val="superscript"/>
        </w:rPr>
        <w:t>2</w:t>
      </w:r>
      <w:r>
        <w:rPr>
          <w:rFonts w:hint="eastAsia"/>
          <w:sz w:val="24"/>
        </w:rPr>
        <w:t>，库区围合坝顶呈近似174m×210m的矩形，办公管理区、渗滤液处理车间及洗车平台、磅房等并排位于填埋区北侧、场地大门入口处，填埋气抽气机房位于填埋区外东南角。项目场地平面布置情况具体详见附图3.2-1。</w:t>
      </w:r>
    </w:p>
    <w:p>
      <w:pPr>
        <w:pStyle w:val="6"/>
        <w:spacing w:line="480" w:lineRule="exact"/>
      </w:pPr>
      <w:r>
        <w:rPr>
          <w:rFonts w:hint="eastAsia"/>
        </w:rPr>
        <w:t>3</w:t>
      </w:r>
      <w:r>
        <w:t>.</w:t>
      </w:r>
      <w:r>
        <w:rPr>
          <w:rFonts w:hint="eastAsia"/>
        </w:rPr>
        <w:t>2</w:t>
      </w:r>
      <w:r>
        <w:t>.</w:t>
      </w:r>
      <w:r>
        <w:rPr>
          <w:rFonts w:hint="eastAsia"/>
        </w:rPr>
        <w:t>4建设进度</w:t>
      </w:r>
    </w:p>
    <w:p>
      <w:pPr>
        <w:spacing w:line="480" w:lineRule="exact"/>
        <w:ind w:firstLine="480" w:firstLineChars="200"/>
        <w:jc w:val="left"/>
        <w:rPr>
          <w:sz w:val="24"/>
        </w:rPr>
      </w:pPr>
      <w:r>
        <w:rPr>
          <w:rFonts w:hint="eastAsia"/>
          <w:sz w:val="24"/>
        </w:rPr>
        <w:t>考虑到第一填埋场停运、挂牌整治及县城生活垃圾的去向问题，本项目已于2018年7月开工建设，2019年7月基本建设完成，2020年9月通过工程竣工验收投入使用，目前本项目场区已有生活垃圾进场填埋。</w:t>
      </w:r>
    </w:p>
    <w:p>
      <w:pPr>
        <w:pStyle w:val="6"/>
        <w:spacing w:line="480" w:lineRule="exact"/>
      </w:pPr>
      <w:r>
        <w:rPr>
          <w:rFonts w:hint="eastAsia"/>
        </w:rPr>
        <w:t>3</w:t>
      </w:r>
      <w:r>
        <w:t>.</w:t>
      </w:r>
      <w:r>
        <w:rPr>
          <w:rFonts w:hint="eastAsia"/>
        </w:rPr>
        <w:t>2</w:t>
      </w:r>
      <w:r>
        <w:t>.</w:t>
      </w:r>
      <w:r>
        <w:rPr>
          <w:rFonts w:hint="eastAsia"/>
        </w:rPr>
        <w:t>5工程内容及项目组成</w:t>
      </w:r>
    </w:p>
    <w:p>
      <w:pPr>
        <w:spacing w:line="480" w:lineRule="exact"/>
        <w:ind w:firstLine="480" w:firstLineChars="200"/>
        <w:rPr>
          <w:sz w:val="24"/>
        </w:rPr>
        <w:sectPr>
          <w:headerReference r:id="rId10" w:type="default"/>
          <w:footerReference r:id="rId11" w:type="default"/>
          <w:pgSz w:w="11906" w:h="16838"/>
          <w:pgMar w:top="1245" w:right="1800" w:bottom="1440" w:left="1800" w:header="907" w:footer="992" w:gutter="0"/>
          <w:cols w:space="425" w:num="1"/>
          <w:docGrid w:type="lines" w:linePitch="312" w:charSpace="0"/>
        </w:sectPr>
      </w:pPr>
      <w:r>
        <w:rPr>
          <w:rFonts w:hint="eastAsia"/>
          <w:sz w:val="24"/>
        </w:rPr>
        <w:t>项目工程</w:t>
      </w:r>
      <w:r>
        <w:rPr>
          <w:sz w:val="24"/>
        </w:rPr>
        <w:t>建设内容主要包括</w:t>
      </w:r>
      <w:r>
        <w:rPr>
          <w:rFonts w:hint="eastAsia"/>
          <w:sz w:val="24"/>
        </w:rPr>
        <w:t>填埋库区（含围合坝、防渗系统、渗滤液收集导排、填埋气收集导排等）、渗滤液处理系统、填埋气处理系统、办公管理区及道路工程、公用工程等。具体详见下表。</w:t>
      </w:r>
    </w:p>
    <w:p>
      <w:pPr>
        <w:spacing w:line="500" w:lineRule="exact"/>
        <w:ind w:firstLine="480"/>
        <w:jc w:val="center"/>
        <w:rPr>
          <w:b/>
          <w:kern w:val="0"/>
          <w:sz w:val="24"/>
        </w:rPr>
      </w:pPr>
      <w:r>
        <w:rPr>
          <w:b/>
          <w:spacing w:val="4"/>
          <w:sz w:val="24"/>
        </w:rPr>
        <w:t>表3.</w:t>
      </w:r>
      <w:r>
        <w:rPr>
          <w:rFonts w:hint="eastAsia"/>
          <w:b/>
          <w:spacing w:val="4"/>
          <w:sz w:val="24"/>
        </w:rPr>
        <w:t>2</w:t>
      </w:r>
      <w:r>
        <w:rPr>
          <w:b/>
          <w:spacing w:val="4"/>
          <w:sz w:val="24"/>
        </w:rPr>
        <w:t>-</w:t>
      </w:r>
      <w:r>
        <w:rPr>
          <w:rFonts w:hint="eastAsia"/>
          <w:b/>
          <w:spacing w:val="4"/>
          <w:sz w:val="24"/>
        </w:rPr>
        <w:t>1</w:t>
      </w:r>
      <w:r>
        <w:rPr>
          <w:b/>
          <w:spacing w:val="4"/>
          <w:sz w:val="24"/>
        </w:rPr>
        <w:t>项目建设内容</w:t>
      </w:r>
      <w:r>
        <w:rPr>
          <w:b/>
          <w:kern w:val="0"/>
          <w:sz w:val="24"/>
        </w:rPr>
        <w:t>组成一览表</w:t>
      </w:r>
    </w:p>
    <w:tbl>
      <w:tblPr>
        <w:tblStyle w:val="29"/>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4"/>
        <w:gridCol w:w="890"/>
        <w:gridCol w:w="1465"/>
        <w:gridCol w:w="9467"/>
        <w:gridCol w:w="17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exact"/>
          <w:jc w:val="center"/>
        </w:trPr>
        <w:tc>
          <w:tcPr>
            <w:tcW w:w="569" w:type="pct"/>
            <w:gridSpan w:val="2"/>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类别</w:t>
            </w:r>
          </w:p>
        </w:tc>
        <w:tc>
          <w:tcPr>
            <w:tcW w:w="510"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建设名称</w:t>
            </w:r>
          </w:p>
        </w:tc>
        <w:tc>
          <w:tcPr>
            <w:tcW w:w="3296"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主要内容</w:t>
            </w:r>
          </w:p>
        </w:tc>
        <w:tc>
          <w:tcPr>
            <w:tcW w:w="624"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259" w:type="pct"/>
            <w:vMerge w:val="restart"/>
            <w:tcBorders>
              <w:tl2br w:val="nil"/>
              <w:tr2bl w:val="nil"/>
            </w:tcBorders>
            <w:vAlign w:val="center"/>
          </w:tcPr>
          <w:p>
            <w:pPr>
              <w:spacing w:line="280" w:lineRule="exact"/>
              <w:jc w:val="center"/>
              <w:rPr>
                <w:bCs/>
                <w:szCs w:val="21"/>
              </w:rPr>
            </w:pPr>
            <w:r>
              <w:rPr>
                <w:bCs/>
                <w:szCs w:val="21"/>
              </w:rPr>
              <w:t>主体工程</w:t>
            </w:r>
          </w:p>
        </w:tc>
        <w:tc>
          <w:tcPr>
            <w:tcW w:w="309" w:type="pct"/>
            <w:vMerge w:val="restart"/>
            <w:tcBorders>
              <w:tl2br w:val="nil"/>
              <w:tr2bl w:val="nil"/>
            </w:tcBorders>
            <w:vAlign w:val="center"/>
          </w:tcPr>
          <w:p>
            <w:pPr>
              <w:pStyle w:val="15"/>
              <w:spacing w:line="280" w:lineRule="exact"/>
              <w:jc w:val="center"/>
              <w:rPr>
                <w:rFonts w:ascii="Times New Roman"/>
                <w:bCs/>
                <w:sz w:val="21"/>
                <w:szCs w:val="21"/>
              </w:rPr>
            </w:pPr>
            <w:r>
              <w:rPr>
                <w:rFonts w:ascii="Times New Roman"/>
                <w:bCs/>
                <w:sz w:val="21"/>
                <w:szCs w:val="21"/>
              </w:rPr>
              <w:t>填埋区</w:t>
            </w:r>
          </w:p>
        </w:tc>
        <w:tc>
          <w:tcPr>
            <w:tcW w:w="510" w:type="pct"/>
            <w:tcBorders>
              <w:tl2br w:val="nil"/>
              <w:tr2bl w:val="nil"/>
            </w:tcBorders>
            <w:vAlign w:val="center"/>
          </w:tcPr>
          <w:p>
            <w:pPr>
              <w:autoSpaceDE w:val="0"/>
              <w:autoSpaceDN w:val="0"/>
              <w:adjustRightInd w:val="0"/>
              <w:spacing w:line="280" w:lineRule="exact"/>
              <w:jc w:val="center"/>
              <w:rPr>
                <w:szCs w:val="21"/>
              </w:rPr>
            </w:pPr>
            <w:r>
              <w:rPr>
                <w:rFonts w:hint="eastAsia"/>
                <w:szCs w:val="21"/>
              </w:rPr>
              <w:t>围合</w:t>
            </w:r>
            <w:r>
              <w:rPr>
                <w:szCs w:val="21"/>
              </w:rPr>
              <w:t>坝</w:t>
            </w:r>
          </w:p>
        </w:tc>
        <w:tc>
          <w:tcPr>
            <w:tcW w:w="3296" w:type="pct"/>
            <w:tcBorders>
              <w:tl2br w:val="nil"/>
              <w:tr2bl w:val="nil"/>
            </w:tcBorders>
            <w:vAlign w:val="center"/>
          </w:tcPr>
          <w:p>
            <w:pPr>
              <w:autoSpaceDE w:val="0"/>
              <w:autoSpaceDN w:val="0"/>
              <w:adjustRightInd w:val="0"/>
              <w:spacing w:line="250" w:lineRule="exact"/>
              <w:jc w:val="left"/>
              <w:rPr>
                <w:szCs w:val="21"/>
              </w:rPr>
            </w:pPr>
            <w:r>
              <w:rPr>
                <w:rFonts w:hint="eastAsia"/>
                <w:szCs w:val="21"/>
              </w:rPr>
              <w:t>碾压均质土坝，坝高约10m，坝顶宽约5m，坝底宽约45m，长度共约770m。</w:t>
            </w:r>
          </w:p>
        </w:tc>
        <w:tc>
          <w:tcPr>
            <w:tcW w:w="624" w:type="pct"/>
            <w:tcBorders>
              <w:tl2br w:val="nil"/>
              <w:tr2bl w:val="nil"/>
            </w:tcBorders>
            <w:vAlign w:val="center"/>
          </w:tcPr>
          <w:p>
            <w:pPr>
              <w:pStyle w:val="17"/>
              <w:tabs>
                <w:tab w:val="left" w:pos="0"/>
              </w:tabs>
              <w:spacing w:after="0" w:line="280" w:lineRule="exact"/>
              <w:ind w:left="0" w:leftChars="0"/>
              <w:jc w:val="center"/>
              <w:rPr>
                <w:bCs/>
                <w:szCs w:val="21"/>
              </w:rPr>
            </w:pPr>
            <w:r>
              <w:rPr>
                <w:rFonts w:hint="eastAsia"/>
                <w:bCs/>
                <w:szCs w:val="21"/>
              </w:rPr>
              <w:t>已</w:t>
            </w:r>
            <w:r>
              <w:rPr>
                <w:bCs/>
                <w:szCs w:val="21"/>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3" w:hRule="exact"/>
          <w:jc w:val="center"/>
        </w:trPr>
        <w:tc>
          <w:tcPr>
            <w:tcW w:w="259" w:type="pct"/>
            <w:vMerge w:val="continue"/>
            <w:tcBorders>
              <w:tl2br w:val="nil"/>
              <w:tr2bl w:val="nil"/>
            </w:tcBorders>
            <w:vAlign w:val="center"/>
          </w:tcPr>
          <w:p>
            <w:pPr>
              <w:spacing w:line="280" w:lineRule="exact"/>
              <w:jc w:val="center"/>
              <w:rPr>
                <w:bCs/>
                <w:szCs w:val="21"/>
              </w:rPr>
            </w:pPr>
          </w:p>
        </w:tc>
        <w:tc>
          <w:tcPr>
            <w:tcW w:w="309" w:type="pct"/>
            <w:vMerge w:val="continue"/>
            <w:tcBorders>
              <w:tl2br w:val="nil"/>
              <w:tr2bl w:val="nil"/>
            </w:tcBorders>
            <w:vAlign w:val="center"/>
          </w:tcPr>
          <w:p>
            <w:pPr>
              <w:pStyle w:val="15"/>
              <w:spacing w:line="280" w:lineRule="exact"/>
              <w:jc w:val="center"/>
              <w:rPr>
                <w:rFonts w:ascii="Times New Roman"/>
                <w:bCs/>
                <w:sz w:val="21"/>
                <w:szCs w:val="21"/>
              </w:rPr>
            </w:pPr>
          </w:p>
        </w:tc>
        <w:tc>
          <w:tcPr>
            <w:tcW w:w="510" w:type="pct"/>
            <w:tcBorders>
              <w:tl2br w:val="nil"/>
              <w:tr2bl w:val="nil"/>
            </w:tcBorders>
            <w:vAlign w:val="center"/>
          </w:tcPr>
          <w:p>
            <w:pPr>
              <w:autoSpaceDE w:val="0"/>
              <w:autoSpaceDN w:val="0"/>
              <w:adjustRightInd w:val="0"/>
              <w:spacing w:line="280" w:lineRule="exact"/>
              <w:jc w:val="center"/>
              <w:rPr>
                <w:szCs w:val="21"/>
              </w:rPr>
            </w:pPr>
            <w:r>
              <w:rPr>
                <w:rFonts w:hint="eastAsia"/>
                <w:szCs w:val="21"/>
              </w:rPr>
              <w:t>防渗工程</w:t>
            </w:r>
          </w:p>
        </w:tc>
        <w:tc>
          <w:tcPr>
            <w:tcW w:w="3296" w:type="pct"/>
            <w:tcBorders>
              <w:tl2br w:val="nil"/>
              <w:tr2bl w:val="nil"/>
            </w:tcBorders>
            <w:vAlign w:val="center"/>
          </w:tcPr>
          <w:p>
            <w:pPr>
              <w:autoSpaceDE w:val="0"/>
              <w:autoSpaceDN w:val="0"/>
              <w:adjustRightInd w:val="0"/>
              <w:spacing w:line="280" w:lineRule="exact"/>
              <w:jc w:val="left"/>
            </w:pPr>
            <w:r>
              <w:rPr>
                <w:rFonts w:hint="eastAsia"/>
                <w:b/>
                <w:bCs/>
              </w:rPr>
              <w:t>场底防渗</w:t>
            </w:r>
            <w:r>
              <w:rPr>
                <w:rFonts w:hint="eastAsia"/>
              </w:rPr>
              <w:t>：由下至上依次为300mm厚压实粘土+5000g/m</w:t>
            </w:r>
            <w:r>
              <w:rPr>
                <w:rFonts w:hint="eastAsia"/>
                <w:vertAlign w:val="superscript"/>
              </w:rPr>
              <w:t>2</w:t>
            </w:r>
            <w:r>
              <w:rPr>
                <w:rFonts w:hint="eastAsia"/>
              </w:rPr>
              <w:t>钠基膨润土+2.0mm厚HDPE土工膜+600g/m</w:t>
            </w:r>
            <w:r>
              <w:rPr>
                <w:rFonts w:hint="eastAsia"/>
                <w:vertAlign w:val="superscript"/>
              </w:rPr>
              <w:t>2</w:t>
            </w:r>
            <w:r>
              <w:rPr>
                <w:rFonts w:hint="eastAsia"/>
              </w:rPr>
              <w:t>无纺土工布；</w:t>
            </w:r>
          </w:p>
          <w:p>
            <w:pPr>
              <w:pStyle w:val="10"/>
              <w:spacing w:line="280" w:lineRule="exact"/>
              <w:ind w:firstLine="0" w:firstLineChars="0"/>
              <w:jc w:val="left"/>
            </w:pPr>
            <w:r>
              <w:rPr>
                <w:rFonts w:hint="eastAsia"/>
                <w:b/>
                <w:bCs/>
                <w:szCs w:val="21"/>
              </w:rPr>
              <w:t>边坡防渗</w:t>
            </w:r>
            <w:r>
              <w:rPr>
                <w:rFonts w:hint="eastAsia"/>
                <w:szCs w:val="21"/>
              </w:rPr>
              <w:t>：</w:t>
            </w:r>
            <w:r>
              <w:rPr>
                <w:rFonts w:hint="eastAsia"/>
              </w:rPr>
              <w:t>由下至上依次为300mm厚压实粘土+5000g/m</w:t>
            </w:r>
            <w:r>
              <w:rPr>
                <w:rFonts w:hint="eastAsia"/>
                <w:vertAlign w:val="superscript"/>
              </w:rPr>
              <w:t>2</w:t>
            </w:r>
            <w:r>
              <w:rPr>
                <w:rFonts w:hint="eastAsia"/>
              </w:rPr>
              <w:t>钠基膨润土+2.0mm厚HDPE土工膜+600g/m</w:t>
            </w:r>
            <w:r>
              <w:rPr>
                <w:rFonts w:hint="eastAsia"/>
                <w:vertAlign w:val="superscript"/>
              </w:rPr>
              <w:t>2</w:t>
            </w:r>
            <w:r>
              <w:rPr>
                <w:rFonts w:hint="eastAsia"/>
              </w:rPr>
              <w:t>无纺土工布+300mm厚袋装土缓冲保护层；</w:t>
            </w:r>
          </w:p>
          <w:p>
            <w:pPr>
              <w:pStyle w:val="10"/>
              <w:spacing w:line="280" w:lineRule="exact"/>
              <w:ind w:firstLine="0" w:firstLineChars="0"/>
              <w:jc w:val="left"/>
            </w:pPr>
            <w:r>
              <w:rPr>
                <w:rFonts w:hint="eastAsia"/>
                <w:b/>
                <w:bCs/>
              </w:rPr>
              <w:t>防渗系统锚固</w:t>
            </w:r>
            <w:r>
              <w:rPr>
                <w:rFonts w:hint="eastAsia"/>
              </w:rPr>
              <w:t>：场内垂直方向共设一级锚固平台，位于围合坝顶，锚固沟宽约1m，深约1m。</w:t>
            </w:r>
          </w:p>
          <w:p>
            <w:pPr>
              <w:autoSpaceDE w:val="0"/>
              <w:autoSpaceDN w:val="0"/>
              <w:adjustRightInd w:val="0"/>
              <w:spacing w:line="280" w:lineRule="exact"/>
              <w:jc w:val="left"/>
            </w:pPr>
            <w:r>
              <w:rPr>
                <w:rFonts w:hint="eastAsia"/>
              </w:rPr>
              <w:t>项目库区场底和边坡防渗工程面积合计约5.4万m</w:t>
            </w:r>
            <w:r>
              <w:rPr>
                <w:rFonts w:hint="eastAsia"/>
                <w:vertAlign w:val="superscript"/>
              </w:rPr>
              <w:t>2</w:t>
            </w:r>
            <w:r>
              <w:rPr>
                <w:rFonts w:hint="eastAsia"/>
              </w:rPr>
              <w:t>。</w:t>
            </w:r>
          </w:p>
        </w:tc>
        <w:tc>
          <w:tcPr>
            <w:tcW w:w="624" w:type="pct"/>
            <w:tcBorders>
              <w:tl2br w:val="nil"/>
              <w:tr2bl w:val="nil"/>
            </w:tcBorders>
            <w:vAlign w:val="center"/>
          </w:tcPr>
          <w:p>
            <w:pPr>
              <w:pStyle w:val="17"/>
              <w:tabs>
                <w:tab w:val="left" w:pos="0"/>
              </w:tabs>
              <w:spacing w:after="0" w:line="280" w:lineRule="exact"/>
              <w:ind w:left="0" w:leftChars="0"/>
              <w:jc w:val="center"/>
              <w:rPr>
                <w:bCs/>
                <w:szCs w:val="21"/>
              </w:rPr>
            </w:pPr>
            <w:r>
              <w:rPr>
                <w:rFonts w:hint="eastAsia"/>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07" w:hRule="exact"/>
          <w:jc w:val="center"/>
        </w:trPr>
        <w:tc>
          <w:tcPr>
            <w:tcW w:w="259" w:type="pct"/>
            <w:vMerge w:val="continue"/>
            <w:tcBorders>
              <w:tl2br w:val="nil"/>
              <w:tr2bl w:val="nil"/>
            </w:tcBorders>
            <w:vAlign w:val="center"/>
          </w:tcPr>
          <w:p>
            <w:pPr>
              <w:spacing w:line="280" w:lineRule="exact"/>
              <w:jc w:val="center"/>
              <w:rPr>
                <w:bCs/>
                <w:szCs w:val="21"/>
              </w:rPr>
            </w:pPr>
          </w:p>
        </w:tc>
        <w:tc>
          <w:tcPr>
            <w:tcW w:w="309" w:type="pct"/>
            <w:vMerge w:val="continue"/>
            <w:tcBorders>
              <w:tl2br w:val="nil"/>
              <w:tr2bl w:val="nil"/>
            </w:tcBorders>
            <w:vAlign w:val="center"/>
          </w:tcPr>
          <w:p>
            <w:pPr>
              <w:pStyle w:val="15"/>
              <w:spacing w:line="280" w:lineRule="exact"/>
              <w:jc w:val="center"/>
              <w:rPr>
                <w:rFonts w:ascii="Times New Roman"/>
                <w:bCs/>
                <w:sz w:val="21"/>
                <w:szCs w:val="21"/>
              </w:rPr>
            </w:pPr>
          </w:p>
        </w:tc>
        <w:tc>
          <w:tcPr>
            <w:tcW w:w="510" w:type="pct"/>
            <w:tcBorders>
              <w:tl2br w:val="nil"/>
              <w:tr2bl w:val="nil"/>
            </w:tcBorders>
            <w:vAlign w:val="center"/>
          </w:tcPr>
          <w:p>
            <w:pPr>
              <w:autoSpaceDE w:val="0"/>
              <w:autoSpaceDN w:val="0"/>
              <w:adjustRightInd w:val="0"/>
              <w:spacing w:line="280" w:lineRule="exact"/>
              <w:jc w:val="center"/>
              <w:rPr>
                <w:szCs w:val="21"/>
              </w:rPr>
            </w:pPr>
            <w:r>
              <w:rPr>
                <w:rFonts w:hint="eastAsia"/>
                <w:szCs w:val="21"/>
              </w:rPr>
              <w:t>渗滤液收集导排工程</w:t>
            </w:r>
          </w:p>
        </w:tc>
        <w:tc>
          <w:tcPr>
            <w:tcW w:w="3296" w:type="pct"/>
            <w:tcBorders>
              <w:tl2br w:val="nil"/>
              <w:tr2bl w:val="nil"/>
            </w:tcBorders>
            <w:vAlign w:val="center"/>
          </w:tcPr>
          <w:p>
            <w:pPr>
              <w:autoSpaceDE w:val="0"/>
              <w:autoSpaceDN w:val="0"/>
              <w:adjustRightInd w:val="0"/>
              <w:spacing w:line="280" w:lineRule="exact"/>
              <w:jc w:val="left"/>
              <w:rPr>
                <w:szCs w:val="21"/>
              </w:rPr>
            </w:pPr>
            <w:r>
              <w:rPr>
                <w:rFonts w:hint="eastAsia"/>
                <w:szCs w:val="21"/>
              </w:rPr>
              <w:t>主要为场底防渗层上方的导流盲沟和导流层。</w:t>
            </w:r>
          </w:p>
          <w:p>
            <w:pPr>
              <w:pStyle w:val="10"/>
              <w:spacing w:line="280" w:lineRule="exact"/>
              <w:ind w:firstLine="0" w:firstLineChars="0"/>
              <w:jc w:val="left"/>
              <w:rPr>
                <w:b/>
                <w:bCs/>
                <w:szCs w:val="21"/>
              </w:rPr>
            </w:pPr>
            <w:r>
              <w:rPr>
                <w:rFonts w:hint="eastAsia"/>
                <w:b/>
                <w:bCs/>
                <w:szCs w:val="21"/>
              </w:rPr>
              <w:t>导流盲沟</w:t>
            </w:r>
            <w:r>
              <w:rPr>
                <w:rFonts w:hint="eastAsia"/>
                <w:szCs w:val="21"/>
              </w:rPr>
              <w:t>：包括主盲沟和支盲沟，主盲沟1条，长约200m，设于库区中央，穿越围合坝底部坡向渗滤液提升井和收集池，断面尺寸为倒梯形，上底宽3m，下底宽1m，深0.5m，沟内铺设300mmHDPE穿孔花管；支盲沟，多条，长度共约730m，呈树枝状横向分布于主盲沟两侧并坡向主盲沟，断面尺寸为倒梯形，上底宽2.5m，下底宽1m，深0.5m，沟内铺设200mmHDPE穿孔花管，上述主盲沟和支盲沟内四周均敷设</w:t>
            </w:r>
            <w:r>
              <w:rPr>
                <w:rFonts w:hint="eastAsia"/>
              </w:rPr>
              <w:t>200g/m</w:t>
            </w:r>
            <w:r>
              <w:rPr>
                <w:rFonts w:hint="eastAsia"/>
                <w:vertAlign w:val="superscript"/>
              </w:rPr>
              <w:t>2</w:t>
            </w:r>
            <w:r>
              <w:rPr>
                <w:rFonts w:hint="eastAsia"/>
              </w:rPr>
              <w:t>土工覆盖膜，沟内</w:t>
            </w:r>
            <w:r>
              <w:rPr>
                <w:rFonts w:hint="eastAsia"/>
                <w:szCs w:val="21"/>
              </w:rPr>
              <w:t>HDPE穿孔管外均填充直径50-100mm碎石作为过滤层，填充碎石粒径由上至下逐渐加大；</w:t>
            </w:r>
          </w:p>
          <w:p>
            <w:pPr>
              <w:pStyle w:val="10"/>
              <w:spacing w:line="280" w:lineRule="exact"/>
              <w:ind w:firstLine="0" w:firstLineChars="0"/>
              <w:jc w:val="left"/>
            </w:pPr>
            <w:r>
              <w:rPr>
                <w:rFonts w:hint="eastAsia"/>
                <w:b/>
                <w:bCs/>
              </w:rPr>
              <w:t>导流层</w:t>
            </w:r>
            <w:r>
              <w:rPr>
                <w:rFonts w:hint="eastAsia"/>
              </w:rPr>
              <w:t>：在场底盲沟和防渗层上方设导流层，导流层从下至上为100mm厚粗砂+300mm厚碎石，导流层厚度约400mm。</w:t>
            </w:r>
          </w:p>
          <w:p>
            <w:pPr>
              <w:autoSpaceDE w:val="0"/>
              <w:autoSpaceDN w:val="0"/>
              <w:adjustRightInd w:val="0"/>
              <w:spacing w:line="280" w:lineRule="exact"/>
              <w:jc w:val="left"/>
              <w:rPr>
                <w:szCs w:val="21"/>
              </w:rPr>
            </w:pPr>
            <w:r>
              <w:rPr>
                <w:rFonts w:hint="eastAsia"/>
                <w:szCs w:val="21"/>
              </w:rPr>
              <w:t>另外，除上述水平收集外，场内导气石笼井还兼做渗滤液的垂直收集。</w:t>
            </w:r>
          </w:p>
        </w:tc>
        <w:tc>
          <w:tcPr>
            <w:tcW w:w="624" w:type="pct"/>
            <w:tcBorders>
              <w:tl2br w:val="nil"/>
              <w:tr2bl w:val="nil"/>
            </w:tcBorders>
            <w:vAlign w:val="center"/>
          </w:tcPr>
          <w:p>
            <w:pPr>
              <w:pStyle w:val="17"/>
              <w:tabs>
                <w:tab w:val="left" w:pos="0"/>
              </w:tabs>
              <w:spacing w:after="0" w:line="280" w:lineRule="exact"/>
              <w:ind w:left="0" w:leftChars="0"/>
              <w:jc w:val="center"/>
              <w:rPr>
                <w:bCs/>
                <w:szCs w:val="21"/>
              </w:rPr>
            </w:pPr>
            <w:r>
              <w:rPr>
                <w:rFonts w:hint="eastAsia"/>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07" w:hRule="exact"/>
          <w:jc w:val="center"/>
        </w:trPr>
        <w:tc>
          <w:tcPr>
            <w:tcW w:w="259" w:type="pct"/>
            <w:vMerge w:val="continue"/>
            <w:tcBorders>
              <w:tl2br w:val="nil"/>
              <w:tr2bl w:val="nil"/>
            </w:tcBorders>
            <w:vAlign w:val="center"/>
          </w:tcPr>
          <w:p>
            <w:pPr>
              <w:spacing w:line="240" w:lineRule="exact"/>
              <w:jc w:val="center"/>
              <w:rPr>
                <w:bCs/>
                <w:szCs w:val="21"/>
              </w:rPr>
            </w:pPr>
          </w:p>
        </w:tc>
        <w:tc>
          <w:tcPr>
            <w:tcW w:w="309" w:type="pct"/>
            <w:vMerge w:val="continue"/>
            <w:tcBorders>
              <w:tl2br w:val="nil"/>
              <w:tr2bl w:val="nil"/>
            </w:tcBorders>
            <w:vAlign w:val="center"/>
          </w:tcPr>
          <w:p>
            <w:pPr>
              <w:pStyle w:val="15"/>
              <w:spacing w:line="240" w:lineRule="exact"/>
              <w:jc w:val="center"/>
              <w:textAlignment w:val="auto"/>
              <w:rPr>
                <w:rFonts w:ascii="Times New Roman"/>
                <w:bCs/>
                <w:sz w:val="21"/>
                <w:szCs w:val="21"/>
              </w:rPr>
            </w:pPr>
          </w:p>
        </w:tc>
        <w:tc>
          <w:tcPr>
            <w:tcW w:w="510" w:type="pct"/>
            <w:tcBorders>
              <w:tl2br w:val="nil"/>
              <w:tr2bl w:val="nil"/>
            </w:tcBorders>
            <w:vAlign w:val="center"/>
          </w:tcPr>
          <w:p>
            <w:pPr>
              <w:autoSpaceDE w:val="0"/>
              <w:autoSpaceDN w:val="0"/>
              <w:adjustRightInd w:val="0"/>
              <w:spacing w:line="240" w:lineRule="exact"/>
              <w:jc w:val="center"/>
              <w:rPr>
                <w:szCs w:val="21"/>
              </w:rPr>
            </w:pPr>
            <w:r>
              <w:rPr>
                <w:rFonts w:hint="eastAsia"/>
                <w:szCs w:val="21"/>
              </w:rPr>
              <w:t>填埋气导排工程</w:t>
            </w:r>
          </w:p>
        </w:tc>
        <w:tc>
          <w:tcPr>
            <w:tcW w:w="3296" w:type="pct"/>
            <w:tcBorders>
              <w:tl2br w:val="nil"/>
              <w:tr2bl w:val="nil"/>
            </w:tcBorders>
            <w:vAlign w:val="center"/>
          </w:tcPr>
          <w:p>
            <w:pPr>
              <w:autoSpaceDE w:val="0"/>
              <w:autoSpaceDN w:val="0"/>
              <w:adjustRightInd w:val="0"/>
              <w:spacing w:line="280" w:lineRule="exact"/>
              <w:jc w:val="left"/>
              <w:rPr>
                <w:szCs w:val="21"/>
              </w:rPr>
            </w:pPr>
            <w:r>
              <w:rPr>
                <w:rFonts w:hint="eastAsia"/>
                <w:szCs w:val="21"/>
              </w:rPr>
              <w:t>主要包括竖向导气石笼井及水平集气管。</w:t>
            </w:r>
          </w:p>
          <w:p>
            <w:pPr>
              <w:autoSpaceDE w:val="0"/>
              <w:autoSpaceDN w:val="0"/>
              <w:adjustRightInd w:val="0"/>
              <w:spacing w:line="280" w:lineRule="exact"/>
              <w:jc w:val="left"/>
              <w:rPr>
                <w:szCs w:val="21"/>
              </w:rPr>
            </w:pPr>
            <w:r>
              <w:rPr>
                <w:rFonts w:hint="eastAsia"/>
                <w:szCs w:val="21"/>
              </w:rPr>
              <w:t>导气石笼：直径为1m，由外到内包括套管、砂砾石滤层、中心集气花管等，其中中心集气花管为直径200mm的聚丙烯中空管，其排放口设置高出覆盖层1m；库区共设导气石笼井25座，初始高度均为3m，随垃圾填埋高度逐渐增加直至封场；</w:t>
            </w:r>
          </w:p>
          <w:p>
            <w:pPr>
              <w:autoSpaceDE w:val="0"/>
              <w:autoSpaceDN w:val="0"/>
              <w:adjustRightInd w:val="0"/>
              <w:spacing w:line="280" w:lineRule="exact"/>
              <w:jc w:val="left"/>
              <w:rPr>
                <w:szCs w:val="21"/>
              </w:rPr>
            </w:pPr>
            <w:r>
              <w:rPr>
                <w:rFonts w:hint="eastAsia"/>
                <w:szCs w:val="21"/>
              </w:rPr>
              <w:t>水平集气管：为便于填埋气的主动收集及处理，各导气石笼竖向集气干管之间均通过直径100mm的HDPE水平支管连接，长度共约800m，支管末端连接抽气机房。</w:t>
            </w:r>
          </w:p>
        </w:tc>
        <w:tc>
          <w:tcPr>
            <w:tcW w:w="624" w:type="pct"/>
            <w:tcBorders>
              <w:tl2br w:val="nil"/>
              <w:tr2bl w:val="nil"/>
            </w:tcBorders>
            <w:vAlign w:val="center"/>
          </w:tcPr>
          <w:p>
            <w:pPr>
              <w:pStyle w:val="17"/>
              <w:tabs>
                <w:tab w:val="left" w:pos="0"/>
              </w:tabs>
              <w:spacing w:after="0" w:line="280" w:lineRule="exact"/>
              <w:ind w:left="0" w:leftChars="0"/>
              <w:jc w:val="center"/>
              <w:rPr>
                <w:bCs/>
                <w:szCs w:val="21"/>
              </w:rPr>
            </w:pPr>
            <w:r>
              <w:rPr>
                <w:rFonts w:hint="eastAsia"/>
                <w:bCs/>
                <w:szCs w:val="21"/>
              </w:rPr>
              <w:t>已建</w:t>
            </w:r>
          </w:p>
        </w:tc>
      </w:tr>
    </w:tbl>
    <w:p>
      <w:pPr>
        <w:spacing w:line="500" w:lineRule="exact"/>
        <w:ind w:firstLine="480"/>
        <w:jc w:val="center"/>
        <w:rPr>
          <w:b/>
          <w:spacing w:val="4"/>
          <w:sz w:val="24"/>
        </w:rPr>
      </w:pPr>
    </w:p>
    <w:p>
      <w:pPr>
        <w:spacing w:line="500" w:lineRule="exact"/>
        <w:ind w:firstLine="480"/>
        <w:jc w:val="center"/>
        <w:rPr>
          <w:b/>
          <w:spacing w:val="4"/>
          <w:sz w:val="24"/>
        </w:rPr>
      </w:pPr>
    </w:p>
    <w:p>
      <w:pPr>
        <w:spacing w:line="500" w:lineRule="exact"/>
        <w:ind w:firstLine="480"/>
        <w:jc w:val="center"/>
        <w:rPr>
          <w:b/>
          <w:kern w:val="0"/>
          <w:sz w:val="24"/>
        </w:rPr>
      </w:pPr>
      <w:r>
        <w:rPr>
          <w:b/>
          <w:spacing w:val="4"/>
          <w:sz w:val="24"/>
        </w:rPr>
        <w:t>表3.</w:t>
      </w:r>
      <w:r>
        <w:rPr>
          <w:rFonts w:hint="eastAsia"/>
          <w:b/>
          <w:spacing w:val="4"/>
          <w:sz w:val="24"/>
        </w:rPr>
        <w:t>2</w:t>
      </w:r>
      <w:r>
        <w:rPr>
          <w:b/>
          <w:spacing w:val="4"/>
          <w:sz w:val="24"/>
        </w:rPr>
        <w:t>-</w:t>
      </w:r>
      <w:r>
        <w:rPr>
          <w:rFonts w:hint="eastAsia"/>
          <w:b/>
          <w:spacing w:val="4"/>
          <w:sz w:val="24"/>
        </w:rPr>
        <w:t>1续</w:t>
      </w:r>
      <w:r>
        <w:rPr>
          <w:b/>
          <w:spacing w:val="4"/>
          <w:sz w:val="24"/>
        </w:rPr>
        <w:t>项目建设内容</w:t>
      </w:r>
      <w:r>
        <w:rPr>
          <w:b/>
          <w:kern w:val="0"/>
          <w:sz w:val="24"/>
        </w:rPr>
        <w:t>组成一览表</w:t>
      </w:r>
    </w:p>
    <w:tbl>
      <w:tblPr>
        <w:tblStyle w:val="29"/>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4"/>
        <w:gridCol w:w="890"/>
        <w:gridCol w:w="1465"/>
        <w:gridCol w:w="9467"/>
        <w:gridCol w:w="17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exact"/>
          <w:jc w:val="center"/>
        </w:trPr>
        <w:tc>
          <w:tcPr>
            <w:tcW w:w="569" w:type="pct"/>
            <w:gridSpan w:val="2"/>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类别</w:t>
            </w:r>
          </w:p>
        </w:tc>
        <w:tc>
          <w:tcPr>
            <w:tcW w:w="510"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建设名称</w:t>
            </w:r>
          </w:p>
        </w:tc>
        <w:tc>
          <w:tcPr>
            <w:tcW w:w="3296"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主要内容</w:t>
            </w:r>
          </w:p>
        </w:tc>
        <w:tc>
          <w:tcPr>
            <w:tcW w:w="624"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17" w:hRule="exact"/>
          <w:jc w:val="center"/>
        </w:trPr>
        <w:tc>
          <w:tcPr>
            <w:tcW w:w="259" w:type="pct"/>
            <w:vMerge w:val="restart"/>
            <w:tcBorders>
              <w:tl2br w:val="nil"/>
              <w:tr2bl w:val="nil"/>
            </w:tcBorders>
            <w:vAlign w:val="center"/>
          </w:tcPr>
          <w:p>
            <w:pPr>
              <w:spacing w:line="240" w:lineRule="exact"/>
              <w:jc w:val="center"/>
              <w:rPr>
                <w:bCs/>
                <w:szCs w:val="21"/>
              </w:rPr>
            </w:pPr>
            <w:r>
              <w:rPr>
                <w:rFonts w:hint="eastAsia"/>
                <w:bCs/>
                <w:szCs w:val="21"/>
              </w:rPr>
              <w:t>主体工程</w:t>
            </w:r>
          </w:p>
        </w:tc>
        <w:tc>
          <w:tcPr>
            <w:tcW w:w="309" w:type="pct"/>
            <w:vMerge w:val="restart"/>
            <w:tcBorders>
              <w:tl2br w:val="nil"/>
              <w:tr2bl w:val="nil"/>
            </w:tcBorders>
            <w:vAlign w:val="center"/>
          </w:tcPr>
          <w:p>
            <w:pPr>
              <w:pStyle w:val="15"/>
              <w:spacing w:line="240" w:lineRule="exact"/>
              <w:jc w:val="center"/>
              <w:textAlignment w:val="auto"/>
              <w:rPr>
                <w:rFonts w:ascii="Times New Roman"/>
                <w:bCs/>
                <w:sz w:val="21"/>
                <w:szCs w:val="21"/>
              </w:rPr>
            </w:pPr>
            <w:r>
              <w:rPr>
                <w:rFonts w:hint="eastAsia" w:ascii="Times New Roman"/>
                <w:bCs/>
                <w:sz w:val="21"/>
                <w:szCs w:val="21"/>
              </w:rPr>
              <w:t>渗滤液处理系统</w:t>
            </w:r>
          </w:p>
        </w:tc>
        <w:tc>
          <w:tcPr>
            <w:tcW w:w="510" w:type="pct"/>
            <w:tcBorders>
              <w:tl2br w:val="nil"/>
              <w:tr2bl w:val="nil"/>
            </w:tcBorders>
            <w:vAlign w:val="center"/>
          </w:tcPr>
          <w:p>
            <w:pPr>
              <w:autoSpaceDE w:val="0"/>
              <w:autoSpaceDN w:val="0"/>
              <w:adjustRightInd w:val="0"/>
              <w:spacing w:line="240" w:lineRule="exact"/>
              <w:jc w:val="center"/>
              <w:rPr>
                <w:szCs w:val="21"/>
              </w:rPr>
            </w:pPr>
            <w:r>
              <w:rPr>
                <w:rFonts w:hint="eastAsia"/>
                <w:szCs w:val="21"/>
              </w:rPr>
              <w:t>渗滤液提升井和收集池</w:t>
            </w:r>
          </w:p>
        </w:tc>
        <w:tc>
          <w:tcPr>
            <w:tcW w:w="3296" w:type="pct"/>
            <w:tcBorders>
              <w:tl2br w:val="nil"/>
              <w:tr2bl w:val="nil"/>
            </w:tcBorders>
            <w:vAlign w:val="center"/>
          </w:tcPr>
          <w:p>
            <w:pPr>
              <w:autoSpaceDE w:val="0"/>
              <w:autoSpaceDN w:val="0"/>
              <w:adjustRightInd w:val="0"/>
              <w:spacing w:line="280" w:lineRule="exact"/>
              <w:jc w:val="left"/>
              <w:rPr>
                <w:szCs w:val="21"/>
              </w:rPr>
            </w:pPr>
            <w:r>
              <w:rPr>
                <w:rFonts w:hint="eastAsia"/>
                <w:szCs w:val="21"/>
              </w:rPr>
              <w:t>场内填埋区北侧分别设1座渗滤液提升井和1座收集池，均为封闭埋地钢混结构。其中渗滤液收集池容积640m</w:t>
            </w:r>
            <w:r>
              <w:rPr>
                <w:rFonts w:hint="eastAsia"/>
                <w:szCs w:val="21"/>
                <w:vertAlign w:val="superscript"/>
              </w:rPr>
              <w:t>3</w:t>
            </w:r>
            <w:r>
              <w:rPr>
                <w:rFonts w:hint="eastAsia"/>
                <w:szCs w:val="21"/>
              </w:rPr>
              <w:t>，尺寸20m×8m×4.0m（h）。</w:t>
            </w:r>
          </w:p>
          <w:p>
            <w:pPr>
              <w:autoSpaceDE w:val="0"/>
              <w:autoSpaceDN w:val="0"/>
              <w:adjustRightInd w:val="0"/>
              <w:spacing w:line="280" w:lineRule="exact"/>
              <w:jc w:val="left"/>
              <w:rPr>
                <w:szCs w:val="21"/>
              </w:rPr>
            </w:pPr>
            <w:r>
              <w:rPr>
                <w:rFonts w:hint="eastAsia"/>
                <w:szCs w:val="21"/>
              </w:rPr>
              <w:t>填埋区渗滤液经由南至北经盲沟收集导排后，先进入坝前提升井，然后被泵入渗滤液收集池。</w:t>
            </w:r>
          </w:p>
        </w:tc>
        <w:tc>
          <w:tcPr>
            <w:tcW w:w="624" w:type="pct"/>
            <w:tcBorders>
              <w:tl2br w:val="nil"/>
              <w:tr2bl w:val="nil"/>
            </w:tcBorders>
            <w:vAlign w:val="center"/>
          </w:tcPr>
          <w:p>
            <w:pPr>
              <w:pStyle w:val="17"/>
              <w:tabs>
                <w:tab w:val="left" w:pos="0"/>
              </w:tabs>
              <w:spacing w:after="0" w:line="280" w:lineRule="exact"/>
              <w:ind w:left="0" w:leftChars="0"/>
              <w:jc w:val="center"/>
              <w:rPr>
                <w:bCs/>
                <w:szCs w:val="21"/>
              </w:rPr>
            </w:pPr>
            <w:r>
              <w:rPr>
                <w:rFonts w:hint="eastAsia"/>
                <w:bCs/>
                <w:szCs w:val="21"/>
              </w:rPr>
              <w:t>已建。</w:t>
            </w:r>
          </w:p>
          <w:p>
            <w:pPr>
              <w:pStyle w:val="17"/>
              <w:tabs>
                <w:tab w:val="left" w:pos="0"/>
              </w:tabs>
              <w:spacing w:after="0" w:line="280" w:lineRule="exact"/>
              <w:ind w:left="0" w:leftChars="0"/>
              <w:jc w:val="center"/>
              <w:rPr>
                <w:bCs/>
                <w:szCs w:val="21"/>
              </w:rPr>
            </w:pPr>
            <w:r>
              <w:rPr>
                <w:rFonts w:hint="eastAsia"/>
                <w:bCs/>
                <w:szCs w:val="21"/>
              </w:rPr>
              <w:t>另外，评价要求对渗滤液调节池进行扩容或增设等，保证其容积</w:t>
            </w:r>
            <w:r>
              <w:rPr>
                <w:rFonts w:hint="eastAsia"/>
                <w:szCs w:val="21"/>
              </w:rPr>
              <w:t>不小于1800m</w:t>
            </w:r>
            <w:r>
              <w:rPr>
                <w:rFonts w:hint="eastAsia"/>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1" w:hRule="exact"/>
          <w:jc w:val="center"/>
        </w:trPr>
        <w:tc>
          <w:tcPr>
            <w:tcW w:w="259" w:type="pct"/>
            <w:vMerge w:val="continue"/>
            <w:tcBorders>
              <w:tl2br w:val="nil"/>
              <w:tr2bl w:val="nil"/>
            </w:tcBorders>
            <w:vAlign w:val="center"/>
          </w:tcPr>
          <w:p>
            <w:pPr>
              <w:spacing w:line="240" w:lineRule="exact"/>
              <w:jc w:val="center"/>
              <w:rPr>
                <w:bCs/>
                <w:szCs w:val="21"/>
              </w:rPr>
            </w:pPr>
          </w:p>
        </w:tc>
        <w:tc>
          <w:tcPr>
            <w:tcW w:w="309" w:type="pct"/>
            <w:vMerge w:val="continue"/>
            <w:tcBorders>
              <w:tl2br w:val="nil"/>
              <w:tr2bl w:val="nil"/>
            </w:tcBorders>
            <w:vAlign w:val="center"/>
          </w:tcPr>
          <w:p>
            <w:pPr>
              <w:pStyle w:val="15"/>
              <w:spacing w:line="240" w:lineRule="exact"/>
              <w:jc w:val="center"/>
              <w:textAlignment w:val="auto"/>
              <w:rPr>
                <w:rFonts w:ascii="Times New Roman"/>
                <w:bCs/>
                <w:sz w:val="21"/>
                <w:szCs w:val="21"/>
              </w:rPr>
            </w:pPr>
          </w:p>
        </w:tc>
        <w:tc>
          <w:tcPr>
            <w:tcW w:w="510" w:type="pct"/>
            <w:tcBorders>
              <w:tl2br w:val="nil"/>
              <w:tr2bl w:val="nil"/>
            </w:tcBorders>
            <w:vAlign w:val="center"/>
          </w:tcPr>
          <w:p>
            <w:pPr>
              <w:autoSpaceDE w:val="0"/>
              <w:autoSpaceDN w:val="0"/>
              <w:adjustRightInd w:val="0"/>
              <w:spacing w:line="240" w:lineRule="exact"/>
              <w:jc w:val="center"/>
              <w:rPr>
                <w:szCs w:val="21"/>
              </w:rPr>
            </w:pPr>
            <w:r>
              <w:rPr>
                <w:rFonts w:hint="eastAsia"/>
                <w:szCs w:val="21"/>
              </w:rPr>
              <w:t>渗滤液处理车间</w:t>
            </w:r>
          </w:p>
        </w:tc>
        <w:tc>
          <w:tcPr>
            <w:tcW w:w="3296" w:type="pct"/>
            <w:tcBorders>
              <w:tl2br w:val="nil"/>
              <w:tr2bl w:val="nil"/>
            </w:tcBorders>
            <w:vAlign w:val="center"/>
          </w:tcPr>
          <w:p>
            <w:pPr>
              <w:autoSpaceDE w:val="0"/>
              <w:autoSpaceDN w:val="0"/>
              <w:adjustRightInd w:val="0"/>
              <w:spacing w:line="280" w:lineRule="exact"/>
              <w:jc w:val="left"/>
              <w:rPr>
                <w:szCs w:val="21"/>
              </w:rPr>
            </w:pPr>
            <w:r>
              <w:rPr>
                <w:rFonts w:hint="eastAsia"/>
                <w:szCs w:val="21"/>
              </w:rPr>
              <w:t>填埋区外北侧、渗滤液收集池西侧设1座渗滤液处理车间，1F砖混，</w:t>
            </w:r>
            <w:r>
              <w:rPr>
                <w:szCs w:val="21"/>
              </w:rPr>
              <w:t>面积约</w:t>
            </w:r>
            <w:r>
              <w:rPr>
                <w:rFonts w:hint="eastAsia"/>
                <w:szCs w:val="21"/>
              </w:rPr>
              <w:t>150</w:t>
            </w:r>
            <w:r>
              <w:rPr>
                <w:szCs w:val="21"/>
              </w:rPr>
              <w:t>m</w:t>
            </w:r>
            <w:r>
              <w:rPr>
                <w:szCs w:val="21"/>
                <w:vertAlign w:val="superscript"/>
              </w:rPr>
              <w:t>2</w:t>
            </w:r>
            <w:r>
              <w:rPr>
                <w:rFonts w:hint="eastAsia"/>
                <w:szCs w:val="21"/>
              </w:rPr>
              <w:t>，内设1套“预处理+两级DTRO反渗透”渗滤液处理设施，设计处理能力40m</w:t>
            </w:r>
            <w:r>
              <w:rPr>
                <w:rFonts w:hint="eastAsia"/>
                <w:szCs w:val="21"/>
                <w:vertAlign w:val="superscript"/>
              </w:rPr>
              <w:t>3</w:t>
            </w:r>
            <w:r>
              <w:rPr>
                <w:rFonts w:hint="eastAsia"/>
                <w:szCs w:val="21"/>
              </w:rPr>
              <w:t>/h。</w:t>
            </w:r>
          </w:p>
        </w:tc>
        <w:tc>
          <w:tcPr>
            <w:tcW w:w="624" w:type="pct"/>
            <w:tcBorders>
              <w:tl2br w:val="nil"/>
              <w:tr2bl w:val="nil"/>
            </w:tcBorders>
            <w:vAlign w:val="center"/>
          </w:tcPr>
          <w:p>
            <w:pPr>
              <w:pStyle w:val="17"/>
              <w:tabs>
                <w:tab w:val="left" w:pos="0"/>
              </w:tabs>
              <w:spacing w:after="0" w:line="280" w:lineRule="exact"/>
              <w:ind w:left="0" w:leftChars="0"/>
              <w:jc w:val="center"/>
              <w:rPr>
                <w:bCs/>
                <w:szCs w:val="21"/>
              </w:rPr>
            </w:pPr>
            <w:r>
              <w:rPr>
                <w:rFonts w:hint="eastAsia"/>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exact"/>
          <w:jc w:val="center"/>
        </w:trPr>
        <w:tc>
          <w:tcPr>
            <w:tcW w:w="259" w:type="pct"/>
            <w:vMerge w:val="continue"/>
            <w:tcBorders>
              <w:tl2br w:val="nil"/>
              <w:tr2bl w:val="nil"/>
            </w:tcBorders>
            <w:vAlign w:val="center"/>
          </w:tcPr>
          <w:p>
            <w:pPr>
              <w:spacing w:line="240" w:lineRule="exact"/>
              <w:jc w:val="center"/>
              <w:rPr>
                <w:bCs/>
                <w:szCs w:val="21"/>
              </w:rPr>
            </w:pPr>
          </w:p>
        </w:tc>
        <w:tc>
          <w:tcPr>
            <w:tcW w:w="820" w:type="pct"/>
            <w:gridSpan w:val="2"/>
            <w:tcBorders>
              <w:tl2br w:val="nil"/>
              <w:tr2bl w:val="nil"/>
            </w:tcBorders>
            <w:vAlign w:val="center"/>
          </w:tcPr>
          <w:p>
            <w:pPr>
              <w:autoSpaceDE w:val="0"/>
              <w:autoSpaceDN w:val="0"/>
              <w:adjustRightInd w:val="0"/>
              <w:spacing w:line="240" w:lineRule="exact"/>
              <w:jc w:val="center"/>
              <w:rPr>
                <w:szCs w:val="21"/>
              </w:rPr>
            </w:pPr>
            <w:r>
              <w:rPr>
                <w:rFonts w:hint="eastAsia"/>
                <w:bCs/>
                <w:szCs w:val="21"/>
              </w:rPr>
              <w:t>填埋气抽气机房</w:t>
            </w:r>
          </w:p>
        </w:tc>
        <w:tc>
          <w:tcPr>
            <w:tcW w:w="3296" w:type="pct"/>
            <w:tcBorders>
              <w:tl2br w:val="nil"/>
              <w:tr2bl w:val="nil"/>
            </w:tcBorders>
            <w:vAlign w:val="center"/>
          </w:tcPr>
          <w:p>
            <w:pPr>
              <w:autoSpaceDE w:val="0"/>
              <w:autoSpaceDN w:val="0"/>
              <w:adjustRightInd w:val="0"/>
              <w:spacing w:line="240" w:lineRule="exact"/>
              <w:jc w:val="left"/>
              <w:rPr>
                <w:szCs w:val="21"/>
              </w:rPr>
            </w:pPr>
            <w:r>
              <w:rPr>
                <w:rFonts w:hint="eastAsia"/>
                <w:szCs w:val="21"/>
              </w:rPr>
              <w:t>场内填埋区东南角设1座填埋气抽气机房，1F砖混，</w:t>
            </w:r>
            <w:r>
              <w:rPr>
                <w:szCs w:val="21"/>
              </w:rPr>
              <w:t>面积约</w:t>
            </w:r>
            <w:r>
              <w:rPr>
                <w:rFonts w:hint="eastAsia"/>
                <w:szCs w:val="21"/>
              </w:rPr>
              <w:t>55</w:t>
            </w:r>
            <w:r>
              <w:rPr>
                <w:szCs w:val="21"/>
              </w:rPr>
              <w:t>m</w:t>
            </w:r>
            <w:r>
              <w:rPr>
                <w:szCs w:val="21"/>
                <w:vertAlign w:val="superscript"/>
              </w:rPr>
              <w:t>2</w:t>
            </w:r>
            <w:r>
              <w:rPr>
                <w:rFonts w:hint="eastAsia"/>
                <w:szCs w:val="21"/>
              </w:rPr>
              <w:t>。</w:t>
            </w:r>
          </w:p>
        </w:tc>
        <w:tc>
          <w:tcPr>
            <w:tcW w:w="624" w:type="pct"/>
            <w:tcBorders>
              <w:tl2br w:val="nil"/>
              <w:tr2bl w:val="nil"/>
            </w:tcBorders>
            <w:vAlign w:val="center"/>
          </w:tcPr>
          <w:p>
            <w:pPr>
              <w:pStyle w:val="17"/>
              <w:tabs>
                <w:tab w:val="left" w:pos="0"/>
              </w:tabs>
              <w:spacing w:after="0" w:line="230" w:lineRule="exact"/>
              <w:ind w:left="0" w:leftChars="0"/>
              <w:jc w:val="center"/>
              <w:rPr>
                <w:bCs/>
                <w:szCs w:val="21"/>
              </w:rPr>
            </w:pPr>
            <w:r>
              <w:rPr>
                <w:rFonts w:hint="eastAsia"/>
                <w:bCs/>
                <w:szCs w:val="21"/>
              </w:rPr>
              <w:t>机房已建。</w:t>
            </w:r>
          </w:p>
          <w:p>
            <w:pPr>
              <w:pStyle w:val="17"/>
              <w:tabs>
                <w:tab w:val="left" w:pos="0"/>
              </w:tabs>
              <w:spacing w:after="0" w:line="230" w:lineRule="exact"/>
              <w:ind w:left="0" w:leftChars="0"/>
              <w:jc w:val="center"/>
              <w:rPr>
                <w:bCs/>
                <w:szCs w:val="21"/>
              </w:rPr>
            </w:pPr>
            <w:r>
              <w:rPr>
                <w:rFonts w:hint="eastAsia"/>
                <w:bCs/>
                <w:szCs w:val="21"/>
              </w:rPr>
              <w:t>集气、报警、焚烧等设施未建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exact"/>
          <w:jc w:val="center"/>
        </w:trPr>
        <w:tc>
          <w:tcPr>
            <w:tcW w:w="259" w:type="pct"/>
            <w:vMerge w:val="restart"/>
            <w:tcBorders>
              <w:tl2br w:val="nil"/>
              <w:tr2bl w:val="nil"/>
            </w:tcBorders>
            <w:vAlign w:val="center"/>
          </w:tcPr>
          <w:p>
            <w:pPr>
              <w:spacing w:line="240" w:lineRule="exact"/>
              <w:jc w:val="center"/>
              <w:rPr>
                <w:bCs/>
                <w:szCs w:val="21"/>
              </w:rPr>
            </w:pPr>
            <w:r>
              <w:rPr>
                <w:rFonts w:hint="eastAsia"/>
                <w:bCs/>
                <w:szCs w:val="21"/>
              </w:rPr>
              <w:t>辅助工程</w:t>
            </w:r>
          </w:p>
        </w:tc>
        <w:tc>
          <w:tcPr>
            <w:tcW w:w="820" w:type="pct"/>
            <w:gridSpan w:val="2"/>
            <w:tcBorders>
              <w:tl2br w:val="nil"/>
              <w:tr2bl w:val="nil"/>
            </w:tcBorders>
            <w:vAlign w:val="center"/>
          </w:tcPr>
          <w:p>
            <w:pPr>
              <w:pStyle w:val="15"/>
              <w:spacing w:line="240" w:lineRule="exact"/>
              <w:jc w:val="center"/>
              <w:textAlignment w:val="auto"/>
              <w:rPr>
                <w:rFonts w:ascii="Times New Roman"/>
                <w:bCs/>
                <w:sz w:val="21"/>
                <w:szCs w:val="21"/>
              </w:rPr>
            </w:pPr>
            <w:r>
              <w:rPr>
                <w:rFonts w:hint="eastAsia" w:ascii="Times New Roman"/>
                <w:bCs/>
                <w:sz w:val="21"/>
                <w:szCs w:val="21"/>
              </w:rPr>
              <w:t>办公</w:t>
            </w:r>
            <w:r>
              <w:rPr>
                <w:rFonts w:ascii="Times New Roman"/>
                <w:bCs/>
                <w:sz w:val="21"/>
                <w:szCs w:val="21"/>
              </w:rPr>
              <w:t>管理区</w:t>
            </w:r>
          </w:p>
        </w:tc>
        <w:tc>
          <w:tcPr>
            <w:tcW w:w="3296" w:type="pct"/>
            <w:tcBorders>
              <w:tl2br w:val="nil"/>
              <w:tr2bl w:val="nil"/>
            </w:tcBorders>
            <w:vAlign w:val="center"/>
          </w:tcPr>
          <w:p>
            <w:pPr>
              <w:autoSpaceDE w:val="0"/>
              <w:autoSpaceDN w:val="0"/>
              <w:adjustRightInd w:val="0"/>
              <w:spacing w:line="240" w:lineRule="exact"/>
              <w:rPr>
                <w:szCs w:val="21"/>
              </w:rPr>
            </w:pPr>
            <w:r>
              <w:rPr>
                <w:rFonts w:hint="eastAsia"/>
                <w:szCs w:val="21"/>
              </w:rPr>
              <w:t>1、综合房：1F砖混，</w:t>
            </w:r>
            <w:r>
              <w:rPr>
                <w:szCs w:val="21"/>
              </w:rPr>
              <w:t>面积约</w:t>
            </w:r>
            <w:r>
              <w:rPr>
                <w:rFonts w:hint="eastAsia"/>
                <w:szCs w:val="21"/>
              </w:rPr>
              <w:t>73</w:t>
            </w:r>
            <w:r>
              <w:rPr>
                <w:szCs w:val="21"/>
              </w:rPr>
              <w:t>m</w:t>
            </w:r>
            <w:r>
              <w:rPr>
                <w:szCs w:val="21"/>
                <w:vertAlign w:val="superscript"/>
              </w:rPr>
              <w:t>2</w:t>
            </w:r>
            <w:r>
              <w:rPr>
                <w:rFonts w:hint="eastAsia"/>
                <w:szCs w:val="21"/>
              </w:rPr>
              <w:t>，兼具值班、地磅间、员工宿舍、配电室。</w:t>
            </w:r>
          </w:p>
          <w:p>
            <w:pPr>
              <w:autoSpaceDE w:val="0"/>
              <w:autoSpaceDN w:val="0"/>
              <w:adjustRightInd w:val="0"/>
              <w:spacing w:line="240" w:lineRule="exact"/>
              <w:rPr>
                <w:szCs w:val="21"/>
              </w:rPr>
            </w:pPr>
            <w:r>
              <w:rPr>
                <w:rFonts w:hint="eastAsia"/>
                <w:szCs w:val="21"/>
              </w:rPr>
              <w:t>2、办公房：1F砖混，</w:t>
            </w:r>
            <w:r>
              <w:rPr>
                <w:szCs w:val="21"/>
              </w:rPr>
              <w:t>面积约</w:t>
            </w:r>
            <w:r>
              <w:rPr>
                <w:rFonts w:hint="eastAsia"/>
                <w:szCs w:val="21"/>
              </w:rPr>
              <w:t>151</w:t>
            </w:r>
            <w:r>
              <w:rPr>
                <w:szCs w:val="21"/>
              </w:rPr>
              <w:t>m</w:t>
            </w:r>
            <w:r>
              <w:rPr>
                <w:szCs w:val="21"/>
                <w:vertAlign w:val="superscript"/>
              </w:rPr>
              <w:t>2</w:t>
            </w:r>
            <w:r>
              <w:rPr>
                <w:rFonts w:hint="eastAsia"/>
                <w:szCs w:val="21"/>
              </w:rPr>
              <w:t>，兼具办公、厨房等。</w:t>
            </w:r>
          </w:p>
        </w:tc>
        <w:tc>
          <w:tcPr>
            <w:tcW w:w="624" w:type="pct"/>
            <w:tcBorders>
              <w:tl2br w:val="nil"/>
              <w:tr2bl w:val="nil"/>
            </w:tcBorders>
            <w:vAlign w:val="center"/>
          </w:tcPr>
          <w:p>
            <w:pPr>
              <w:pStyle w:val="17"/>
              <w:tabs>
                <w:tab w:val="left" w:pos="0"/>
              </w:tabs>
              <w:spacing w:after="0" w:line="240" w:lineRule="exact"/>
              <w:ind w:left="0" w:leftChars="0"/>
              <w:jc w:val="center"/>
              <w:rPr>
                <w:bCs/>
                <w:szCs w:val="21"/>
              </w:rPr>
            </w:pPr>
            <w:r>
              <w:rPr>
                <w:rFonts w:hint="eastAsia"/>
                <w:bCs/>
                <w:szCs w:val="21"/>
              </w:rPr>
              <w:t>已</w:t>
            </w:r>
            <w:r>
              <w:rPr>
                <w:bCs/>
                <w:szCs w:val="21"/>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09" w:hRule="exact"/>
          <w:jc w:val="center"/>
        </w:trPr>
        <w:tc>
          <w:tcPr>
            <w:tcW w:w="259" w:type="pct"/>
            <w:vMerge w:val="continue"/>
            <w:tcBorders>
              <w:tl2br w:val="nil"/>
              <w:tr2bl w:val="nil"/>
            </w:tcBorders>
            <w:vAlign w:val="center"/>
          </w:tcPr>
          <w:p>
            <w:pPr>
              <w:spacing w:line="240" w:lineRule="exact"/>
              <w:jc w:val="center"/>
              <w:rPr>
                <w:bCs/>
                <w:szCs w:val="21"/>
              </w:rPr>
            </w:pPr>
          </w:p>
        </w:tc>
        <w:tc>
          <w:tcPr>
            <w:tcW w:w="820" w:type="pct"/>
            <w:gridSpan w:val="2"/>
            <w:tcBorders>
              <w:tl2br w:val="nil"/>
              <w:tr2bl w:val="nil"/>
            </w:tcBorders>
            <w:vAlign w:val="center"/>
          </w:tcPr>
          <w:p>
            <w:pPr>
              <w:autoSpaceDE w:val="0"/>
              <w:autoSpaceDN w:val="0"/>
              <w:adjustRightInd w:val="0"/>
              <w:spacing w:line="240" w:lineRule="exact"/>
              <w:jc w:val="center"/>
              <w:rPr>
                <w:szCs w:val="21"/>
              </w:rPr>
            </w:pPr>
            <w:r>
              <w:rPr>
                <w:rFonts w:hint="eastAsia"/>
                <w:bCs/>
                <w:szCs w:val="21"/>
              </w:rPr>
              <w:t>道路工程</w:t>
            </w:r>
          </w:p>
        </w:tc>
        <w:tc>
          <w:tcPr>
            <w:tcW w:w="3296" w:type="pct"/>
            <w:tcBorders>
              <w:tl2br w:val="nil"/>
              <w:tr2bl w:val="nil"/>
            </w:tcBorders>
            <w:vAlign w:val="center"/>
          </w:tcPr>
          <w:p>
            <w:pPr>
              <w:autoSpaceDE w:val="0"/>
              <w:autoSpaceDN w:val="0"/>
              <w:adjustRightInd w:val="0"/>
              <w:spacing w:line="280" w:lineRule="exact"/>
              <w:jc w:val="left"/>
              <w:rPr>
                <w:szCs w:val="21"/>
              </w:rPr>
            </w:pPr>
            <w:r>
              <w:rPr>
                <w:rFonts w:hint="eastAsia"/>
                <w:szCs w:val="21"/>
              </w:rPr>
              <w:t>1、场外进场道路：连接场地与区间省</w:t>
            </w:r>
            <w:r>
              <w:rPr>
                <w:rFonts w:hint="eastAsia"/>
                <w:color w:val="000000" w:themeColor="text1"/>
                <w:szCs w:val="21"/>
                <w14:textFill>
                  <w14:solidFill>
                    <w14:schemeClr w14:val="tx1"/>
                  </w14:solidFill>
                </w14:textFill>
              </w:rPr>
              <w:t>道李东线，</w:t>
            </w:r>
            <w:r>
              <w:rPr>
                <w:rFonts w:hint="eastAsia"/>
                <w:szCs w:val="21"/>
              </w:rPr>
              <w:t>长约650m，沥青混凝土路面。</w:t>
            </w:r>
          </w:p>
          <w:p>
            <w:pPr>
              <w:autoSpaceDE w:val="0"/>
              <w:autoSpaceDN w:val="0"/>
              <w:adjustRightInd w:val="0"/>
              <w:spacing w:line="280" w:lineRule="exact"/>
              <w:jc w:val="left"/>
              <w:rPr>
                <w:szCs w:val="21"/>
              </w:rPr>
            </w:pPr>
            <w:r>
              <w:rPr>
                <w:rFonts w:hint="eastAsia"/>
                <w:szCs w:val="21"/>
              </w:rPr>
              <w:t>2、场内道路：主要为填埋区外四周环场道路，长约689m，宽约5m，混凝土路面，路面1.5%坡向场外。</w:t>
            </w:r>
          </w:p>
          <w:p>
            <w:pPr>
              <w:autoSpaceDE w:val="0"/>
              <w:autoSpaceDN w:val="0"/>
              <w:adjustRightInd w:val="0"/>
              <w:spacing w:line="280" w:lineRule="exact"/>
              <w:jc w:val="left"/>
              <w:rPr>
                <w:szCs w:val="21"/>
              </w:rPr>
            </w:pPr>
            <w:r>
              <w:rPr>
                <w:rFonts w:hint="eastAsia"/>
                <w:szCs w:val="21"/>
              </w:rPr>
              <w:t>3、填埋区内临时作业道路：从环场道路到垃圾填埋区内部，随着垃圾填埋位置、作业高度其位置、长度发生变化。</w:t>
            </w:r>
          </w:p>
        </w:tc>
        <w:tc>
          <w:tcPr>
            <w:tcW w:w="624" w:type="pct"/>
            <w:tcBorders>
              <w:tl2br w:val="nil"/>
              <w:tr2bl w:val="nil"/>
            </w:tcBorders>
            <w:vAlign w:val="center"/>
          </w:tcPr>
          <w:p>
            <w:pPr>
              <w:pStyle w:val="17"/>
              <w:tabs>
                <w:tab w:val="left" w:pos="0"/>
              </w:tabs>
              <w:spacing w:after="0" w:line="240" w:lineRule="exact"/>
              <w:ind w:left="0" w:leftChars="0"/>
              <w:jc w:val="center"/>
              <w:rPr>
                <w:bCs/>
                <w:szCs w:val="21"/>
              </w:rPr>
            </w:pPr>
            <w:r>
              <w:rPr>
                <w:rFonts w:hint="eastAsia"/>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259" w:type="pct"/>
            <w:vMerge w:val="continue"/>
            <w:tcBorders>
              <w:tl2br w:val="nil"/>
              <w:tr2bl w:val="nil"/>
            </w:tcBorders>
            <w:vAlign w:val="center"/>
          </w:tcPr>
          <w:p>
            <w:pPr>
              <w:spacing w:line="240" w:lineRule="exact"/>
              <w:jc w:val="center"/>
              <w:rPr>
                <w:bCs/>
                <w:szCs w:val="21"/>
              </w:rPr>
            </w:pPr>
          </w:p>
        </w:tc>
        <w:tc>
          <w:tcPr>
            <w:tcW w:w="820" w:type="pct"/>
            <w:gridSpan w:val="2"/>
            <w:vMerge w:val="restart"/>
            <w:tcBorders>
              <w:tl2br w:val="nil"/>
              <w:tr2bl w:val="nil"/>
            </w:tcBorders>
            <w:vAlign w:val="center"/>
          </w:tcPr>
          <w:p>
            <w:pPr>
              <w:autoSpaceDE w:val="0"/>
              <w:autoSpaceDN w:val="0"/>
              <w:adjustRightInd w:val="0"/>
              <w:spacing w:line="240" w:lineRule="exact"/>
              <w:jc w:val="center"/>
              <w:rPr>
                <w:szCs w:val="21"/>
              </w:rPr>
            </w:pPr>
            <w:r>
              <w:rPr>
                <w:rFonts w:hint="eastAsia"/>
                <w:szCs w:val="21"/>
              </w:rPr>
              <w:t>雨水导排工程</w:t>
            </w:r>
          </w:p>
        </w:tc>
        <w:tc>
          <w:tcPr>
            <w:tcW w:w="3296" w:type="pct"/>
            <w:tcBorders>
              <w:tl2br w:val="nil"/>
              <w:tr2bl w:val="nil"/>
            </w:tcBorders>
            <w:vAlign w:val="center"/>
          </w:tcPr>
          <w:p>
            <w:pPr>
              <w:autoSpaceDE w:val="0"/>
              <w:autoSpaceDN w:val="0"/>
              <w:adjustRightInd w:val="0"/>
              <w:spacing w:line="240" w:lineRule="exact"/>
              <w:jc w:val="left"/>
              <w:rPr>
                <w:szCs w:val="21"/>
              </w:rPr>
            </w:pPr>
            <w:r>
              <w:rPr>
                <w:rFonts w:hint="eastAsia"/>
                <w:szCs w:val="21"/>
              </w:rPr>
              <w:t>坝顶排水：坝顶围合坝坝顶设计高于周围地面，库区周边雨水可顺地势及环场道路自流排向场外。</w:t>
            </w:r>
          </w:p>
        </w:tc>
        <w:tc>
          <w:tcPr>
            <w:tcW w:w="624" w:type="pct"/>
            <w:tcBorders>
              <w:tl2br w:val="nil"/>
              <w:tr2bl w:val="nil"/>
            </w:tcBorders>
            <w:vAlign w:val="center"/>
          </w:tcPr>
          <w:p>
            <w:pPr>
              <w:pStyle w:val="17"/>
              <w:tabs>
                <w:tab w:val="left" w:pos="0"/>
              </w:tabs>
              <w:spacing w:after="0" w:line="240" w:lineRule="exact"/>
              <w:ind w:left="0" w:leftChars="0"/>
              <w:jc w:val="center"/>
              <w:rPr>
                <w:bCs/>
                <w:szCs w:val="21"/>
              </w:rPr>
            </w:pPr>
            <w:r>
              <w:rPr>
                <w:rFonts w:hint="eastAsia"/>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259" w:type="pct"/>
            <w:vMerge w:val="continue"/>
            <w:tcBorders>
              <w:tl2br w:val="nil"/>
              <w:tr2bl w:val="nil"/>
            </w:tcBorders>
            <w:vAlign w:val="center"/>
          </w:tcPr>
          <w:p>
            <w:pPr>
              <w:pStyle w:val="17"/>
              <w:tabs>
                <w:tab w:val="left" w:pos="0"/>
              </w:tabs>
              <w:spacing w:after="0" w:line="240" w:lineRule="exact"/>
              <w:ind w:left="0" w:leftChars="0"/>
              <w:jc w:val="center"/>
            </w:pPr>
          </w:p>
        </w:tc>
        <w:tc>
          <w:tcPr>
            <w:tcW w:w="820" w:type="pct"/>
            <w:gridSpan w:val="2"/>
            <w:vMerge w:val="continue"/>
            <w:tcBorders>
              <w:tl2br w:val="nil"/>
              <w:tr2bl w:val="nil"/>
            </w:tcBorders>
            <w:vAlign w:val="center"/>
          </w:tcPr>
          <w:p>
            <w:pPr>
              <w:pStyle w:val="17"/>
              <w:tabs>
                <w:tab w:val="left" w:pos="0"/>
              </w:tabs>
              <w:spacing w:after="0" w:line="240" w:lineRule="exact"/>
              <w:ind w:left="0" w:leftChars="0"/>
              <w:jc w:val="center"/>
            </w:pPr>
          </w:p>
        </w:tc>
        <w:tc>
          <w:tcPr>
            <w:tcW w:w="3296" w:type="pct"/>
            <w:tcBorders>
              <w:tl2br w:val="nil"/>
              <w:tr2bl w:val="nil"/>
            </w:tcBorders>
            <w:vAlign w:val="center"/>
          </w:tcPr>
          <w:p>
            <w:pPr>
              <w:pStyle w:val="17"/>
              <w:tabs>
                <w:tab w:val="left" w:pos="0"/>
              </w:tabs>
              <w:spacing w:after="0" w:line="240" w:lineRule="exact"/>
              <w:ind w:left="0" w:leftChars="0"/>
              <w:jc w:val="left"/>
            </w:pPr>
            <w:r>
              <w:rPr>
                <w:rFonts w:hint="eastAsia"/>
                <w:szCs w:val="21"/>
              </w:rPr>
              <w:t>封场排水沟：填埋终了封场后在堆体表面设排水沟，排水沟尺寸40×40cm，浆砌石结构。</w:t>
            </w:r>
          </w:p>
        </w:tc>
        <w:tc>
          <w:tcPr>
            <w:tcW w:w="624" w:type="pct"/>
            <w:tcBorders>
              <w:tl2br w:val="nil"/>
              <w:tr2bl w:val="nil"/>
            </w:tcBorders>
            <w:vAlign w:val="center"/>
          </w:tcPr>
          <w:p>
            <w:pPr>
              <w:pStyle w:val="17"/>
              <w:tabs>
                <w:tab w:val="left" w:pos="0"/>
              </w:tabs>
              <w:spacing w:after="0" w:line="240" w:lineRule="exact"/>
              <w:ind w:left="0" w:leftChars="0"/>
              <w:jc w:val="center"/>
              <w:rPr>
                <w:bCs/>
                <w:szCs w:val="21"/>
              </w:rPr>
            </w:pPr>
            <w:r>
              <w:rPr>
                <w:rFonts w:hint="eastAsia"/>
                <w:bCs/>
                <w:szCs w:val="21"/>
              </w:rPr>
              <w:t>未建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exact"/>
          <w:jc w:val="center"/>
        </w:trPr>
        <w:tc>
          <w:tcPr>
            <w:tcW w:w="259" w:type="pct"/>
            <w:vMerge w:val="continue"/>
            <w:tcBorders>
              <w:tl2br w:val="nil"/>
              <w:tr2bl w:val="nil"/>
            </w:tcBorders>
            <w:vAlign w:val="center"/>
          </w:tcPr>
          <w:p>
            <w:pPr>
              <w:spacing w:line="240" w:lineRule="exact"/>
              <w:jc w:val="center"/>
              <w:rPr>
                <w:bCs/>
                <w:szCs w:val="21"/>
              </w:rPr>
            </w:pPr>
          </w:p>
        </w:tc>
        <w:tc>
          <w:tcPr>
            <w:tcW w:w="820" w:type="pct"/>
            <w:gridSpan w:val="2"/>
            <w:tcBorders>
              <w:tl2br w:val="nil"/>
              <w:tr2bl w:val="nil"/>
            </w:tcBorders>
            <w:vAlign w:val="center"/>
          </w:tcPr>
          <w:p>
            <w:pPr>
              <w:autoSpaceDE w:val="0"/>
              <w:autoSpaceDN w:val="0"/>
              <w:adjustRightInd w:val="0"/>
              <w:spacing w:line="240" w:lineRule="exact"/>
              <w:jc w:val="center"/>
              <w:rPr>
                <w:szCs w:val="21"/>
              </w:rPr>
            </w:pPr>
            <w:r>
              <w:rPr>
                <w:rFonts w:hint="eastAsia"/>
                <w:szCs w:val="21"/>
              </w:rPr>
              <w:t>防飞散网及绿化带</w:t>
            </w:r>
          </w:p>
        </w:tc>
        <w:tc>
          <w:tcPr>
            <w:tcW w:w="3296" w:type="pct"/>
            <w:tcBorders>
              <w:tl2br w:val="nil"/>
              <w:tr2bl w:val="nil"/>
            </w:tcBorders>
            <w:vAlign w:val="center"/>
          </w:tcPr>
          <w:p>
            <w:pPr>
              <w:autoSpaceDE w:val="0"/>
              <w:autoSpaceDN w:val="0"/>
              <w:adjustRightInd w:val="0"/>
              <w:spacing w:line="240" w:lineRule="exact"/>
              <w:jc w:val="left"/>
              <w:rPr>
                <w:szCs w:val="21"/>
              </w:rPr>
            </w:pPr>
            <w:r>
              <w:rPr>
                <w:rFonts w:hint="eastAsia"/>
                <w:szCs w:val="21"/>
              </w:rPr>
              <w:t>场地四周设有防飞散网，高3.0m，总长约685m。管理区周边进行了了乔灌绿化，绿化面积约840m</w:t>
            </w:r>
            <w:r>
              <w:rPr>
                <w:rFonts w:hint="eastAsia"/>
                <w:szCs w:val="21"/>
                <w:vertAlign w:val="superscript"/>
              </w:rPr>
              <w:t>2</w:t>
            </w:r>
            <w:r>
              <w:rPr>
                <w:rFonts w:hint="eastAsia"/>
                <w:szCs w:val="21"/>
              </w:rPr>
              <w:t>。</w:t>
            </w:r>
          </w:p>
        </w:tc>
        <w:tc>
          <w:tcPr>
            <w:tcW w:w="624" w:type="pct"/>
            <w:tcBorders>
              <w:tl2br w:val="nil"/>
              <w:tr2bl w:val="nil"/>
            </w:tcBorders>
            <w:vAlign w:val="center"/>
          </w:tcPr>
          <w:p>
            <w:pPr>
              <w:pStyle w:val="17"/>
              <w:tabs>
                <w:tab w:val="left" w:pos="0"/>
              </w:tabs>
              <w:spacing w:after="0" w:line="240" w:lineRule="exact"/>
              <w:ind w:left="0" w:leftChars="0"/>
              <w:jc w:val="center"/>
              <w:rPr>
                <w:bCs/>
                <w:szCs w:val="21"/>
              </w:rPr>
            </w:pPr>
            <w:r>
              <w:rPr>
                <w:rFonts w:hint="eastAsia"/>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exact"/>
          <w:jc w:val="center"/>
        </w:trPr>
        <w:tc>
          <w:tcPr>
            <w:tcW w:w="259" w:type="pct"/>
            <w:vMerge w:val="continue"/>
            <w:tcBorders>
              <w:tl2br w:val="nil"/>
              <w:tr2bl w:val="nil"/>
            </w:tcBorders>
            <w:vAlign w:val="center"/>
          </w:tcPr>
          <w:p>
            <w:pPr>
              <w:spacing w:line="240" w:lineRule="exact"/>
              <w:jc w:val="center"/>
              <w:rPr>
                <w:bCs/>
                <w:szCs w:val="21"/>
              </w:rPr>
            </w:pPr>
          </w:p>
        </w:tc>
        <w:tc>
          <w:tcPr>
            <w:tcW w:w="820" w:type="pct"/>
            <w:gridSpan w:val="2"/>
            <w:tcBorders>
              <w:tl2br w:val="nil"/>
              <w:tr2bl w:val="nil"/>
            </w:tcBorders>
            <w:vAlign w:val="center"/>
          </w:tcPr>
          <w:p>
            <w:pPr>
              <w:pStyle w:val="15"/>
              <w:spacing w:line="240" w:lineRule="exact"/>
              <w:jc w:val="center"/>
              <w:textAlignment w:val="auto"/>
              <w:rPr>
                <w:rFonts w:ascii="Times New Roman"/>
                <w:sz w:val="21"/>
                <w:szCs w:val="21"/>
              </w:rPr>
            </w:pPr>
            <w:r>
              <w:rPr>
                <w:rFonts w:hint="eastAsia" w:ascii="Times New Roman"/>
                <w:bCs/>
                <w:sz w:val="21"/>
                <w:szCs w:val="21"/>
              </w:rPr>
              <w:t>堆土场</w:t>
            </w:r>
          </w:p>
        </w:tc>
        <w:tc>
          <w:tcPr>
            <w:tcW w:w="3296" w:type="pct"/>
            <w:tcBorders>
              <w:tl2br w:val="nil"/>
              <w:tr2bl w:val="nil"/>
            </w:tcBorders>
            <w:vAlign w:val="center"/>
          </w:tcPr>
          <w:p>
            <w:pPr>
              <w:autoSpaceDE w:val="0"/>
              <w:autoSpaceDN w:val="0"/>
              <w:adjustRightInd w:val="0"/>
              <w:spacing w:line="240" w:lineRule="exact"/>
              <w:jc w:val="left"/>
              <w:rPr>
                <w:szCs w:val="21"/>
              </w:rPr>
            </w:pPr>
            <w:r>
              <w:rPr>
                <w:rFonts w:hint="eastAsia"/>
                <w:szCs w:val="21"/>
              </w:rPr>
              <w:t>项目施工过程中挖方大于填方，产生多余弃土约22万m</w:t>
            </w:r>
            <w:r>
              <w:rPr>
                <w:rFonts w:hint="eastAsia"/>
                <w:szCs w:val="21"/>
                <w:vertAlign w:val="superscript"/>
              </w:rPr>
              <w:t>3</w:t>
            </w:r>
            <w:r>
              <w:rPr>
                <w:rFonts w:hint="eastAsia"/>
                <w:szCs w:val="21"/>
              </w:rPr>
              <w:t>，利用场内西南角空地设临时堆土场，用于项目后期垃圾填埋及封场覆土。</w:t>
            </w:r>
          </w:p>
        </w:tc>
        <w:tc>
          <w:tcPr>
            <w:tcW w:w="624" w:type="pct"/>
            <w:tcBorders>
              <w:tl2br w:val="nil"/>
              <w:tr2bl w:val="nil"/>
            </w:tcBorders>
            <w:vAlign w:val="center"/>
          </w:tcPr>
          <w:p>
            <w:pPr>
              <w:pStyle w:val="17"/>
              <w:tabs>
                <w:tab w:val="left" w:pos="0"/>
              </w:tabs>
              <w:spacing w:after="0" w:line="240" w:lineRule="exact"/>
              <w:ind w:left="0" w:leftChars="0"/>
              <w:jc w:val="center"/>
              <w:rPr>
                <w:bCs/>
                <w:szCs w:val="21"/>
              </w:rPr>
            </w:pPr>
            <w:r>
              <w:rPr>
                <w:rFonts w:hint="eastAsia"/>
                <w:bCs/>
                <w:szCs w:val="21"/>
              </w:rPr>
              <w:t>已建</w:t>
            </w:r>
          </w:p>
        </w:tc>
      </w:tr>
    </w:tbl>
    <w:p>
      <w:pPr>
        <w:spacing w:line="500" w:lineRule="exact"/>
        <w:ind w:firstLine="480"/>
        <w:jc w:val="center"/>
        <w:rPr>
          <w:b/>
          <w:kern w:val="0"/>
          <w:sz w:val="24"/>
        </w:rPr>
      </w:pPr>
      <w:r>
        <w:rPr>
          <w:b/>
          <w:spacing w:val="4"/>
          <w:sz w:val="24"/>
        </w:rPr>
        <w:t>表3.</w:t>
      </w:r>
      <w:r>
        <w:rPr>
          <w:rFonts w:hint="eastAsia"/>
          <w:b/>
          <w:spacing w:val="4"/>
          <w:sz w:val="24"/>
        </w:rPr>
        <w:t>2</w:t>
      </w:r>
      <w:r>
        <w:rPr>
          <w:b/>
          <w:spacing w:val="4"/>
          <w:sz w:val="24"/>
        </w:rPr>
        <w:t>-</w:t>
      </w:r>
      <w:r>
        <w:rPr>
          <w:rFonts w:hint="eastAsia"/>
          <w:b/>
          <w:spacing w:val="4"/>
          <w:sz w:val="24"/>
        </w:rPr>
        <w:t>1续</w:t>
      </w:r>
      <w:r>
        <w:rPr>
          <w:b/>
          <w:spacing w:val="4"/>
          <w:sz w:val="24"/>
        </w:rPr>
        <w:t>项目建设内容</w:t>
      </w:r>
      <w:r>
        <w:rPr>
          <w:b/>
          <w:kern w:val="0"/>
          <w:sz w:val="24"/>
        </w:rPr>
        <w:t>组成一览表</w:t>
      </w:r>
    </w:p>
    <w:tbl>
      <w:tblPr>
        <w:tblStyle w:val="29"/>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0"/>
        <w:gridCol w:w="1155"/>
        <w:gridCol w:w="9530"/>
        <w:gridCol w:w="29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exact"/>
          <w:jc w:val="center"/>
        </w:trPr>
        <w:tc>
          <w:tcPr>
            <w:tcW w:w="258"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类别</w:t>
            </w:r>
          </w:p>
        </w:tc>
        <w:tc>
          <w:tcPr>
            <w:tcW w:w="402"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建设名称</w:t>
            </w:r>
          </w:p>
        </w:tc>
        <w:tc>
          <w:tcPr>
            <w:tcW w:w="3318"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主要内容</w:t>
            </w:r>
          </w:p>
        </w:tc>
        <w:tc>
          <w:tcPr>
            <w:tcW w:w="1021" w:type="pct"/>
            <w:tcBorders>
              <w:tl2br w:val="nil"/>
              <w:tr2bl w:val="nil"/>
            </w:tcBorders>
            <w:vAlign w:val="center"/>
          </w:tcPr>
          <w:p>
            <w:pPr>
              <w:autoSpaceDE w:val="0"/>
              <w:autoSpaceDN w:val="0"/>
              <w:adjustRightInd w:val="0"/>
              <w:spacing w:line="280" w:lineRule="exact"/>
              <w:jc w:val="center"/>
              <w:rPr>
                <w:bCs/>
                <w:szCs w:val="21"/>
              </w:rPr>
            </w:pPr>
            <w:r>
              <w:rPr>
                <w:rFonts w:hint="eastAsia"/>
                <w:bCs/>
                <w:szCs w:val="21"/>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exact"/>
          <w:jc w:val="center"/>
        </w:trPr>
        <w:tc>
          <w:tcPr>
            <w:tcW w:w="258" w:type="pct"/>
            <w:vMerge w:val="restart"/>
            <w:tcBorders>
              <w:tl2br w:val="nil"/>
              <w:tr2bl w:val="nil"/>
            </w:tcBorders>
            <w:vAlign w:val="center"/>
          </w:tcPr>
          <w:p>
            <w:pPr>
              <w:spacing w:line="240" w:lineRule="exact"/>
              <w:jc w:val="center"/>
              <w:rPr>
                <w:bCs/>
                <w:szCs w:val="21"/>
              </w:rPr>
            </w:pPr>
            <w:r>
              <w:rPr>
                <w:bCs/>
                <w:szCs w:val="21"/>
              </w:rPr>
              <w:t>公用工程</w:t>
            </w:r>
          </w:p>
        </w:tc>
        <w:tc>
          <w:tcPr>
            <w:tcW w:w="402" w:type="pct"/>
            <w:tcBorders>
              <w:tl2br w:val="nil"/>
              <w:tr2bl w:val="nil"/>
            </w:tcBorders>
            <w:vAlign w:val="center"/>
          </w:tcPr>
          <w:p>
            <w:pPr>
              <w:spacing w:line="240" w:lineRule="exact"/>
              <w:jc w:val="center"/>
              <w:rPr>
                <w:bCs/>
                <w:szCs w:val="21"/>
              </w:rPr>
            </w:pPr>
            <w:r>
              <w:rPr>
                <w:bCs/>
                <w:szCs w:val="21"/>
              </w:rPr>
              <w:t>供电</w:t>
            </w:r>
          </w:p>
        </w:tc>
        <w:tc>
          <w:tcPr>
            <w:tcW w:w="3318" w:type="pct"/>
            <w:tcBorders>
              <w:tl2br w:val="nil"/>
              <w:tr2bl w:val="nil"/>
            </w:tcBorders>
            <w:vAlign w:val="center"/>
          </w:tcPr>
          <w:p>
            <w:pPr>
              <w:spacing w:line="240" w:lineRule="exact"/>
              <w:jc w:val="center"/>
              <w:rPr>
                <w:bCs/>
                <w:szCs w:val="21"/>
                <w:highlight w:val="yellow"/>
              </w:rPr>
            </w:pPr>
            <w:r>
              <w:rPr>
                <w:bCs/>
                <w:szCs w:val="21"/>
              </w:rPr>
              <w:t>由辛村110KV变电站</w:t>
            </w:r>
            <w:r>
              <w:rPr>
                <w:rFonts w:hint="eastAsia"/>
                <w:bCs/>
                <w:szCs w:val="21"/>
              </w:rPr>
              <w:t>接入，场内设变压器。</w:t>
            </w:r>
          </w:p>
        </w:tc>
        <w:tc>
          <w:tcPr>
            <w:tcW w:w="1021" w:type="pct"/>
            <w:tcBorders>
              <w:tl2br w:val="nil"/>
              <w:tr2bl w:val="nil"/>
            </w:tcBorders>
            <w:vAlign w:val="center"/>
          </w:tcPr>
          <w:p>
            <w:pPr>
              <w:spacing w:line="240" w:lineRule="exact"/>
              <w:jc w:val="center"/>
              <w:rPr>
                <w:bCs/>
                <w:szCs w:val="21"/>
              </w:rPr>
            </w:pPr>
            <w:r>
              <w:rPr>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7" w:hRule="exac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bCs/>
                <w:szCs w:val="21"/>
              </w:rPr>
            </w:pPr>
            <w:r>
              <w:rPr>
                <w:bCs/>
                <w:szCs w:val="21"/>
              </w:rPr>
              <w:t>供水</w:t>
            </w:r>
          </w:p>
        </w:tc>
        <w:tc>
          <w:tcPr>
            <w:tcW w:w="3318" w:type="pct"/>
            <w:tcBorders>
              <w:tl2br w:val="nil"/>
              <w:tr2bl w:val="nil"/>
            </w:tcBorders>
            <w:vAlign w:val="center"/>
          </w:tcPr>
          <w:p>
            <w:pPr>
              <w:spacing w:line="240" w:lineRule="exact"/>
              <w:jc w:val="center"/>
              <w:rPr>
                <w:bCs/>
                <w:szCs w:val="21"/>
              </w:rPr>
            </w:pPr>
            <w:r>
              <w:rPr>
                <w:bCs/>
                <w:szCs w:val="21"/>
              </w:rPr>
              <w:t>由辛村自来水管网接入</w:t>
            </w:r>
            <w:r>
              <w:rPr>
                <w:rFonts w:hint="eastAsia"/>
                <w:bCs/>
                <w:szCs w:val="21"/>
              </w:rPr>
              <w:t>。</w:t>
            </w:r>
          </w:p>
        </w:tc>
        <w:tc>
          <w:tcPr>
            <w:tcW w:w="1021" w:type="pct"/>
            <w:tcBorders>
              <w:tl2br w:val="nil"/>
              <w:tr2bl w:val="nil"/>
            </w:tcBorders>
            <w:vAlign w:val="center"/>
          </w:tcPr>
          <w:p>
            <w:pPr>
              <w:spacing w:line="240" w:lineRule="exact"/>
              <w:jc w:val="center"/>
              <w:rPr>
                <w:bCs/>
                <w:szCs w:val="21"/>
              </w:rPr>
            </w:pPr>
            <w:r>
              <w:rPr>
                <w:bCs/>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9" w:hRule="atLeas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bCs/>
                <w:szCs w:val="21"/>
              </w:rPr>
            </w:pPr>
            <w:r>
              <w:rPr>
                <w:bCs/>
                <w:szCs w:val="21"/>
              </w:rPr>
              <w:t>排水</w:t>
            </w:r>
          </w:p>
        </w:tc>
        <w:tc>
          <w:tcPr>
            <w:tcW w:w="3318" w:type="pct"/>
            <w:tcBorders>
              <w:tl2br w:val="nil"/>
              <w:tr2bl w:val="nil"/>
            </w:tcBorders>
            <w:vAlign w:val="center"/>
          </w:tcPr>
          <w:p>
            <w:pPr>
              <w:autoSpaceDE w:val="0"/>
              <w:autoSpaceDN w:val="0"/>
              <w:adjustRightInd w:val="0"/>
              <w:spacing w:line="240" w:lineRule="exact"/>
              <w:jc w:val="left"/>
              <w:rPr>
                <w:bCs/>
                <w:szCs w:val="21"/>
              </w:rPr>
            </w:pPr>
            <w:r>
              <w:rPr>
                <w:rFonts w:hint="eastAsia"/>
                <w:bCs/>
                <w:szCs w:val="21"/>
              </w:rPr>
              <w:t>垃圾渗滤液及少量职工生活废水、洗车废水等处理达标后，全部回用于场地及县城绿化、道路清扫，项目无外排废水。</w:t>
            </w:r>
          </w:p>
        </w:tc>
        <w:tc>
          <w:tcPr>
            <w:tcW w:w="1021" w:type="pct"/>
            <w:tcBorders>
              <w:tl2br w:val="nil"/>
              <w:tr2bl w:val="nil"/>
            </w:tcBorders>
            <w:vAlign w:val="center"/>
          </w:tcPr>
          <w:p>
            <w:pPr>
              <w:spacing w:line="240" w:lineRule="exact"/>
              <w:jc w:val="center"/>
              <w:rPr>
                <w:bCs/>
                <w:szCs w:val="21"/>
              </w:rPr>
            </w:pPr>
            <w:r>
              <w:rPr>
                <w:rFonts w:hint="eastAsia"/>
                <w:bCs/>
                <w:szCs w:val="21"/>
              </w:rPr>
              <w:t>已</w:t>
            </w:r>
            <w:r>
              <w:rPr>
                <w:bCs/>
                <w:szCs w:val="21"/>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bCs/>
                <w:szCs w:val="21"/>
              </w:rPr>
            </w:pPr>
            <w:r>
              <w:rPr>
                <w:bCs/>
                <w:szCs w:val="21"/>
              </w:rPr>
              <w:t>供热</w:t>
            </w:r>
          </w:p>
        </w:tc>
        <w:tc>
          <w:tcPr>
            <w:tcW w:w="3318" w:type="pct"/>
            <w:tcBorders>
              <w:tl2br w:val="nil"/>
              <w:tr2bl w:val="nil"/>
            </w:tcBorders>
            <w:vAlign w:val="center"/>
          </w:tcPr>
          <w:p>
            <w:pPr>
              <w:pStyle w:val="35"/>
              <w:spacing w:line="240" w:lineRule="exact"/>
              <w:ind w:firstLine="0" w:firstLineChars="0"/>
              <w:jc w:val="center"/>
              <w:rPr>
                <w:rFonts w:ascii="Times New Roman" w:hAnsi="Times New Roman"/>
                <w:sz w:val="21"/>
                <w:szCs w:val="21"/>
              </w:rPr>
            </w:pPr>
            <w:r>
              <w:rPr>
                <w:rFonts w:hint="eastAsia" w:ascii="Times New Roman" w:hAnsi="Times New Roman"/>
                <w:sz w:val="21"/>
                <w:szCs w:val="21"/>
              </w:rPr>
              <w:t>管理区</w:t>
            </w:r>
            <w:r>
              <w:rPr>
                <w:rFonts w:ascii="Times New Roman" w:hAnsi="Times New Roman"/>
                <w:sz w:val="21"/>
                <w:szCs w:val="21"/>
              </w:rPr>
              <w:t>冬季采用</w:t>
            </w:r>
            <w:r>
              <w:rPr>
                <w:rFonts w:hint="eastAsia" w:ascii="Times New Roman" w:hAnsi="Times New Roman"/>
                <w:sz w:val="21"/>
                <w:szCs w:val="21"/>
              </w:rPr>
              <w:t>空调</w:t>
            </w:r>
            <w:r>
              <w:rPr>
                <w:rFonts w:ascii="Times New Roman" w:hAnsi="Times New Roman"/>
                <w:sz w:val="21"/>
                <w:szCs w:val="21"/>
              </w:rPr>
              <w:t>取暖</w:t>
            </w:r>
            <w:r>
              <w:rPr>
                <w:rFonts w:hint="eastAsia" w:ascii="Times New Roman" w:hAnsi="Times New Roman"/>
                <w:sz w:val="21"/>
                <w:szCs w:val="21"/>
              </w:rPr>
              <w:t>，场内不设锅炉等供热设施。</w:t>
            </w:r>
          </w:p>
        </w:tc>
        <w:tc>
          <w:tcPr>
            <w:tcW w:w="1021" w:type="pct"/>
            <w:tcBorders>
              <w:tl2br w:val="nil"/>
              <w:tr2bl w:val="nil"/>
            </w:tcBorders>
            <w:vAlign w:val="center"/>
          </w:tcPr>
          <w:p>
            <w:pPr>
              <w:spacing w:line="240" w:lineRule="exact"/>
              <w:jc w:val="center"/>
              <w:rPr>
                <w:bCs/>
                <w:szCs w:val="21"/>
              </w:rPr>
            </w:pPr>
            <w:r>
              <w:rPr>
                <w:rFonts w:hint="eastAsia"/>
                <w:bCs/>
                <w:szCs w:val="21"/>
              </w:rPr>
              <w:t>已</w:t>
            </w:r>
            <w:r>
              <w:rPr>
                <w:bCs/>
                <w:szCs w:val="21"/>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258" w:type="pct"/>
            <w:vMerge w:val="restart"/>
            <w:tcBorders>
              <w:tl2br w:val="nil"/>
              <w:tr2bl w:val="nil"/>
            </w:tcBorders>
            <w:vAlign w:val="center"/>
          </w:tcPr>
          <w:p>
            <w:pPr>
              <w:spacing w:line="240" w:lineRule="exact"/>
              <w:jc w:val="center"/>
              <w:rPr>
                <w:bCs/>
                <w:szCs w:val="21"/>
              </w:rPr>
            </w:pPr>
            <w:r>
              <w:rPr>
                <w:bCs/>
                <w:szCs w:val="21"/>
              </w:rPr>
              <w:t>环保工程</w:t>
            </w:r>
          </w:p>
        </w:tc>
        <w:tc>
          <w:tcPr>
            <w:tcW w:w="402" w:type="pct"/>
            <w:vMerge w:val="restart"/>
            <w:tcBorders>
              <w:tl2br w:val="nil"/>
              <w:tr2bl w:val="nil"/>
            </w:tcBorders>
            <w:vAlign w:val="center"/>
          </w:tcPr>
          <w:p>
            <w:pPr>
              <w:spacing w:line="240" w:lineRule="exact"/>
              <w:jc w:val="center"/>
              <w:rPr>
                <w:bCs/>
                <w:szCs w:val="21"/>
              </w:rPr>
            </w:pPr>
            <w:r>
              <w:rPr>
                <w:rFonts w:hint="eastAsia"/>
                <w:bCs/>
                <w:szCs w:val="21"/>
              </w:rPr>
              <w:t>废气</w:t>
            </w:r>
          </w:p>
        </w:tc>
        <w:tc>
          <w:tcPr>
            <w:tcW w:w="3318" w:type="pct"/>
            <w:tcBorders>
              <w:tl2br w:val="nil"/>
              <w:tr2bl w:val="nil"/>
            </w:tcBorders>
            <w:vAlign w:val="center"/>
          </w:tcPr>
          <w:p>
            <w:pPr>
              <w:autoSpaceDE w:val="0"/>
              <w:autoSpaceDN w:val="0"/>
              <w:adjustRightInd w:val="0"/>
              <w:spacing w:line="260" w:lineRule="exact"/>
              <w:jc w:val="left"/>
            </w:pPr>
            <w:r>
              <w:rPr>
                <w:rFonts w:hint="eastAsia"/>
                <w:szCs w:val="21"/>
              </w:rPr>
              <w:t>1、填埋气：</w:t>
            </w: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配套完善导气石笼井、水平导气管和抽气机房、火炬式燃烧器等收集导排处理设施，填埋初期少量低浓度填埋气经导气石笼中心管放空，随着场内运行、垃圾填埋气产量及甲烷等有机气体含量逐渐增加后，填埋气经导气支管、抽气机房主动收集后，送至火炬式燃烧器进行燃烧处理；</w:t>
            </w:r>
            <w:r>
              <w:rPr>
                <w:rFonts w:hint="eastAsia"/>
                <w:szCs w:val="21"/>
              </w:rPr>
              <w:fldChar w:fldCharType="begin"/>
            </w:r>
            <w:r>
              <w:rPr>
                <w:rFonts w:hint="eastAsia"/>
                <w:szCs w:val="21"/>
              </w:rPr>
              <w:instrText xml:space="preserve"> = 2 \* GB3 \* MERGEFORMAT </w:instrText>
            </w:r>
            <w:r>
              <w:rPr>
                <w:rFonts w:hint="eastAsia"/>
                <w:szCs w:val="21"/>
              </w:rPr>
              <w:fldChar w:fldCharType="separate"/>
            </w:r>
            <w:r>
              <w:rPr>
                <w:rFonts w:hint="eastAsia" w:ascii="宋体" w:hAnsi="宋体" w:cs="宋体"/>
              </w:rPr>
              <w:t>②</w:t>
            </w:r>
            <w:r>
              <w:rPr>
                <w:rFonts w:hint="eastAsia"/>
                <w:szCs w:val="21"/>
              </w:rPr>
              <w:fldChar w:fldCharType="end"/>
            </w:r>
            <w:r>
              <w:rPr>
                <w:rFonts w:hint="eastAsia"/>
                <w:szCs w:val="21"/>
              </w:rPr>
              <w:t>场内安装可燃气体监测报警装置等。</w:t>
            </w:r>
          </w:p>
        </w:tc>
        <w:tc>
          <w:tcPr>
            <w:tcW w:w="1021" w:type="pct"/>
            <w:tcBorders>
              <w:tl2br w:val="nil"/>
              <w:tr2bl w:val="nil"/>
            </w:tcBorders>
            <w:vAlign w:val="center"/>
          </w:tcPr>
          <w:p>
            <w:pPr>
              <w:spacing w:line="240" w:lineRule="exact"/>
              <w:jc w:val="center"/>
              <w:rPr>
                <w:szCs w:val="21"/>
              </w:rPr>
            </w:pPr>
            <w:r>
              <w:rPr>
                <w:rFonts w:hint="eastAsia"/>
                <w:szCs w:val="21"/>
              </w:rPr>
              <w:t>导气石笼井和抽气机房已建。</w:t>
            </w:r>
          </w:p>
          <w:p>
            <w:pPr>
              <w:pStyle w:val="10"/>
              <w:ind w:firstLine="0" w:firstLineChars="0"/>
              <w:jc w:val="center"/>
            </w:pPr>
            <w:r>
              <w:rPr>
                <w:rFonts w:hint="eastAsia"/>
              </w:rPr>
              <w:t>水平导气管、</w:t>
            </w:r>
            <w:r>
              <w:rPr>
                <w:rFonts w:hint="eastAsia"/>
                <w:szCs w:val="21"/>
              </w:rPr>
              <w:t>火炬式燃烧器、气体监测报警装置等未建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5" w:hRule="atLeast"/>
          <w:jc w:val="center"/>
        </w:trPr>
        <w:tc>
          <w:tcPr>
            <w:tcW w:w="258" w:type="pct"/>
            <w:vMerge w:val="continue"/>
            <w:tcBorders>
              <w:tl2br w:val="nil"/>
              <w:tr2bl w:val="nil"/>
            </w:tcBorders>
            <w:vAlign w:val="center"/>
          </w:tcPr>
          <w:p>
            <w:pPr>
              <w:pStyle w:val="2"/>
              <w:spacing w:line="260" w:lineRule="exact"/>
            </w:pPr>
          </w:p>
        </w:tc>
        <w:tc>
          <w:tcPr>
            <w:tcW w:w="402" w:type="pct"/>
            <w:vMerge w:val="continue"/>
            <w:tcBorders>
              <w:tl2br w:val="nil"/>
              <w:tr2bl w:val="nil"/>
            </w:tcBorders>
            <w:vAlign w:val="center"/>
          </w:tcPr>
          <w:p>
            <w:pPr>
              <w:pStyle w:val="2"/>
              <w:spacing w:line="260" w:lineRule="exact"/>
            </w:pPr>
          </w:p>
        </w:tc>
        <w:tc>
          <w:tcPr>
            <w:tcW w:w="3318" w:type="pct"/>
            <w:tcBorders>
              <w:tl2br w:val="nil"/>
              <w:tr2bl w:val="nil"/>
            </w:tcBorders>
            <w:vAlign w:val="center"/>
          </w:tcPr>
          <w:p>
            <w:pPr>
              <w:autoSpaceDE w:val="0"/>
              <w:autoSpaceDN w:val="0"/>
              <w:adjustRightInd w:val="0"/>
              <w:spacing w:line="260" w:lineRule="exact"/>
              <w:jc w:val="left"/>
              <w:rPr>
                <w:szCs w:val="21"/>
              </w:rPr>
            </w:pPr>
            <w:r>
              <w:rPr>
                <w:rFonts w:hint="eastAsia"/>
                <w:bCs/>
                <w:szCs w:val="21"/>
              </w:rPr>
              <w:t>2、恶臭：</w:t>
            </w:r>
            <w:r>
              <w:rPr>
                <w:rFonts w:hint="eastAsia"/>
                <w:szCs w:val="21"/>
              </w:rPr>
              <w:t>科学作业，分区填埋，层层压实，每日覆盖</w:t>
            </w:r>
            <w:r>
              <w:rPr>
                <w:rFonts w:hint="eastAsia"/>
                <w:bCs/>
                <w:szCs w:val="21"/>
              </w:rPr>
              <w:t>；喷洒除臭剂；渗滤液收集池埋地封闭结构，渗滤液处理间加强通风等。</w:t>
            </w:r>
          </w:p>
        </w:tc>
        <w:tc>
          <w:tcPr>
            <w:tcW w:w="1021" w:type="pct"/>
            <w:tcBorders>
              <w:tl2br w:val="nil"/>
              <w:tr2bl w:val="nil"/>
            </w:tcBorders>
            <w:vAlign w:val="center"/>
          </w:tcPr>
          <w:p>
            <w:pPr>
              <w:pStyle w:val="2"/>
              <w:spacing w:line="260" w:lineRule="exact"/>
              <w:jc w:val="center"/>
              <w:rPr>
                <w:rFonts w:cs="Times New Roman"/>
                <w:color w:val="auto"/>
                <w:sz w:val="21"/>
                <w:szCs w:val="21"/>
              </w:rPr>
            </w:pPr>
            <w:r>
              <w:rPr>
                <w:rFonts w:hint="eastAsia" w:cs="Times New Roman"/>
                <w:color w:val="auto"/>
                <w:sz w:val="21"/>
                <w:szCs w:val="21"/>
              </w:rPr>
              <w:t>喷药车未购，其余已建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258" w:type="pct"/>
            <w:vMerge w:val="continue"/>
            <w:tcBorders>
              <w:tl2br w:val="nil"/>
              <w:tr2bl w:val="nil"/>
            </w:tcBorders>
            <w:vAlign w:val="center"/>
          </w:tcPr>
          <w:p>
            <w:pPr>
              <w:pStyle w:val="2"/>
              <w:spacing w:line="260" w:lineRule="exact"/>
              <w:rPr>
                <w:rFonts w:cs="Times New Roman"/>
                <w:color w:val="auto"/>
                <w:sz w:val="21"/>
                <w:szCs w:val="21"/>
              </w:rPr>
            </w:pPr>
          </w:p>
        </w:tc>
        <w:tc>
          <w:tcPr>
            <w:tcW w:w="402" w:type="pct"/>
            <w:vMerge w:val="continue"/>
            <w:tcBorders>
              <w:tl2br w:val="nil"/>
              <w:tr2bl w:val="nil"/>
            </w:tcBorders>
            <w:vAlign w:val="center"/>
          </w:tcPr>
          <w:p>
            <w:pPr>
              <w:pStyle w:val="2"/>
              <w:spacing w:line="260" w:lineRule="exact"/>
              <w:rPr>
                <w:rFonts w:cs="Times New Roman"/>
                <w:color w:val="auto"/>
                <w:sz w:val="21"/>
                <w:szCs w:val="21"/>
              </w:rPr>
            </w:pPr>
          </w:p>
        </w:tc>
        <w:tc>
          <w:tcPr>
            <w:tcW w:w="3318" w:type="pct"/>
            <w:tcBorders>
              <w:tl2br w:val="nil"/>
              <w:tr2bl w:val="nil"/>
            </w:tcBorders>
            <w:vAlign w:val="center"/>
          </w:tcPr>
          <w:p>
            <w:pPr>
              <w:autoSpaceDE w:val="0"/>
              <w:autoSpaceDN w:val="0"/>
              <w:adjustRightInd w:val="0"/>
              <w:spacing w:line="260" w:lineRule="exact"/>
              <w:jc w:val="left"/>
              <w:rPr>
                <w:szCs w:val="21"/>
              </w:rPr>
            </w:pPr>
            <w:r>
              <w:rPr>
                <w:rFonts w:hint="eastAsia"/>
                <w:szCs w:val="21"/>
              </w:rPr>
              <w:t>3、抑尘：垃圾卸车等作业点设移动式防飞网；采用密闭厢式车辆进行运输，运输车辆出场前进行冲洗；加强场地及道路洒水；场地四周设防飞散网等。</w:t>
            </w:r>
          </w:p>
        </w:tc>
        <w:tc>
          <w:tcPr>
            <w:tcW w:w="1021" w:type="pct"/>
            <w:tcBorders>
              <w:tl2br w:val="nil"/>
              <w:tr2bl w:val="nil"/>
            </w:tcBorders>
            <w:vAlign w:val="center"/>
          </w:tcPr>
          <w:p>
            <w:pPr>
              <w:pStyle w:val="2"/>
              <w:spacing w:line="260" w:lineRule="exact"/>
              <w:jc w:val="center"/>
              <w:rPr>
                <w:rFonts w:cs="Times New Roman"/>
                <w:color w:val="auto"/>
                <w:sz w:val="21"/>
                <w:szCs w:val="21"/>
              </w:rPr>
            </w:pPr>
            <w:r>
              <w:rPr>
                <w:rFonts w:hint="eastAsia" w:cs="Times New Roman"/>
                <w:color w:val="auto"/>
                <w:sz w:val="21"/>
                <w:szCs w:val="21"/>
              </w:rPr>
              <w:t>洒水车未购，其余已建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258" w:type="pct"/>
            <w:vMerge w:val="continue"/>
            <w:tcBorders>
              <w:tl2br w:val="nil"/>
              <w:tr2bl w:val="nil"/>
            </w:tcBorders>
            <w:vAlign w:val="center"/>
          </w:tcPr>
          <w:p>
            <w:pPr>
              <w:pStyle w:val="2"/>
              <w:spacing w:line="260" w:lineRule="exact"/>
              <w:rPr>
                <w:rFonts w:cs="Times New Roman"/>
                <w:color w:val="auto"/>
                <w:sz w:val="21"/>
                <w:szCs w:val="21"/>
              </w:rPr>
            </w:pPr>
          </w:p>
        </w:tc>
        <w:tc>
          <w:tcPr>
            <w:tcW w:w="402" w:type="pct"/>
            <w:vMerge w:val="continue"/>
            <w:tcBorders>
              <w:tl2br w:val="nil"/>
              <w:tr2bl w:val="nil"/>
            </w:tcBorders>
            <w:vAlign w:val="center"/>
          </w:tcPr>
          <w:p>
            <w:pPr>
              <w:pStyle w:val="2"/>
              <w:spacing w:line="260" w:lineRule="exact"/>
              <w:rPr>
                <w:rFonts w:cs="Times New Roman"/>
                <w:color w:val="auto"/>
                <w:sz w:val="21"/>
                <w:szCs w:val="21"/>
              </w:rPr>
            </w:pPr>
          </w:p>
        </w:tc>
        <w:tc>
          <w:tcPr>
            <w:tcW w:w="3318" w:type="pct"/>
            <w:tcBorders>
              <w:tl2br w:val="nil"/>
              <w:tr2bl w:val="nil"/>
            </w:tcBorders>
            <w:vAlign w:val="center"/>
          </w:tcPr>
          <w:p>
            <w:pPr>
              <w:pStyle w:val="2"/>
              <w:spacing w:line="260" w:lineRule="exact"/>
              <w:rPr>
                <w:rFonts w:cs="Times New Roman"/>
                <w:color w:val="auto"/>
                <w:sz w:val="21"/>
                <w:szCs w:val="21"/>
              </w:rPr>
            </w:pPr>
            <w:r>
              <w:rPr>
                <w:rFonts w:hint="eastAsia" w:cs="Times New Roman"/>
                <w:color w:val="auto"/>
                <w:sz w:val="21"/>
                <w:szCs w:val="21"/>
              </w:rPr>
              <w:t>4、蚊蝇滋扰：填埋过程中利用喷药车及时喷洒药物；对蚊蝇实行分季度、有重点的集中杀灭成虫等。</w:t>
            </w:r>
          </w:p>
        </w:tc>
        <w:tc>
          <w:tcPr>
            <w:tcW w:w="1021" w:type="pct"/>
            <w:tcBorders>
              <w:tl2br w:val="nil"/>
              <w:tr2bl w:val="nil"/>
            </w:tcBorders>
            <w:vAlign w:val="center"/>
          </w:tcPr>
          <w:p>
            <w:pPr>
              <w:pStyle w:val="2"/>
              <w:spacing w:line="260" w:lineRule="exact"/>
              <w:jc w:val="center"/>
              <w:rPr>
                <w:rFonts w:cs="Times New Roman"/>
                <w:color w:val="auto"/>
                <w:sz w:val="21"/>
                <w:szCs w:val="21"/>
              </w:rPr>
            </w:pPr>
            <w:r>
              <w:rPr>
                <w:rFonts w:hint="eastAsia" w:cs="Times New Roman"/>
                <w:color w:val="auto"/>
                <w:sz w:val="21"/>
                <w:szCs w:val="21"/>
              </w:rPr>
              <w:t>喷药车未购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bCs/>
                <w:szCs w:val="21"/>
              </w:rPr>
            </w:pPr>
            <w:r>
              <w:rPr>
                <w:rFonts w:hint="eastAsia"/>
                <w:bCs/>
                <w:szCs w:val="21"/>
              </w:rPr>
              <w:t>废水</w:t>
            </w:r>
          </w:p>
        </w:tc>
        <w:tc>
          <w:tcPr>
            <w:tcW w:w="3318" w:type="pct"/>
            <w:tcBorders>
              <w:tl2br w:val="nil"/>
              <w:tr2bl w:val="nil"/>
            </w:tcBorders>
            <w:vAlign w:val="center"/>
          </w:tcPr>
          <w:p>
            <w:pPr>
              <w:autoSpaceDE w:val="0"/>
              <w:autoSpaceDN w:val="0"/>
              <w:adjustRightInd w:val="0"/>
              <w:spacing w:line="260" w:lineRule="exact"/>
              <w:jc w:val="left"/>
              <w:rPr>
                <w:szCs w:val="21"/>
              </w:rPr>
            </w:pPr>
            <w:r>
              <w:rPr>
                <w:rFonts w:hint="eastAsia"/>
                <w:szCs w:val="21"/>
              </w:rPr>
              <w:t>1、渗滤液：</w:t>
            </w: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库区场底、边坡和渗滤液调节池均进行HDPE土工膜等复合衬层防渗；</w:t>
            </w: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垃圾填埋渗滤液经盲沟导排后自流进入坝前提升井，然后被泵入收集池，最后进入渗滤液处理车间进行“预处理+两级DTRO反渗透”处理，出水满足满足《城市污水再生利用城市杂用水水质》(GB/T18920­2020)标准要求后全部回用于场地及县城绿化、道路清扫，不外排；</w:t>
            </w: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渗滤液处理过程中产生的反渗透浓水全部回喷库区；</w:t>
            </w:r>
          </w:p>
          <w:p>
            <w:pPr>
              <w:pStyle w:val="2"/>
              <w:spacing w:line="260" w:lineRule="exact"/>
              <w:rPr>
                <w:rFonts w:ascii="Times New Roman" w:hAnsi="Times New Roman" w:cs="Times New Roman"/>
                <w:color w:val="auto"/>
                <w:kern w:val="2"/>
                <w:sz w:val="21"/>
                <w:szCs w:val="21"/>
              </w:rPr>
            </w:pPr>
            <w:r>
              <w:rPr>
                <w:rFonts w:hint="eastAsia" w:ascii="Times New Roman" w:hAnsi="Times New Roman" w:cs="Times New Roman"/>
                <w:color w:val="auto"/>
                <w:sz w:val="21"/>
                <w:szCs w:val="21"/>
              </w:rPr>
              <w:t>2</w:t>
            </w:r>
            <w:r>
              <w:rPr>
                <w:rFonts w:hint="eastAsia"/>
                <w:color w:val="auto"/>
                <w:sz w:val="21"/>
                <w:szCs w:val="21"/>
              </w:rPr>
              <w:t>、职工生活</w:t>
            </w:r>
            <w:r>
              <w:rPr>
                <w:rFonts w:hint="eastAsia" w:ascii="Times New Roman" w:hAnsi="Times New Roman" w:cs="Times New Roman"/>
                <w:color w:val="auto"/>
                <w:kern w:val="2"/>
                <w:sz w:val="21"/>
                <w:szCs w:val="21"/>
              </w:rPr>
              <w:t>废水：经场内化粪池预处理后，随渗滤液一起进入调节池和渗滤液处理车间进行处理。</w:t>
            </w:r>
          </w:p>
          <w:p>
            <w:pPr>
              <w:pStyle w:val="3"/>
              <w:jc w:val="left"/>
            </w:pPr>
            <w:r>
              <w:rPr>
                <w:rFonts w:hint="eastAsia"/>
                <w:color w:val="auto"/>
                <w:szCs w:val="21"/>
              </w:rPr>
              <w:t>3、车辆洗车废水：进入场内沉淀池后，随渗滤液一起进入调节池和渗滤液处理车间进行处理。</w:t>
            </w:r>
          </w:p>
        </w:tc>
        <w:tc>
          <w:tcPr>
            <w:tcW w:w="1021" w:type="pct"/>
            <w:tcBorders>
              <w:tl2br w:val="nil"/>
              <w:tr2bl w:val="nil"/>
            </w:tcBorders>
            <w:vAlign w:val="center"/>
          </w:tcPr>
          <w:p>
            <w:pPr>
              <w:spacing w:line="240" w:lineRule="exact"/>
              <w:jc w:val="center"/>
              <w:rPr>
                <w:szCs w:val="21"/>
              </w:rPr>
            </w:pPr>
            <w:r>
              <w:rPr>
                <w:rFonts w:hint="eastAsia"/>
                <w:szCs w:val="21"/>
              </w:rPr>
              <w:t>洗车平台及废水沉淀池未建，其余已</w:t>
            </w:r>
            <w:r>
              <w:rPr>
                <w:szCs w:val="21"/>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exac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bCs/>
                <w:szCs w:val="21"/>
              </w:rPr>
            </w:pPr>
            <w:r>
              <w:rPr>
                <w:rFonts w:hint="eastAsia"/>
                <w:szCs w:val="21"/>
              </w:rPr>
              <w:t>噪声</w:t>
            </w:r>
          </w:p>
        </w:tc>
        <w:tc>
          <w:tcPr>
            <w:tcW w:w="3318" w:type="pct"/>
            <w:tcBorders>
              <w:tl2br w:val="nil"/>
              <w:tr2bl w:val="nil"/>
            </w:tcBorders>
            <w:vAlign w:val="center"/>
          </w:tcPr>
          <w:p>
            <w:pPr>
              <w:autoSpaceDE w:val="0"/>
              <w:autoSpaceDN w:val="0"/>
              <w:adjustRightInd w:val="0"/>
              <w:spacing w:line="240" w:lineRule="exact"/>
              <w:jc w:val="left"/>
              <w:rPr>
                <w:szCs w:val="21"/>
              </w:rPr>
            </w:pPr>
            <w:r>
              <w:rPr>
                <w:rFonts w:hint="eastAsia"/>
                <w:szCs w:val="21"/>
              </w:rPr>
              <w:t>加强填埋机械、运输车辆管理；选用车间机械设备基础减震，电机加隔声罩，风机安装柔性接头等。</w:t>
            </w:r>
          </w:p>
        </w:tc>
        <w:tc>
          <w:tcPr>
            <w:tcW w:w="1021" w:type="pct"/>
            <w:tcBorders>
              <w:tl2br w:val="nil"/>
              <w:tr2bl w:val="nil"/>
            </w:tcBorders>
            <w:vAlign w:val="center"/>
          </w:tcPr>
          <w:p>
            <w:pPr>
              <w:spacing w:line="240" w:lineRule="exact"/>
              <w:jc w:val="center"/>
              <w:rPr>
                <w:szCs w:val="21"/>
              </w:rPr>
            </w:pPr>
            <w:r>
              <w:rPr>
                <w:rFonts w:hint="eastAsia"/>
                <w:szCs w:val="21"/>
              </w:rPr>
              <w:t>已</w:t>
            </w:r>
            <w:r>
              <w:rPr>
                <w:szCs w:val="21"/>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exac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szCs w:val="21"/>
              </w:rPr>
            </w:pPr>
            <w:r>
              <w:rPr>
                <w:rFonts w:hint="eastAsia"/>
                <w:szCs w:val="21"/>
              </w:rPr>
              <w:t>固废</w:t>
            </w:r>
          </w:p>
        </w:tc>
        <w:tc>
          <w:tcPr>
            <w:tcW w:w="3318" w:type="pct"/>
            <w:tcBorders>
              <w:tl2br w:val="nil"/>
              <w:tr2bl w:val="nil"/>
            </w:tcBorders>
            <w:vAlign w:val="center"/>
          </w:tcPr>
          <w:p>
            <w:pPr>
              <w:autoSpaceDE w:val="0"/>
              <w:autoSpaceDN w:val="0"/>
              <w:adjustRightInd w:val="0"/>
              <w:spacing w:line="240" w:lineRule="exact"/>
              <w:jc w:val="left"/>
              <w:rPr>
                <w:szCs w:val="21"/>
              </w:rPr>
            </w:pPr>
            <w:r>
              <w:rPr>
                <w:rFonts w:hint="eastAsia"/>
                <w:szCs w:val="21"/>
              </w:rPr>
              <w:t>渗滤液处理车间产生的少量滤渣、职工生活垃圾等均送至场内库区进行填埋处置。</w:t>
            </w:r>
          </w:p>
        </w:tc>
        <w:tc>
          <w:tcPr>
            <w:tcW w:w="1021"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exact"/>
          <w:jc w:val="center"/>
        </w:trPr>
        <w:tc>
          <w:tcPr>
            <w:tcW w:w="258" w:type="pct"/>
            <w:vMerge w:val="continue"/>
            <w:tcBorders>
              <w:tl2br w:val="nil"/>
              <w:tr2bl w:val="nil"/>
            </w:tcBorders>
            <w:vAlign w:val="center"/>
          </w:tcPr>
          <w:p>
            <w:pPr>
              <w:spacing w:line="240" w:lineRule="exact"/>
              <w:jc w:val="center"/>
              <w:rPr>
                <w:bCs/>
                <w:szCs w:val="21"/>
              </w:rPr>
            </w:pPr>
          </w:p>
        </w:tc>
        <w:tc>
          <w:tcPr>
            <w:tcW w:w="402" w:type="pct"/>
            <w:tcBorders>
              <w:tl2br w:val="nil"/>
              <w:tr2bl w:val="nil"/>
            </w:tcBorders>
            <w:vAlign w:val="center"/>
          </w:tcPr>
          <w:p>
            <w:pPr>
              <w:spacing w:line="240" w:lineRule="exact"/>
              <w:jc w:val="center"/>
              <w:rPr>
                <w:bCs/>
                <w:szCs w:val="21"/>
              </w:rPr>
            </w:pPr>
            <w:r>
              <w:rPr>
                <w:rFonts w:hint="eastAsia"/>
                <w:bCs/>
                <w:szCs w:val="21"/>
              </w:rPr>
              <w:t>生态</w:t>
            </w:r>
          </w:p>
        </w:tc>
        <w:tc>
          <w:tcPr>
            <w:tcW w:w="3318" w:type="pct"/>
            <w:tcBorders>
              <w:tl2br w:val="nil"/>
              <w:tr2bl w:val="nil"/>
            </w:tcBorders>
            <w:vAlign w:val="center"/>
          </w:tcPr>
          <w:p>
            <w:pPr>
              <w:pStyle w:val="35"/>
              <w:spacing w:line="240" w:lineRule="exact"/>
              <w:ind w:firstLine="0" w:firstLineChars="0"/>
              <w:rPr>
                <w:rFonts w:ascii="Times New Roman" w:hAnsi="Times New Roman"/>
                <w:sz w:val="21"/>
                <w:szCs w:val="21"/>
              </w:rPr>
            </w:pPr>
            <w:r>
              <w:rPr>
                <w:rFonts w:hint="eastAsia" w:ascii="Times New Roman" w:hAnsi="Times New Roman"/>
                <w:sz w:val="21"/>
                <w:szCs w:val="21"/>
              </w:rPr>
              <w:t>1、加强场地绿化；2、堆土场设临时排水设施，土堆表面进行覆盖或播撒草籽；3、封场后及时进行生态恢复等。</w:t>
            </w:r>
          </w:p>
        </w:tc>
        <w:tc>
          <w:tcPr>
            <w:tcW w:w="1021" w:type="pct"/>
            <w:tcBorders>
              <w:tl2br w:val="nil"/>
              <w:tr2bl w:val="nil"/>
            </w:tcBorders>
            <w:vAlign w:val="center"/>
          </w:tcPr>
          <w:p>
            <w:pPr>
              <w:spacing w:line="240" w:lineRule="exact"/>
              <w:jc w:val="center"/>
              <w:rPr>
                <w:szCs w:val="21"/>
              </w:rPr>
            </w:pPr>
            <w:r>
              <w:rPr>
                <w:rFonts w:hint="eastAsia"/>
                <w:szCs w:val="21"/>
              </w:rPr>
              <w:t>管理区周边进行了部分乔灌绿化，其余未建</w:t>
            </w:r>
          </w:p>
        </w:tc>
      </w:tr>
    </w:tbl>
    <w:p>
      <w:pPr>
        <w:pStyle w:val="11"/>
        <w:ind w:firstLine="0" w:firstLineChars="0"/>
        <w:sectPr>
          <w:headerReference r:id="rId12" w:type="default"/>
          <w:pgSz w:w="16838" w:h="11906" w:orient="landscape"/>
          <w:pgMar w:top="1800" w:right="1245" w:bottom="1800" w:left="1440" w:header="907" w:footer="992" w:gutter="0"/>
          <w:cols w:space="425" w:num="1"/>
          <w:docGrid w:type="lines" w:linePitch="312" w:charSpace="0"/>
        </w:sectPr>
      </w:pPr>
    </w:p>
    <w:p>
      <w:pPr>
        <w:pStyle w:val="6"/>
        <w:spacing w:line="480" w:lineRule="exact"/>
      </w:pPr>
      <w:r>
        <w:rPr>
          <w:rFonts w:hint="eastAsia"/>
        </w:rPr>
        <w:t>3</w:t>
      </w:r>
      <w:r>
        <w:t>.</w:t>
      </w:r>
      <w:r>
        <w:rPr>
          <w:rFonts w:hint="eastAsia"/>
        </w:rPr>
        <w:t>2</w:t>
      </w:r>
      <w:r>
        <w:t>.</w:t>
      </w:r>
      <w:r>
        <w:rPr>
          <w:rFonts w:hint="eastAsia"/>
        </w:rPr>
        <w:t>6劳动定员及工作制度</w:t>
      </w:r>
    </w:p>
    <w:p>
      <w:pPr>
        <w:spacing w:line="480" w:lineRule="exact"/>
        <w:ind w:firstLine="480" w:firstLineChars="200"/>
        <w:jc w:val="left"/>
        <w:rPr>
          <w:sz w:val="24"/>
        </w:rPr>
      </w:pPr>
      <w:r>
        <w:rPr>
          <w:rFonts w:hint="eastAsia"/>
          <w:sz w:val="24"/>
        </w:rPr>
        <w:t>项目全年365天运行，填埋场工作制度采用一班制，工作时间为8h，采用轮休制保证正常生产，场内劳动定员11</w:t>
      </w:r>
      <w:r>
        <w:rPr>
          <w:sz w:val="24"/>
        </w:rPr>
        <w:t>人</w:t>
      </w:r>
      <w:r>
        <w:rPr>
          <w:rFonts w:hint="eastAsia"/>
          <w:sz w:val="24"/>
        </w:rPr>
        <w:t>，其中管理人员2人。</w:t>
      </w:r>
    </w:p>
    <w:p>
      <w:pPr>
        <w:pStyle w:val="6"/>
        <w:spacing w:line="480" w:lineRule="exact"/>
      </w:pPr>
      <w:r>
        <w:rPr>
          <w:rFonts w:hint="eastAsia"/>
        </w:rPr>
        <w:t>3</w:t>
      </w:r>
      <w:r>
        <w:t>.</w:t>
      </w:r>
      <w:r>
        <w:rPr>
          <w:rFonts w:hint="eastAsia"/>
        </w:rPr>
        <w:t>2</w:t>
      </w:r>
      <w:r>
        <w:t>.</w:t>
      </w:r>
      <w:r>
        <w:rPr>
          <w:rFonts w:hint="eastAsia"/>
        </w:rPr>
        <w:t>7主要技术经济指标</w:t>
      </w:r>
    </w:p>
    <w:p>
      <w:pPr>
        <w:spacing w:line="480" w:lineRule="exact"/>
        <w:ind w:firstLine="480" w:firstLineChars="200"/>
        <w:jc w:val="left"/>
        <w:rPr>
          <w:kern w:val="28"/>
          <w:sz w:val="24"/>
        </w:rPr>
      </w:pPr>
      <w:r>
        <w:rPr>
          <w:kern w:val="28"/>
          <w:sz w:val="24"/>
        </w:rPr>
        <w:t>本项目主要经济技术指标</w:t>
      </w:r>
      <w:r>
        <w:rPr>
          <w:rFonts w:hint="eastAsia"/>
          <w:kern w:val="28"/>
          <w:sz w:val="24"/>
        </w:rPr>
        <w:t>详</w:t>
      </w:r>
      <w:r>
        <w:rPr>
          <w:kern w:val="28"/>
          <w:sz w:val="24"/>
        </w:rPr>
        <w:t>见下表</w:t>
      </w:r>
      <w:r>
        <w:rPr>
          <w:rFonts w:hint="eastAsia"/>
          <w:kern w:val="28"/>
          <w:sz w:val="24"/>
        </w:rPr>
        <w:t>。</w:t>
      </w:r>
    </w:p>
    <w:p>
      <w:pPr>
        <w:spacing w:line="500" w:lineRule="exact"/>
        <w:ind w:firstLine="482" w:firstLineChars="200"/>
        <w:jc w:val="center"/>
        <w:rPr>
          <w:b/>
          <w:bCs/>
          <w:kern w:val="28"/>
          <w:sz w:val="24"/>
        </w:rPr>
      </w:pPr>
      <w:r>
        <w:rPr>
          <w:b/>
          <w:bCs/>
          <w:kern w:val="28"/>
          <w:sz w:val="24"/>
        </w:rPr>
        <w:t>表3.</w:t>
      </w:r>
      <w:r>
        <w:rPr>
          <w:rFonts w:hint="eastAsia"/>
          <w:b/>
          <w:bCs/>
          <w:kern w:val="28"/>
          <w:sz w:val="24"/>
        </w:rPr>
        <w:t>2</w:t>
      </w:r>
      <w:r>
        <w:rPr>
          <w:b/>
          <w:bCs/>
          <w:kern w:val="28"/>
          <w:sz w:val="24"/>
        </w:rPr>
        <w:t>-</w:t>
      </w:r>
      <w:r>
        <w:rPr>
          <w:rFonts w:hint="eastAsia"/>
          <w:b/>
          <w:bCs/>
          <w:kern w:val="28"/>
          <w:sz w:val="24"/>
        </w:rPr>
        <w:t>2</w:t>
      </w:r>
      <w:r>
        <w:rPr>
          <w:b/>
          <w:bCs/>
          <w:kern w:val="28"/>
          <w:sz w:val="24"/>
        </w:rPr>
        <w:t xml:space="preserve"> 项目主要经济技术指标</w:t>
      </w:r>
      <w:r>
        <w:rPr>
          <w:rFonts w:hint="eastAsia"/>
          <w:b/>
          <w:bCs/>
          <w:kern w:val="28"/>
          <w:sz w:val="24"/>
        </w:rPr>
        <w:t>表</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3"/>
        <w:gridCol w:w="2618"/>
        <w:gridCol w:w="1068"/>
        <w:gridCol w:w="1128"/>
        <w:gridCol w:w="29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kern w:val="28"/>
                <w:szCs w:val="21"/>
              </w:rPr>
              <w:t>序号</w:t>
            </w:r>
          </w:p>
        </w:tc>
        <w:tc>
          <w:tcPr>
            <w:tcW w:w="2618" w:type="dxa"/>
            <w:tcBorders>
              <w:tl2br w:val="nil"/>
              <w:tr2bl w:val="nil"/>
            </w:tcBorders>
            <w:vAlign w:val="center"/>
          </w:tcPr>
          <w:p>
            <w:pPr>
              <w:spacing w:line="240" w:lineRule="atLeast"/>
              <w:jc w:val="center"/>
              <w:rPr>
                <w:kern w:val="28"/>
                <w:szCs w:val="21"/>
              </w:rPr>
            </w:pPr>
            <w:r>
              <w:rPr>
                <w:kern w:val="28"/>
                <w:szCs w:val="21"/>
              </w:rPr>
              <w:t>项目</w:t>
            </w:r>
          </w:p>
        </w:tc>
        <w:tc>
          <w:tcPr>
            <w:tcW w:w="1068" w:type="dxa"/>
            <w:tcBorders>
              <w:tl2br w:val="nil"/>
              <w:tr2bl w:val="nil"/>
            </w:tcBorders>
            <w:vAlign w:val="center"/>
          </w:tcPr>
          <w:p>
            <w:pPr>
              <w:spacing w:line="240" w:lineRule="atLeast"/>
              <w:jc w:val="center"/>
              <w:rPr>
                <w:kern w:val="28"/>
                <w:szCs w:val="21"/>
              </w:rPr>
            </w:pPr>
            <w:r>
              <w:rPr>
                <w:kern w:val="28"/>
                <w:szCs w:val="21"/>
              </w:rPr>
              <w:t>单位</w:t>
            </w:r>
          </w:p>
        </w:tc>
        <w:tc>
          <w:tcPr>
            <w:tcW w:w="1128" w:type="dxa"/>
            <w:tcBorders>
              <w:tl2br w:val="nil"/>
              <w:tr2bl w:val="nil"/>
            </w:tcBorders>
            <w:vAlign w:val="center"/>
          </w:tcPr>
          <w:p>
            <w:pPr>
              <w:spacing w:line="240" w:lineRule="atLeast"/>
              <w:jc w:val="center"/>
              <w:rPr>
                <w:kern w:val="28"/>
                <w:szCs w:val="21"/>
              </w:rPr>
            </w:pPr>
            <w:r>
              <w:rPr>
                <w:kern w:val="28"/>
                <w:szCs w:val="21"/>
              </w:rPr>
              <w:t>指标</w:t>
            </w:r>
          </w:p>
        </w:tc>
        <w:tc>
          <w:tcPr>
            <w:tcW w:w="2965" w:type="dxa"/>
            <w:tcBorders>
              <w:tl2br w:val="nil"/>
              <w:tr2bl w:val="nil"/>
            </w:tcBorders>
            <w:vAlign w:val="center"/>
          </w:tcPr>
          <w:p>
            <w:pPr>
              <w:spacing w:line="240" w:lineRule="atLeast"/>
              <w:jc w:val="center"/>
              <w:rPr>
                <w:kern w:val="28"/>
                <w:szCs w:val="21"/>
              </w:rPr>
            </w:pPr>
            <w:r>
              <w:rPr>
                <w:kern w:val="28"/>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b/>
                <w:bCs/>
                <w:kern w:val="28"/>
                <w:szCs w:val="21"/>
              </w:rPr>
            </w:pPr>
            <w:r>
              <w:rPr>
                <w:rFonts w:hint="eastAsia"/>
                <w:b/>
                <w:bCs/>
                <w:kern w:val="28"/>
                <w:szCs w:val="21"/>
              </w:rPr>
              <w:t>一</w:t>
            </w:r>
          </w:p>
        </w:tc>
        <w:tc>
          <w:tcPr>
            <w:tcW w:w="2618" w:type="dxa"/>
            <w:tcBorders>
              <w:tl2br w:val="nil"/>
              <w:tr2bl w:val="nil"/>
            </w:tcBorders>
            <w:vAlign w:val="center"/>
          </w:tcPr>
          <w:p>
            <w:pPr>
              <w:spacing w:line="240" w:lineRule="atLeast"/>
              <w:jc w:val="center"/>
              <w:rPr>
                <w:b/>
                <w:bCs/>
                <w:kern w:val="28"/>
                <w:szCs w:val="21"/>
              </w:rPr>
            </w:pPr>
            <w:r>
              <w:rPr>
                <w:rFonts w:hint="eastAsia"/>
                <w:b/>
                <w:bCs/>
                <w:kern w:val="28"/>
                <w:szCs w:val="21"/>
              </w:rPr>
              <w:t>垃圾</w:t>
            </w:r>
            <w:r>
              <w:rPr>
                <w:b/>
                <w:bCs/>
                <w:kern w:val="28"/>
                <w:szCs w:val="21"/>
              </w:rPr>
              <w:t>填埋场</w:t>
            </w:r>
          </w:p>
        </w:tc>
        <w:tc>
          <w:tcPr>
            <w:tcW w:w="1068" w:type="dxa"/>
            <w:tcBorders>
              <w:tl2br w:val="nil"/>
              <w:tr2bl w:val="nil"/>
            </w:tcBorders>
            <w:vAlign w:val="center"/>
          </w:tcPr>
          <w:p>
            <w:pPr>
              <w:spacing w:line="240" w:lineRule="atLeast"/>
              <w:jc w:val="center"/>
              <w:rPr>
                <w:kern w:val="28"/>
                <w:szCs w:val="21"/>
              </w:rPr>
            </w:pPr>
          </w:p>
        </w:tc>
        <w:tc>
          <w:tcPr>
            <w:tcW w:w="1128" w:type="dxa"/>
            <w:tcBorders>
              <w:tl2br w:val="nil"/>
              <w:tr2bl w:val="nil"/>
            </w:tcBorders>
            <w:vAlign w:val="center"/>
          </w:tcPr>
          <w:p>
            <w:pPr>
              <w:spacing w:line="240" w:lineRule="atLeast"/>
              <w:jc w:val="center"/>
              <w:rPr>
                <w:kern w:val="28"/>
                <w:szCs w:val="21"/>
              </w:rPr>
            </w:pP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1</w:t>
            </w:r>
          </w:p>
        </w:tc>
        <w:tc>
          <w:tcPr>
            <w:tcW w:w="2618" w:type="dxa"/>
            <w:tcBorders>
              <w:tl2br w:val="nil"/>
              <w:tr2bl w:val="nil"/>
            </w:tcBorders>
            <w:vAlign w:val="center"/>
          </w:tcPr>
          <w:p>
            <w:pPr>
              <w:spacing w:line="240" w:lineRule="atLeast"/>
              <w:jc w:val="center"/>
              <w:rPr>
                <w:kern w:val="28"/>
                <w:szCs w:val="21"/>
              </w:rPr>
            </w:pPr>
            <w:r>
              <w:rPr>
                <w:kern w:val="28"/>
                <w:szCs w:val="21"/>
              </w:rPr>
              <w:t>垃圾处理工艺</w:t>
            </w:r>
          </w:p>
        </w:tc>
        <w:tc>
          <w:tcPr>
            <w:tcW w:w="1068" w:type="dxa"/>
            <w:tcBorders>
              <w:tl2br w:val="nil"/>
              <w:tr2bl w:val="nil"/>
            </w:tcBorders>
            <w:vAlign w:val="center"/>
          </w:tcPr>
          <w:p>
            <w:pPr>
              <w:spacing w:line="240" w:lineRule="atLeast"/>
              <w:jc w:val="center"/>
              <w:rPr>
                <w:kern w:val="28"/>
                <w:szCs w:val="21"/>
              </w:rPr>
            </w:pPr>
          </w:p>
        </w:tc>
        <w:tc>
          <w:tcPr>
            <w:tcW w:w="1128" w:type="dxa"/>
            <w:tcBorders>
              <w:tl2br w:val="nil"/>
              <w:tr2bl w:val="nil"/>
            </w:tcBorders>
            <w:vAlign w:val="center"/>
          </w:tcPr>
          <w:p>
            <w:pPr>
              <w:spacing w:line="240" w:lineRule="atLeast"/>
              <w:jc w:val="center"/>
              <w:rPr>
                <w:kern w:val="28"/>
                <w:szCs w:val="21"/>
              </w:rPr>
            </w:pPr>
          </w:p>
        </w:tc>
        <w:tc>
          <w:tcPr>
            <w:tcW w:w="2965" w:type="dxa"/>
            <w:tcBorders>
              <w:tl2br w:val="nil"/>
              <w:tr2bl w:val="nil"/>
            </w:tcBorders>
            <w:vAlign w:val="center"/>
          </w:tcPr>
          <w:p>
            <w:pPr>
              <w:spacing w:line="240" w:lineRule="atLeast"/>
              <w:jc w:val="center"/>
              <w:rPr>
                <w:kern w:val="28"/>
                <w:szCs w:val="21"/>
              </w:rPr>
            </w:pPr>
            <w:r>
              <w:rPr>
                <w:kern w:val="28"/>
                <w:szCs w:val="21"/>
              </w:rPr>
              <w:t>卫生填埋式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2</w:t>
            </w:r>
          </w:p>
        </w:tc>
        <w:tc>
          <w:tcPr>
            <w:tcW w:w="2618" w:type="dxa"/>
            <w:tcBorders>
              <w:tl2br w:val="nil"/>
              <w:tr2bl w:val="nil"/>
            </w:tcBorders>
            <w:vAlign w:val="center"/>
          </w:tcPr>
          <w:p>
            <w:pPr>
              <w:spacing w:line="240" w:lineRule="atLeast"/>
              <w:jc w:val="center"/>
              <w:rPr>
                <w:kern w:val="28"/>
                <w:szCs w:val="21"/>
              </w:rPr>
            </w:pPr>
            <w:r>
              <w:rPr>
                <w:kern w:val="28"/>
                <w:szCs w:val="21"/>
              </w:rPr>
              <w:t>填埋作业方式</w:t>
            </w:r>
          </w:p>
        </w:tc>
        <w:tc>
          <w:tcPr>
            <w:tcW w:w="1068" w:type="dxa"/>
            <w:tcBorders>
              <w:tl2br w:val="nil"/>
              <w:tr2bl w:val="nil"/>
            </w:tcBorders>
            <w:vAlign w:val="center"/>
          </w:tcPr>
          <w:p>
            <w:pPr>
              <w:spacing w:line="240" w:lineRule="atLeast"/>
              <w:jc w:val="center"/>
              <w:rPr>
                <w:kern w:val="28"/>
                <w:szCs w:val="21"/>
              </w:rPr>
            </w:pPr>
          </w:p>
        </w:tc>
        <w:tc>
          <w:tcPr>
            <w:tcW w:w="1128" w:type="dxa"/>
            <w:tcBorders>
              <w:tl2br w:val="nil"/>
              <w:tr2bl w:val="nil"/>
            </w:tcBorders>
            <w:vAlign w:val="center"/>
          </w:tcPr>
          <w:p>
            <w:pPr>
              <w:spacing w:line="240" w:lineRule="atLeast"/>
              <w:jc w:val="center"/>
              <w:rPr>
                <w:kern w:val="28"/>
                <w:szCs w:val="21"/>
              </w:rPr>
            </w:pPr>
          </w:p>
        </w:tc>
        <w:tc>
          <w:tcPr>
            <w:tcW w:w="2965" w:type="dxa"/>
            <w:tcBorders>
              <w:tl2br w:val="nil"/>
              <w:tr2bl w:val="nil"/>
            </w:tcBorders>
            <w:vAlign w:val="center"/>
          </w:tcPr>
          <w:p>
            <w:pPr>
              <w:spacing w:line="240" w:lineRule="atLeast"/>
              <w:jc w:val="center"/>
              <w:rPr>
                <w:kern w:val="28"/>
                <w:szCs w:val="21"/>
              </w:rPr>
            </w:pPr>
            <w:r>
              <w:rPr>
                <w:kern w:val="28"/>
                <w:szCs w:val="21"/>
              </w:rPr>
              <w:t>每日覆土的单元分层作业法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3</w:t>
            </w:r>
          </w:p>
        </w:tc>
        <w:tc>
          <w:tcPr>
            <w:tcW w:w="2618" w:type="dxa"/>
            <w:tcBorders>
              <w:tl2br w:val="nil"/>
              <w:tr2bl w:val="nil"/>
            </w:tcBorders>
            <w:vAlign w:val="center"/>
          </w:tcPr>
          <w:p>
            <w:pPr>
              <w:spacing w:line="240" w:lineRule="atLeast"/>
              <w:jc w:val="center"/>
              <w:rPr>
                <w:kern w:val="28"/>
                <w:szCs w:val="21"/>
              </w:rPr>
            </w:pPr>
            <w:r>
              <w:rPr>
                <w:kern w:val="28"/>
                <w:szCs w:val="21"/>
              </w:rPr>
              <w:t>日</w:t>
            </w:r>
            <w:r>
              <w:rPr>
                <w:rFonts w:hint="eastAsia"/>
                <w:kern w:val="28"/>
                <w:szCs w:val="21"/>
              </w:rPr>
              <w:t>处理规模</w:t>
            </w:r>
          </w:p>
        </w:tc>
        <w:tc>
          <w:tcPr>
            <w:tcW w:w="1068" w:type="dxa"/>
            <w:tcBorders>
              <w:tl2br w:val="nil"/>
              <w:tr2bl w:val="nil"/>
            </w:tcBorders>
            <w:vAlign w:val="center"/>
          </w:tcPr>
          <w:p>
            <w:pPr>
              <w:spacing w:line="240" w:lineRule="atLeast"/>
              <w:jc w:val="center"/>
              <w:rPr>
                <w:kern w:val="28"/>
                <w:szCs w:val="21"/>
              </w:rPr>
            </w:pPr>
            <w:r>
              <w:rPr>
                <w:kern w:val="28"/>
                <w:szCs w:val="21"/>
              </w:rPr>
              <w:t>t/d</w:t>
            </w:r>
          </w:p>
        </w:tc>
        <w:tc>
          <w:tcPr>
            <w:tcW w:w="1128" w:type="dxa"/>
            <w:tcBorders>
              <w:tl2br w:val="nil"/>
              <w:tr2bl w:val="nil"/>
            </w:tcBorders>
            <w:vAlign w:val="center"/>
          </w:tcPr>
          <w:p>
            <w:pPr>
              <w:spacing w:line="240" w:lineRule="atLeast"/>
              <w:jc w:val="center"/>
              <w:rPr>
                <w:kern w:val="28"/>
                <w:szCs w:val="21"/>
              </w:rPr>
            </w:pPr>
            <w:r>
              <w:rPr>
                <w:rFonts w:hint="eastAsia"/>
                <w:kern w:val="28"/>
                <w:szCs w:val="21"/>
              </w:rPr>
              <w:t>125</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4</w:t>
            </w:r>
          </w:p>
        </w:tc>
        <w:tc>
          <w:tcPr>
            <w:tcW w:w="2618" w:type="dxa"/>
            <w:tcBorders>
              <w:tl2br w:val="nil"/>
              <w:tr2bl w:val="nil"/>
            </w:tcBorders>
            <w:vAlign w:val="center"/>
          </w:tcPr>
          <w:p>
            <w:pPr>
              <w:spacing w:line="240" w:lineRule="atLeast"/>
              <w:jc w:val="center"/>
              <w:rPr>
                <w:kern w:val="28"/>
                <w:szCs w:val="21"/>
              </w:rPr>
            </w:pPr>
            <w:r>
              <w:rPr>
                <w:kern w:val="28"/>
                <w:szCs w:val="21"/>
              </w:rPr>
              <w:t>库容量</w:t>
            </w:r>
          </w:p>
        </w:tc>
        <w:tc>
          <w:tcPr>
            <w:tcW w:w="1068" w:type="dxa"/>
            <w:tcBorders>
              <w:tl2br w:val="nil"/>
              <w:tr2bl w:val="nil"/>
            </w:tcBorders>
            <w:vAlign w:val="center"/>
          </w:tcPr>
          <w:p>
            <w:pPr>
              <w:spacing w:line="240" w:lineRule="atLeast"/>
              <w:jc w:val="center"/>
              <w:rPr>
                <w:kern w:val="28"/>
                <w:szCs w:val="21"/>
              </w:rPr>
            </w:pPr>
            <w:r>
              <w:rPr>
                <w:kern w:val="28"/>
                <w:szCs w:val="21"/>
              </w:rPr>
              <w:t>万m</w:t>
            </w:r>
            <w:r>
              <w:rPr>
                <w:kern w:val="28"/>
                <w:szCs w:val="21"/>
                <w:vertAlign w:val="superscript"/>
              </w:rPr>
              <w:t>3</w:t>
            </w:r>
          </w:p>
        </w:tc>
        <w:tc>
          <w:tcPr>
            <w:tcW w:w="1128" w:type="dxa"/>
            <w:tcBorders>
              <w:tl2br w:val="nil"/>
              <w:tr2bl w:val="nil"/>
            </w:tcBorders>
            <w:vAlign w:val="center"/>
          </w:tcPr>
          <w:p>
            <w:pPr>
              <w:spacing w:line="240" w:lineRule="atLeast"/>
              <w:jc w:val="center"/>
              <w:rPr>
                <w:kern w:val="28"/>
                <w:szCs w:val="21"/>
              </w:rPr>
            </w:pPr>
            <w:r>
              <w:rPr>
                <w:kern w:val="28"/>
                <w:szCs w:val="21"/>
              </w:rPr>
              <w:t>60</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5</w:t>
            </w:r>
          </w:p>
        </w:tc>
        <w:tc>
          <w:tcPr>
            <w:tcW w:w="2618" w:type="dxa"/>
            <w:tcBorders>
              <w:tl2br w:val="nil"/>
              <w:tr2bl w:val="nil"/>
            </w:tcBorders>
            <w:vAlign w:val="center"/>
          </w:tcPr>
          <w:p>
            <w:pPr>
              <w:spacing w:line="240" w:lineRule="atLeast"/>
              <w:jc w:val="center"/>
              <w:rPr>
                <w:kern w:val="28"/>
                <w:szCs w:val="21"/>
              </w:rPr>
            </w:pPr>
            <w:r>
              <w:rPr>
                <w:kern w:val="28"/>
                <w:szCs w:val="21"/>
              </w:rPr>
              <w:t>处理场服务年限</w:t>
            </w:r>
          </w:p>
        </w:tc>
        <w:tc>
          <w:tcPr>
            <w:tcW w:w="1068" w:type="dxa"/>
            <w:tcBorders>
              <w:tl2br w:val="nil"/>
              <w:tr2bl w:val="nil"/>
            </w:tcBorders>
            <w:vAlign w:val="center"/>
          </w:tcPr>
          <w:p>
            <w:pPr>
              <w:spacing w:line="240" w:lineRule="atLeast"/>
              <w:jc w:val="center"/>
              <w:rPr>
                <w:kern w:val="28"/>
                <w:szCs w:val="21"/>
              </w:rPr>
            </w:pPr>
            <w:r>
              <w:rPr>
                <w:kern w:val="28"/>
                <w:szCs w:val="21"/>
              </w:rPr>
              <w:t>a</w:t>
            </w:r>
          </w:p>
        </w:tc>
        <w:tc>
          <w:tcPr>
            <w:tcW w:w="1128" w:type="dxa"/>
            <w:tcBorders>
              <w:tl2br w:val="nil"/>
              <w:tr2bl w:val="nil"/>
            </w:tcBorders>
            <w:vAlign w:val="center"/>
          </w:tcPr>
          <w:p>
            <w:pPr>
              <w:spacing w:line="240" w:lineRule="atLeast"/>
              <w:jc w:val="center"/>
              <w:rPr>
                <w:kern w:val="28"/>
                <w:szCs w:val="21"/>
              </w:rPr>
            </w:pPr>
            <w:r>
              <w:rPr>
                <w:rFonts w:hint="eastAsia"/>
                <w:kern w:val="28"/>
                <w:szCs w:val="21"/>
              </w:rPr>
              <w:t>12</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b/>
                <w:bCs/>
                <w:kern w:val="28"/>
                <w:szCs w:val="21"/>
              </w:rPr>
            </w:pPr>
            <w:r>
              <w:rPr>
                <w:rFonts w:hint="eastAsia"/>
                <w:b/>
                <w:bCs/>
                <w:kern w:val="28"/>
                <w:szCs w:val="21"/>
              </w:rPr>
              <w:t>二</w:t>
            </w:r>
          </w:p>
        </w:tc>
        <w:tc>
          <w:tcPr>
            <w:tcW w:w="2618" w:type="dxa"/>
            <w:tcBorders>
              <w:tl2br w:val="nil"/>
              <w:tr2bl w:val="nil"/>
            </w:tcBorders>
            <w:vAlign w:val="center"/>
          </w:tcPr>
          <w:p>
            <w:pPr>
              <w:spacing w:line="240" w:lineRule="atLeast"/>
              <w:jc w:val="center"/>
              <w:rPr>
                <w:b/>
                <w:bCs/>
                <w:kern w:val="28"/>
                <w:szCs w:val="21"/>
              </w:rPr>
            </w:pPr>
            <w:r>
              <w:rPr>
                <w:b/>
                <w:bCs/>
                <w:kern w:val="28"/>
                <w:szCs w:val="21"/>
              </w:rPr>
              <w:t>渗滤液</w:t>
            </w:r>
            <w:r>
              <w:rPr>
                <w:rFonts w:hint="eastAsia"/>
                <w:b/>
                <w:bCs/>
                <w:kern w:val="28"/>
                <w:szCs w:val="21"/>
              </w:rPr>
              <w:t>设计</w:t>
            </w:r>
            <w:r>
              <w:rPr>
                <w:b/>
                <w:bCs/>
                <w:kern w:val="28"/>
                <w:szCs w:val="21"/>
              </w:rPr>
              <w:t>处理</w:t>
            </w:r>
            <w:r>
              <w:rPr>
                <w:rFonts w:hint="eastAsia"/>
                <w:b/>
                <w:bCs/>
                <w:kern w:val="28"/>
                <w:szCs w:val="21"/>
              </w:rPr>
              <w:t>能力</w:t>
            </w:r>
          </w:p>
        </w:tc>
        <w:tc>
          <w:tcPr>
            <w:tcW w:w="1068" w:type="dxa"/>
            <w:tcBorders>
              <w:tl2br w:val="nil"/>
              <w:tr2bl w:val="nil"/>
            </w:tcBorders>
            <w:vAlign w:val="center"/>
          </w:tcPr>
          <w:p>
            <w:pPr>
              <w:spacing w:line="240" w:lineRule="atLeast"/>
              <w:jc w:val="center"/>
              <w:rPr>
                <w:kern w:val="28"/>
                <w:szCs w:val="21"/>
              </w:rPr>
            </w:pPr>
            <w:r>
              <w:rPr>
                <w:kern w:val="28"/>
                <w:szCs w:val="21"/>
              </w:rPr>
              <w:t>m</w:t>
            </w:r>
            <w:r>
              <w:rPr>
                <w:kern w:val="28"/>
                <w:szCs w:val="21"/>
                <w:vertAlign w:val="superscript"/>
              </w:rPr>
              <w:t>3</w:t>
            </w:r>
            <w:r>
              <w:rPr>
                <w:kern w:val="28"/>
                <w:szCs w:val="21"/>
              </w:rPr>
              <w:t>/d</w:t>
            </w:r>
          </w:p>
        </w:tc>
        <w:tc>
          <w:tcPr>
            <w:tcW w:w="1128" w:type="dxa"/>
            <w:tcBorders>
              <w:tl2br w:val="nil"/>
              <w:tr2bl w:val="nil"/>
            </w:tcBorders>
            <w:vAlign w:val="center"/>
          </w:tcPr>
          <w:p>
            <w:pPr>
              <w:spacing w:line="240" w:lineRule="atLeast"/>
              <w:jc w:val="center"/>
              <w:rPr>
                <w:kern w:val="28"/>
                <w:szCs w:val="21"/>
              </w:rPr>
            </w:pPr>
            <w:r>
              <w:rPr>
                <w:kern w:val="28"/>
                <w:szCs w:val="21"/>
              </w:rPr>
              <w:t>40</w:t>
            </w:r>
          </w:p>
        </w:tc>
        <w:tc>
          <w:tcPr>
            <w:tcW w:w="2965" w:type="dxa"/>
            <w:tcBorders>
              <w:tl2br w:val="nil"/>
              <w:tr2bl w:val="nil"/>
            </w:tcBorders>
            <w:vAlign w:val="center"/>
          </w:tcPr>
          <w:p>
            <w:pPr>
              <w:spacing w:line="250" w:lineRule="atLeast"/>
              <w:jc w:val="center"/>
              <w:rPr>
                <w:kern w:val="28"/>
                <w:szCs w:val="21"/>
              </w:rPr>
            </w:pPr>
            <w:r>
              <w:rPr>
                <w:rFonts w:hint="eastAsia"/>
                <w:kern w:val="28"/>
                <w:szCs w:val="21"/>
              </w:rPr>
              <w:t>“预处理+两级DTRO反渗透”处理工艺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b/>
                <w:bCs/>
                <w:kern w:val="28"/>
                <w:szCs w:val="21"/>
              </w:rPr>
            </w:pPr>
            <w:r>
              <w:rPr>
                <w:rFonts w:hint="eastAsia"/>
                <w:b/>
                <w:bCs/>
                <w:kern w:val="28"/>
                <w:szCs w:val="21"/>
              </w:rPr>
              <w:t>三</w:t>
            </w:r>
          </w:p>
        </w:tc>
        <w:tc>
          <w:tcPr>
            <w:tcW w:w="2618" w:type="dxa"/>
            <w:tcBorders>
              <w:tl2br w:val="nil"/>
              <w:tr2bl w:val="nil"/>
            </w:tcBorders>
            <w:vAlign w:val="center"/>
          </w:tcPr>
          <w:p>
            <w:pPr>
              <w:spacing w:line="240" w:lineRule="atLeast"/>
              <w:jc w:val="center"/>
              <w:rPr>
                <w:b/>
                <w:bCs/>
                <w:kern w:val="28"/>
                <w:szCs w:val="21"/>
              </w:rPr>
            </w:pPr>
            <w:r>
              <w:rPr>
                <w:b/>
                <w:bCs/>
                <w:kern w:val="28"/>
                <w:szCs w:val="21"/>
              </w:rPr>
              <w:t>用地面积</w:t>
            </w:r>
          </w:p>
        </w:tc>
        <w:tc>
          <w:tcPr>
            <w:tcW w:w="1068" w:type="dxa"/>
            <w:tcBorders>
              <w:tl2br w:val="nil"/>
              <w:tr2bl w:val="nil"/>
            </w:tcBorders>
            <w:vAlign w:val="center"/>
          </w:tcPr>
          <w:p>
            <w:pPr>
              <w:spacing w:line="240" w:lineRule="atLeast"/>
              <w:jc w:val="center"/>
              <w:rPr>
                <w:kern w:val="28"/>
                <w:szCs w:val="21"/>
              </w:rPr>
            </w:pPr>
            <w:r>
              <w:rPr>
                <w:kern w:val="28"/>
                <w:szCs w:val="21"/>
              </w:rPr>
              <w:t>亩</w:t>
            </w:r>
          </w:p>
        </w:tc>
        <w:tc>
          <w:tcPr>
            <w:tcW w:w="1128" w:type="dxa"/>
            <w:tcBorders>
              <w:tl2br w:val="nil"/>
              <w:tr2bl w:val="nil"/>
            </w:tcBorders>
            <w:vAlign w:val="center"/>
          </w:tcPr>
          <w:p>
            <w:pPr>
              <w:spacing w:line="240" w:lineRule="atLeast"/>
              <w:jc w:val="center"/>
              <w:rPr>
                <w:kern w:val="28"/>
                <w:szCs w:val="21"/>
              </w:rPr>
            </w:pPr>
            <w:r>
              <w:rPr>
                <w:kern w:val="28"/>
                <w:szCs w:val="21"/>
              </w:rPr>
              <w:t>80</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1</w:t>
            </w:r>
          </w:p>
        </w:tc>
        <w:tc>
          <w:tcPr>
            <w:tcW w:w="2618" w:type="dxa"/>
            <w:tcBorders>
              <w:tl2br w:val="nil"/>
              <w:tr2bl w:val="nil"/>
            </w:tcBorders>
            <w:vAlign w:val="center"/>
          </w:tcPr>
          <w:p>
            <w:pPr>
              <w:spacing w:line="240" w:lineRule="atLeast"/>
              <w:jc w:val="center"/>
              <w:rPr>
                <w:kern w:val="28"/>
                <w:szCs w:val="21"/>
              </w:rPr>
            </w:pPr>
            <w:r>
              <w:rPr>
                <w:rFonts w:hint="eastAsia"/>
                <w:kern w:val="28"/>
                <w:szCs w:val="21"/>
              </w:rPr>
              <w:t>辅助生产管理区</w:t>
            </w:r>
          </w:p>
        </w:tc>
        <w:tc>
          <w:tcPr>
            <w:tcW w:w="1068" w:type="dxa"/>
            <w:tcBorders>
              <w:tl2br w:val="nil"/>
              <w:tr2bl w:val="nil"/>
            </w:tcBorders>
            <w:vAlign w:val="center"/>
          </w:tcPr>
          <w:p>
            <w:pPr>
              <w:spacing w:line="240" w:lineRule="atLeast"/>
              <w:jc w:val="center"/>
              <w:rPr>
                <w:kern w:val="28"/>
                <w:szCs w:val="21"/>
              </w:rPr>
            </w:pPr>
            <w:r>
              <w:rPr>
                <w:rFonts w:hint="eastAsia"/>
                <w:szCs w:val="21"/>
              </w:rPr>
              <w:t>亩</w:t>
            </w:r>
          </w:p>
        </w:tc>
        <w:tc>
          <w:tcPr>
            <w:tcW w:w="1128" w:type="dxa"/>
            <w:tcBorders>
              <w:tl2br w:val="nil"/>
              <w:tr2bl w:val="nil"/>
            </w:tcBorders>
            <w:vAlign w:val="center"/>
          </w:tcPr>
          <w:p>
            <w:pPr>
              <w:spacing w:line="240" w:lineRule="atLeast"/>
              <w:jc w:val="center"/>
              <w:rPr>
                <w:kern w:val="28"/>
                <w:szCs w:val="21"/>
              </w:rPr>
            </w:pPr>
            <w:r>
              <w:rPr>
                <w:rFonts w:hint="eastAsia"/>
                <w:szCs w:val="21"/>
              </w:rPr>
              <w:t>2.62</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kern w:val="28"/>
                <w:szCs w:val="21"/>
              </w:rPr>
            </w:pPr>
            <w:r>
              <w:rPr>
                <w:rFonts w:hint="eastAsia"/>
                <w:kern w:val="28"/>
                <w:szCs w:val="21"/>
              </w:rPr>
              <w:t>2</w:t>
            </w:r>
          </w:p>
        </w:tc>
        <w:tc>
          <w:tcPr>
            <w:tcW w:w="2618" w:type="dxa"/>
            <w:tcBorders>
              <w:tl2br w:val="nil"/>
              <w:tr2bl w:val="nil"/>
            </w:tcBorders>
            <w:vAlign w:val="center"/>
          </w:tcPr>
          <w:p>
            <w:pPr>
              <w:spacing w:line="240" w:lineRule="atLeast"/>
              <w:jc w:val="center"/>
              <w:rPr>
                <w:kern w:val="28"/>
                <w:szCs w:val="21"/>
              </w:rPr>
            </w:pPr>
            <w:r>
              <w:rPr>
                <w:rFonts w:hint="eastAsia"/>
                <w:szCs w:val="21"/>
              </w:rPr>
              <w:t>填埋库区</w:t>
            </w:r>
          </w:p>
        </w:tc>
        <w:tc>
          <w:tcPr>
            <w:tcW w:w="1068" w:type="dxa"/>
            <w:tcBorders>
              <w:tl2br w:val="nil"/>
              <w:tr2bl w:val="nil"/>
            </w:tcBorders>
            <w:vAlign w:val="center"/>
          </w:tcPr>
          <w:p>
            <w:pPr>
              <w:spacing w:line="240" w:lineRule="atLeast"/>
              <w:jc w:val="center"/>
              <w:rPr>
                <w:kern w:val="28"/>
                <w:szCs w:val="21"/>
              </w:rPr>
            </w:pPr>
            <w:r>
              <w:rPr>
                <w:rFonts w:hint="eastAsia"/>
                <w:szCs w:val="21"/>
              </w:rPr>
              <w:t>亩</w:t>
            </w:r>
          </w:p>
        </w:tc>
        <w:tc>
          <w:tcPr>
            <w:tcW w:w="1128" w:type="dxa"/>
            <w:tcBorders>
              <w:tl2br w:val="nil"/>
              <w:tr2bl w:val="nil"/>
            </w:tcBorders>
            <w:vAlign w:val="center"/>
          </w:tcPr>
          <w:p>
            <w:pPr>
              <w:spacing w:line="240" w:lineRule="atLeast"/>
              <w:jc w:val="center"/>
              <w:rPr>
                <w:kern w:val="28"/>
                <w:szCs w:val="21"/>
              </w:rPr>
            </w:pPr>
            <w:r>
              <w:rPr>
                <w:rFonts w:hint="eastAsia"/>
                <w:szCs w:val="21"/>
              </w:rPr>
              <w:t>54.9</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b/>
                <w:bCs/>
                <w:kern w:val="28"/>
                <w:szCs w:val="21"/>
              </w:rPr>
            </w:pPr>
            <w:r>
              <w:rPr>
                <w:rFonts w:hint="eastAsia"/>
                <w:b/>
                <w:bCs/>
                <w:kern w:val="28"/>
                <w:szCs w:val="21"/>
              </w:rPr>
              <w:t>四</w:t>
            </w:r>
          </w:p>
        </w:tc>
        <w:tc>
          <w:tcPr>
            <w:tcW w:w="2618" w:type="dxa"/>
            <w:tcBorders>
              <w:tl2br w:val="nil"/>
              <w:tr2bl w:val="nil"/>
            </w:tcBorders>
            <w:vAlign w:val="center"/>
          </w:tcPr>
          <w:p>
            <w:pPr>
              <w:spacing w:line="240" w:lineRule="atLeast"/>
              <w:jc w:val="center"/>
              <w:rPr>
                <w:b/>
                <w:bCs/>
                <w:kern w:val="28"/>
                <w:szCs w:val="21"/>
              </w:rPr>
            </w:pPr>
            <w:r>
              <w:rPr>
                <w:b/>
                <w:bCs/>
                <w:kern w:val="28"/>
                <w:szCs w:val="21"/>
              </w:rPr>
              <w:t>建设期</w:t>
            </w:r>
          </w:p>
        </w:tc>
        <w:tc>
          <w:tcPr>
            <w:tcW w:w="1068" w:type="dxa"/>
            <w:tcBorders>
              <w:tl2br w:val="nil"/>
              <w:tr2bl w:val="nil"/>
            </w:tcBorders>
            <w:vAlign w:val="center"/>
          </w:tcPr>
          <w:p>
            <w:pPr>
              <w:spacing w:line="240" w:lineRule="atLeast"/>
              <w:jc w:val="center"/>
              <w:rPr>
                <w:kern w:val="28"/>
                <w:szCs w:val="21"/>
              </w:rPr>
            </w:pPr>
            <w:r>
              <w:rPr>
                <w:kern w:val="28"/>
                <w:szCs w:val="21"/>
              </w:rPr>
              <w:t>月</w:t>
            </w:r>
          </w:p>
        </w:tc>
        <w:tc>
          <w:tcPr>
            <w:tcW w:w="1128" w:type="dxa"/>
            <w:tcBorders>
              <w:tl2br w:val="nil"/>
              <w:tr2bl w:val="nil"/>
            </w:tcBorders>
            <w:vAlign w:val="center"/>
          </w:tcPr>
          <w:p>
            <w:pPr>
              <w:spacing w:line="240" w:lineRule="atLeast"/>
              <w:jc w:val="center"/>
              <w:rPr>
                <w:kern w:val="28"/>
                <w:szCs w:val="21"/>
              </w:rPr>
            </w:pPr>
            <w:r>
              <w:rPr>
                <w:kern w:val="28"/>
                <w:szCs w:val="21"/>
              </w:rPr>
              <w:t>12</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b/>
                <w:bCs/>
                <w:kern w:val="28"/>
                <w:szCs w:val="21"/>
              </w:rPr>
            </w:pPr>
            <w:r>
              <w:rPr>
                <w:rFonts w:hint="eastAsia"/>
                <w:b/>
                <w:bCs/>
                <w:kern w:val="28"/>
                <w:szCs w:val="21"/>
              </w:rPr>
              <w:t>五</w:t>
            </w:r>
          </w:p>
        </w:tc>
        <w:tc>
          <w:tcPr>
            <w:tcW w:w="2618" w:type="dxa"/>
            <w:tcBorders>
              <w:tl2br w:val="nil"/>
              <w:tr2bl w:val="nil"/>
            </w:tcBorders>
            <w:vAlign w:val="center"/>
          </w:tcPr>
          <w:p>
            <w:pPr>
              <w:spacing w:line="240" w:lineRule="atLeast"/>
              <w:jc w:val="center"/>
              <w:rPr>
                <w:b/>
                <w:bCs/>
                <w:kern w:val="28"/>
                <w:szCs w:val="21"/>
              </w:rPr>
            </w:pPr>
            <w:r>
              <w:rPr>
                <w:b/>
                <w:bCs/>
                <w:kern w:val="28"/>
                <w:szCs w:val="21"/>
              </w:rPr>
              <w:t>劳动定员</w:t>
            </w:r>
          </w:p>
        </w:tc>
        <w:tc>
          <w:tcPr>
            <w:tcW w:w="1068" w:type="dxa"/>
            <w:tcBorders>
              <w:tl2br w:val="nil"/>
              <w:tr2bl w:val="nil"/>
            </w:tcBorders>
            <w:vAlign w:val="center"/>
          </w:tcPr>
          <w:p>
            <w:pPr>
              <w:spacing w:line="240" w:lineRule="atLeast"/>
              <w:jc w:val="center"/>
              <w:rPr>
                <w:kern w:val="28"/>
                <w:szCs w:val="21"/>
              </w:rPr>
            </w:pPr>
            <w:r>
              <w:rPr>
                <w:kern w:val="28"/>
                <w:szCs w:val="21"/>
              </w:rPr>
              <w:t>人</w:t>
            </w:r>
          </w:p>
        </w:tc>
        <w:tc>
          <w:tcPr>
            <w:tcW w:w="1128" w:type="dxa"/>
            <w:tcBorders>
              <w:tl2br w:val="nil"/>
              <w:tr2bl w:val="nil"/>
            </w:tcBorders>
            <w:vAlign w:val="center"/>
          </w:tcPr>
          <w:p>
            <w:pPr>
              <w:spacing w:line="240" w:lineRule="atLeast"/>
              <w:jc w:val="center"/>
              <w:rPr>
                <w:kern w:val="28"/>
                <w:szCs w:val="21"/>
              </w:rPr>
            </w:pPr>
            <w:r>
              <w:rPr>
                <w:rFonts w:hint="eastAsia"/>
                <w:kern w:val="28"/>
                <w:szCs w:val="21"/>
              </w:rPr>
              <w:t>11</w:t>
            </w:r>
          </w:p>
        </w:tc>
        <w:tc>
          <w:tcPr>
            <w:tcW w:w="2965" w:type="dxa"/>
            <w:tcBorders>
              <w:tl2br w:val="nil"/>
              <w:tr2bl w:val="nil"/>
            </w:tcBorders>
            <w:vAlign w:val="center"/>
          </w:tcPr>
          <w:p>
            <w:pPr>
              <w:spacing w:line="240" w:lineRule="atLeast"/>
              <w:jc w:val="center"/>
              <w:rPr>
                <w:kern w:val="28"/>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43" w:type="dxa"/>
            <w:tcBorders>
              <w:tl2br w:val="nil"/>
              <w:tr2bl w:val="nil"/>
            </w:tcBorders>
            <w:vAlign w:val="center"/>
          </w:tcPr>
          <w:p>
            <w:pPr>
              <w:spacing w:line="240" w:lineRule="atLeast"/>
              <w:jc w:val="center"/>
              <w:rPr>
                <w:b/>
                <w:bCs/>
                <w:kern w:val="28"/>
                <w:szCs w:val="21"/>
              </w:rPr>
            </w:pPr>
            <w:r>
              <w:rPr>
                <w:rFonts w:hint="eastAsia"/>
                <w:b/>
                <w:bCs/>
                <w:kern w:val="28"/>
                <w:szCs w:val="21"/>
              </w:rPr>
              <w:t>六</w:t>
            </w:r>
          </w:p>
        </w:tc>
        <w:tc>
          <w:tcPr>
            <w:tcW w:w="2618" w:type="dxa"/>
            <w:tcBorders>
              <w:tl2br w:val="nil"/>
              <w:tr2bl w:val="nil"/>
            </w:tcBorders>
            <w:vAlign w:val="center"/>
          </w:tcPr>
          <w:p>
            <w:pPr>
              <w:spacing w:line="240" w:lineRule="atLeast"/>
              <w:jc w:val="center"/>
              <w:rPr>
                <w:b/>
                <w:bCs/>
                <w:kern w:val="28"/>
                <w:szCs w:val="21"/>
              </w:rPr>
            </w:pPr>
            <w:r>
              <w:rPr>
                <w:b/>
                <w:bCs/>
                <w:kern w:val="28"/>
                <w:szCs w:val="21"/>
              </w:rPr>
              <w:t>总投资</w:t>
            </w:r>
          </w:p>
        </w:tc>
        <w:tc>
          <w:tcPr>
            <w:tcW w:w="1068" w:type="dxa"/>
            <w:tcBorders>
              <w:tl2br w:val="nil"/>
              <w:tr2bl w:val="nil"/>
            </w:tcBorders>
            <w:vAlign w:val="center"/>
          </w:tcPr>
          <w:p>
            <w:pPr>
              <w:spacing w:line="240" w:lineRule="atLeast"/>
              <w:jc w:val="center"/>
              <w:rPr>
                <w:kern w:val="28"/>
                <w:szCs w:val="21"/>
              </w:rPr>
            </w:pPr>
            <w:r>
              <w:rPr>
                <w:kern w:val="28"/>
                <w:szCs w:val="21"/>
              </w:rPr>
              <w:t>万元</w:t>
            </w:r>
          </w:p>
        </w:tc>
        <w:tc>
          <w:tcPr>
            <w:tcW w:w="1128" w:type="dxa"/>
            <w:tcBorders>
              <w:tl2br w:val="nil"/>
              <w:tr2bl w:val="nil"/>
            </w:tcBorders>
            <w:vAlign w:val="center"/>
          </w:tcPr>
          <w:p>
            <w:pPr>
              <w:spacing w:line="240" w:lineRule="atLeast"/>
              <w:jc w:val="center"/>
              <w:rPr>
                <w:kern w:val="28"/>
                <w:szCs w:val="21"/>
              </w:rPr>
            </w:pPr>
            <w:r>
              <w:rPr>
                <w:rFonts w:hint="eastAsia"/>
                <w:kern w:val="28"/>
                <w:szCs w:val="21"/>
              </w:rPr>
              <w:t>2638.82</w:t>
            </w:r>
          </w:p>
        </w:tc>
        <w:tc>
          <w:tcPr>
            <w:tcW w:w="2965" w:type="dxa"/>
            <w:tcBorders>
              <w:tl2br w:val="nil"/>
              <w:tr2bl w:val="nil"/>
            </w:tcBorders>
            <w:vAlign w:val="center"/>
          </w:tcPr>
          <w:p>
            <w:pPr>
              <w:spacing w:line="240" w:lineRule="atLeast"/>
              <w:jc w:val="center"/>
              <w:rPr>
                <w:kern w:val="28"/>
                <w:szCs w:val="21"/>
              </w:rPr>
            </w:pPr>
            <w:r>
              <w:rPr>
                <w:rFonts w:hint="eastAsia"/>
                <w:kern w:val="28"/>
                <w:szCs w:val="21"/>
              </w:rPr>
              <w:t>全部由壶关县财政统筹解决</w:t>
            </w:r>
          </w:p>
        </w:tc>
      </w:tr>
    </w:tbl>
    <w:p>
      <w:pPr>
        <w:pStyle w:val="6"/>
        <w:spacing w:line="480" w:lineRule="exact"/>
      </w:pPr>
      <w:r>
        <w:rPr>
          <w:rFonts w:hint="eastAsia"/>
        </w:rPr>
        <w:t>3</w:t>
      </w:r>
      <w:r>
        <w:t>.</w:t>
      </w:r>
      <w:r>
        <w:rPr>
          <w:rFonts w:hint="eastAsia"/>
        </w:rPr>
        <w:t>2</w:t>
      </w:r>
      <w:r>
        <w:t>.</w:t>
      </w:r>
      <w:r>
        <w:rPr>
          <w:rFonts w:hint="eastAsia"/>
        </w:rPr>
        <w:t>8垃圾来源及进场要求</w:t>
      </w:r>
    </w:p>
    <w:p>
      <w:pPr>
        <w:spacing w:line="480" w:lineRule="exact"/>
        <w:ind w:firstLine="482" w:firstLineChars="200"/>
        <w:rPr>
          <w:b/>
          <w:bCs/>
          <w:kern w:val="28"/>
          <w:sz w:val="24"/>
        </w:rPr>
      </w:pPr>
      <w:r>
        <w:rPr>
          <w:rFonts w:hint="eastAsia"/>
          <w:b/>
          <w:bCs/>
          <w:kern w:val="28"/>
          <w:sz w:val="24"/>
        </w:rPr>
        <w:t>1、垃圾来源</w:t>
      </w:r>
    </w:p>
    <w:p>
      <w:pPr>
        <w:spacing w:line="500" w:lineRule="exact"/>
        <w:ind w:firstLine="480" w:firstLineChars="200"/>
        <w:rPr>
          <w:sz w:val="24"/>
        </w:rPr>
      </w:pPr>
      <w:r>
        <w:rPr>
          <w:kern w:val="28"/>
          <w:sz w:val="24"/>
        </w:rPr>
        <w:t>本</w:t>
      </w:r>
      <w:r>
        <w:rPr>
          <w:sz w:val="24"/>
        </w:rPr>
        <w:t>项目</w:t>
      </w:r>
      <w:r>
        <w:rPr>
          <w:rFonts w:hint="eastAsia"/>
          <w:sz w:val="24"/>
        </w:rPr>
        <w:t>场地服务范围主要为壶关县城及周边的集店镇、常平开发区，垃圾来源主要为环卫部门收集的居民生活垃圾、商业垃圾、机关学校垃圾、办公垃圾、集贸市场垃圾、道路清扫垃圾等，其中以生活垃圾为主要来源。</w:t>
      </w:r>
    </w:p>
    <w:p>
      <w:pPr>
        <w:spacing w:line="500" w:lineRule="exact"/>
        <w:ind w:firstLine="480" w:firstLineChars="200"/>
        <w:rPr>
          <w:sz w:val="24"/>
        </w:rPr>
      </w:pPr>
      <w:r>
        <w:rPr>
          <w:rFonts w:hint="eastAsia"/>
          <w:sz w:val="24"/>
        </w:rPr>
        <w:t>生活垃圾性质和特征与当地居民生活水平、能源结构、季节变化等因素有关，具有复杂性、多变性和地域差异性，壶关县城现集中供热普及率约84%，燃气普及率约87%，生活垃圾可腐成分和可燃成分相对较低。</w:t>
      </w:r>
    </w:p>
    <w:p>
      <w:pPr>
        <w:spacing w:line="500" w:lineRule="exact"/>
        <w:ind w:firstLine="482" w:firstLineChars="200"/>
        <w:jc w:val="center"/>
        <w:rPr>
          <w:b/>
          <w:bCs/>
          <w:kern w:val="28"/>
          <w:sz w:val="24"/>
        </w:rPr>
      </w:pPr>
      <w:r>
        <w:rPr>
          <w:b/>
          <w:bCs/>
          <w:kern w:val="28"/>
          <w:sz w:val="24"/>
        </w:rPr>
        <w:t>表3.</w:t>
      </w:r>
      <w:r>
        <w:rPr>
          <w:rFonts w:hint="eastAsia"/>
          <w:b/>
          <w:bCs/>
          <w:kern w:val="28"/>
          <w:sz w:val="24"/>
        </w:rPr>
        <w:t>2</w:t>
      </w:r>
      <w:r>
        <w:rPr>
          <w:b/>
          <w:bCs/>
          <w:kern w:val="28"/>
          <w:sz w:val="24"/>
        </w:rPr>
        <w:t>-</w:t>
      </w:r>
      <w:r>
        <w:rPr>
          <w:rFonts w:hint="eastAsia"/>
          <w:b/>
          <w:bCs/>
          <w:kern w:val="28"/>
          <w:sz w:val="24"/>
        </w:rPr>
        <w:t>3壶关县城生活垃圾组分表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55"/>
        <w:gridCol w:w="994"/>
        <w:gridCol w:w="994"/>
        <w:gridCol w:w="995"/>
        <w:gridCol w:w="1404"/>
        <w:gridCol w:w="969"/>
        <w:gridCol w:w="970"/>
        <w:gridCol w:w="11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055" w:type="dxa"/>
            <w:tcBorders>
              <w:tl2br w:val="nil"/>
              <w:tr2bl w:val="nil"/>
            </w:tcBorders>
          </w:tcPr>
          <w:p>
            <w:pPr>
              <w:pStyle w:val="63"/>
              <w:spacing w:line="288" w:lineRule="auto"/>
              <w:jc w:val="center"/>
              <w:rPr>
                <w:kern w:val="28"/>
                <w:szCs w:val="21"/>
              </w:rPr>
            </w:pPr>
            <w:r>
              <w:rPr>
                <w:szCs w:val="21"/>
              </w:rPr>
              <w:t>成分</w:t>
            </w:r>
          </w:p>
        </w:tc>
        <w:tc>
          <w:tcPr>
            <w:tcW w:w="994" w:type="dxa"/>
            <w:tcBorders>
              <w:tl2br w:val="nil"/>
              <w:tr2bl w:val="nil"/>
            </w:tcBorders>
          </w:tcPr>
          <w:p>
            <w:pPr>
              <w:pStyle w:val="63"/>
              <w:spacing w:line="288" w:lineRule="auto"/>
              <w:jc w:val="center"/>
              <w:rPr>
                <w:kern w:val="28"/>
                <w:szCs w:val="21"/>
              </w:rPr>
            </w:pPr>
            <w:r>
              <w:rPr>
                <w:szCs w:val="21"/>
              </w:rPr>
              <w:t>有机物</w:t>
            </w:r>
          </w:p>
        </w:tc>
        <w:tc>
          <w:tcPr>
            <w:tcW w:w="994" w:type="dxa"/>
            <w:tcBorders>
              <w:tl2br w:val="nil"/>
              <w:tr2bl w:val="nil"/>
            </w:tcBorders>
          </w:tcPr>
          <w:p>
            <w:pPr>
              <w:pStyle w:val="63"/>
              <w:spacing w:line="288" w:lineRule="auto"/>
              <w:jc w:val="center"/>
              <w:rPr>
                <w:kern w:val="28"/>
                <w:szCs w:val="21"/>
              </w:rPr>
            </w:pPr>
            <w:r>
              <w:rPr>
                <w:szCs w:val="21"/>
              </w:rPr>
              <w:t>灰砾</w:t>
            </w:r>
          </w:p>
        </w:tc>
        <w:tc>
          <w:tcPr>
            <w:tcW w:w="995" w:type="dxa"/>
            <w:tcBorders>
              <w:tl2br w:val="nil"/>
              <w:tr2bl w:val="nil"/>
            </w:tcBorders>
          </w:tcPr>
          <w:p>
            <w:pPr>
              <w:pStyle w:val="63"/>
              <w:spacing w:line="288" w:lineRule="auto"/>
              <w:jc w:val="center"/>
              <w:rPr>
                <w:kern w:val="28"/>
                <w:szCs w:val="21"/>
              </w:rPr>
            </w:pPr>
            <w:r>
              <w:rPr>
                <w:szCs w:val="21"/>
              </w:rPr>
              <w:t>塑料</w:t>
            </w:r>
          </w:p>
        </w:tc>
        <w:tc>
          <w:tcPr>
            <w:tcW w:w="1404" w:type="dxa"/>
            <w:tcBorders>
              <w:tl2br w:val="nil"/>
              <w:tr2bl w:val="nil"/>
            </w:tcBorders>
          </w:tcPr>
          <w:p>
            <w:pPr>
              <w:pStyle w:val="63"/>
              <w:spacing w:line="288" w:lineRule="auto"/>
              <w:jc w:val="center"/>
              <w:rPr>
                <w:kern w:val="28"/>
                <w:szCs w:val="21"/>
              </w:rPr>
            </w:pPr>
            <w:r>
              <w:rPr>
                <w:szCs w:val="21"/>
              </w:rPr>
              <w:t>金属、玻璃</w:t>
            </w:r>
          </w:p>
        </w:tc>
        <w:tc>
          <w:tcPr>
            <w:tcW w:w="969" w:type="dxa"/>
            <w:tcBorders>
              <w:tl2br w:val="nil"/>
              <w:tr2bl w:val="nil"/>
            </w:tcBorders>
          </w:tcPr>
          <w:p>
            <w:pPr>
              <w:pStyle w:val="63"/>
              <w:spacing w:line="288" w:lineRule="auto"/>
              <w:jc w:val="center"/>
              <w:rPr>
                <w:kern w:val="28"/>
                <w:szCs w:val="21"/>
              </w:rPr>
            </w:pPr>
            <w:r>
              <w:rPr>
                <w:szCs w:val="21"/>
              </w:rPr>
              <w:t>纸类</w:t>
            </w:r>
          </w:p>
        </w:tc>
        <w:tc>
          <w:tcPr>
            <w:tcW w:w="970" w:type="dxa"/>
            <w:tcBorders>
              <w:tl2br w:val="nil"/>
              <w:tr2bl w:val="nil"/>
            </w:tcBorders>
          </w:tcPr>
          <w:p>
            <w:pPr>
              <w:pStyle w:val="63"/>
              <w:spacing w:line="288" w:lineRule="auto"/>
              <w:jc w:val="center"/>
              <w:rPr>
                <w:kern w:val="28"/>
                <w:szCs w:val="21"/>
              </w:rPr>
            </w:pPr>
            <w:r>
              <w:rPr>
                <w:szCs w:val="21"/>
              </w:rPr>
              <w:t>其他</w:t>
            </w:r>
          </w:p>
        </w:tc>
        <w:tc>
          <w:tcPr>
            <w:tcW w:w="1138" w:type="dxa"/>
            <w:tcBorders>
              <w:tl2br w:val="nil"/>
              <w:tr2bl w:val="nil"/>
            </w:tcBorders>
          </w:tcPr>
          <w:p>
            <w:pPr>
              <w:pStyle w:val="63"/>
              <w:spacing w:line="288" w:lineRule="auto"/>
              <w:jc w:val="center"/>
              <w:rPr>
                <w:kern w:val="28"/>
                <w:szCs w:val="21"/>
              </w:rPr>
            </w:pPr>
            <w:r>
              <w:rPr>
                <w:szCs w:val="21"/>
              </w:rPr>
              <w:t>低位热值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055" w:type="dxa"/>
            <w:tcBorders>
              <w:tl2br w:val="nil"/>
              <w:tr2bl w:val="nil"/>
            </w:tcBorders>
          </w:tcPr>
          <w:p>
            <w:pPr>
              <w:pStyle w:val="63"/>
              <w:spacing w:line="288" w:lineRule="auto"/>
              <w:jc w:val="center"/>
              <w:rPr>
                <w:b/>
                <w:bCs/>
                <w:kern w:val="28"/>
                <w:szCs w:val="21"/>
              </w:rPr>
            </w:pPr>
            <w:r>
              <w:rPr>
                <w:szCs w:val="21"/>
              </w:rPr>
              <w:t>含量%</w:t>
            </w:r>
          </w:p>
        </w:tc>
        <w:tc>
          <w:tcPr>
            <w:tcW w:w="994" w:type="dxa"/>
            <w:tcBorders>
              <w:tl2br w:val="nil"/>
              <w:tr2bl w:val="nil"/>
            </w:tcBorders>
          </w:tcPr>
          <w:p>
            <w:pPr>
              <w:pStyle w:val="63"/>
              <w:spacing w:line="288" w:lineRule="auto"/>
              <w:jc w:val="center"/>
              <w:rPr>
                <w:b/>
                <w:bCs/>
                <w:kern w:val="28"/>
                <w:szCs w:val="21"/>
              </w:rPr>
            </w:pPr>
            <w:r>
              <w:rPr>
                <w:szCs w:val="21"/>
              </w:rPr>
              <w:t>42</w:t>
            </w:r>
          </w:p>
        </w:tc>
        <w:tc>
          <w:tcPr>
            <w:tcW w:w="994" w:type="dxa"/>
            <w:tcBorders>
              <w:tl2br w:val="nil"/>
              <w:tr2bl w:val="nil"/>
            </w:tcBorders>
          </w:tcPr>
          <w:p>
            <w:pPr>
              <w:pStyle w:val="63"/>
              <w:spacing w:line="288" w:lineRule="auto"/>
              <w:jc w:val="center"/>
              <w:rPr>
                <w:kern w:val="28"/>
                <w:szCs w:val="21"/>
              </w:rPr>
            </w:pPr>
            <w:r>
              <w:rPr>
                <w:szCs w:val="21"/>
              </w:rPr>
              <w:t>40</w:t>
            </w:r>
          </w:p>
        </w:tc>
        <w:tc>
          <w:tcPr>
            <w:tcW w:w="995" w:type="dxa"/>
            <w:tcBorders>
              <w:tl2br w:val="nil"/>
              <w:tr2bl w:val="nil"/>
            </w:tcBorders>
          </w:tcPr>
          <w:p>
            <w:pPr>
              <w:pStyle w:val="63"/>
              <w:spacing w:line="288" w:lineRule="auto"/>
              <w:jc w:val="center"/>
              <w:rPr>
                <w:kern w:val="28"/>
                <w:szCs w:val="21"/>
              </w:rPr>
            </w:pPr>
            <w:r>
              <w:rPr>
                <w:szCs w:val="21"/>
              </w:rPr>
              <w:t>5</w:t>
            </w:r>
          </w:p>
        </w:tc>
        <w:tc>
          <w:tcPr>
            <w:tcW w:w="1404" w:type="dxa"/>
            <w:tcBorders>
              <w:tl2br w:val="nil"/>
              <w:tr2bl w:val="nil"/>
            </w:tcBorders>
          </w:tcPr>
          <w:p>
            <w:pPr>
              <w:pStyle w:val="63"/>
              <w:spacing w:line="288" w:lineRule="auto"/>
              <w:jc w:val="center"/>
              <w:rPr>
                <w:kern w:val="28"/>
                <w:szCs w:val="21"/>
              </w:rPr>
            </w:pPr>
            <w:r>
              <w:rPr>
                <w:szCs w:val="21"/>
              </w:rPr>
              <w:t>3</w:t>
            </w:r>
          </w:p>
        </w:tc>
        <w:tc>
          <w:tcPr>
            <w:tcW w:w="969" w:type="dxa"/>
            <w:tcBorders>
              <w:tl2br w:val="nil"/>
              <w:tr2bl w:val="nil"/>
            </w:tcBorders>
          </w:tcPr>
          <w:p>
            <w:pPr>
              <w:pStyle w:val="63"/>
              <w:spacing w:line="288" w:lineRule="auto"/>
              <w:jc w:val="center"/>
              <w:rPr>
                <w:kern w:val="28"/>
                <w:szCs w:val="21"/>
              </w:rPr>
            </w:pPr>
            <w:r>
              <w:rPr>
                <w:szCs w:val="21"/>
              </w:rPr>
              <w:t>2</w:t>
            </w:r>
          </w:p>
        </w:tc>
        <w:tc>
          <w:tcPr>
            <w:tcW w:w="970" w:type="dxa"/>
            <w:tcBorders>
              <w:tl2br w:val="nil"/>
              <w:tr2bl w:val="nil"/>
            </w:tcBorders>
          </w:tcPr>
          <w:p>
            <w:pPr>
              <w:pStyle w:val="63"/>
              <w:spacing w:line="288" w:lineRule="auto"/>
              <w:jc w:val="center"/>
              <w:rPr>
                <w:kern w:val="28"/>
                <w:szCs w:val="21"/>
              </w:rPr>
            </w:pPr>
            <w:r>
              <w:rPr>
                <w:szCs w:val="21"/>
              </w:rPr>
              <w:t>8</w:t>
            </w:r>
          </w:p>
        </w:tc>
        <w:tc>
          <w:tcPr>
            <w:tcW w:w="1138" w:type="dxa"/>
            <w:tcBorders>
              <w:tl2br w:val="nil"/>
              <w:tr2bl w:val="nil"/>
            </w:tcBorders>
          </w:tcPr>
          <w:p>
            <w:pPr>
              <w:pStyle w:val="63"/>
              <w:spacing w:line="288" w:lineRule="auto"/>
              <w:jc w:val="center"/>
              <w:rPr>
                <w:kern w:val="28"/>
                <w:szCs w:val="21"/>
              </w:rPr>
            </w:pPr>
            <w:r>
              <w:rPr>
                <w:szCs w:val="21"/>
              </w:rPr>
              <w:t>2100KJ/kg</w:t>
            </w:r>
          </w:p>
        </w:tc>
      </w:tr>
    </w:tbl>
    <w:p>
      <w:pPr>
        <w:spacing w:line="500" w:lineRule="exact"/>
        <w:ind w:firstLine="482" w:firstLineChars="200"/>
        <w:jc w:val="left"/>
        <w:rPr>
          <w:b/>
          <w:bCs/>
          <w:kern w:val="28"/>
          <w:sz w:val="24"/>
        </w:rPr>
      </w:pPr>
      <w:r>
        <w:rPr>
          <w:rFonts w:hint="eastAsia"/>
          <w:b/>
          <w:bCs/>
          <w:kern w:val="28"/>
          <w:sz w:val="24"/>
        </w:rPr>
        <w:t>2、进场要求</w:t>
      </w:r>
    </w:p>
    <w:p>
      <w:pPr>
        <w:spacing w:line="500" w:lineRule="exact"/>
        <w:ind w:firstLine="480" w:firstLineChars="200"/>
        <w:jc w:val="left"/>
        <w:rPr>
          <w:kern w:val="28"/>
          <w:sz w:val="24"/>
        </w:rPr>
      </w:pPr>
      <w:r>
        <w:rPr>
          <w:rFonts w:hint="eastAsia"/>
          <w:kern w:val="28"/>
          <w:sz w:val="24"/>
        </w:rPr>
        <w:t>本</w:t>
      </w:r>
      <w:r>
        <w:rPr>
          <w:kern w:val="28"/>
          <w:sz w:val="24"/>
        </w:rPr>
        <w:t>项</w:t>
      </w:r>
      <w:r>
        <w:rPr>
          <w:rFonts w:hint="eastAsia"/>
          <w:kern w:val="28"/>
          <w:sz w:val="24"/>
        </w:rPr>
        <w:t>目正常情况下主要接受壶关县环卫部门收集、转运的各类生活垃圾，除此之外，其他废物进场需满足《生活垃圾填埋场污染控制标准》(GB16889-2008)填埋废物入场要求，严格控制入场的废物，下列废物不得在场地中填埋处置：</w:t>
      </w:r>
    </w:p>
    <w:p>
      <w:pPr>
        <w:spacing w:line="500" w:lineRule="exact"/>
        <w:ind w:firstLine="480" w:firstLineChars="200"/>
        <w:jc w:val="left"/>
        <w:rPr>
          <w:kern w:val="28"/>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kern w:val="28"/>
          <w:sz w:val="24"/>
        </w:rPr>
        <w:t>除符合GB16889第6.3 条规定的生活垃圾焚烧飞灰以外的危险废物；</w:t>
      </w:r>
    </w:p>
    <w:p>
      <w:pPr>
        <w:spacing w:line="500" w:lineRule="exact"/>
        <w:ind w:firstLine="480" w:firstLineChars="200"/>
        <w:jc w:val="left"/>
        <w:rPr>
          <w:kern w:val="28"/>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kern w:val="28"/>
          <w:sz w:val="24"/>
        </w:rPr>
        <w:t>未经处理的餐饮废物；</w:t>
      </w:r>
    </w:p>
    <w:p>
      <w:pPr>
        <w:spacing w:line="500" w:lineRule="exact"/>
        <w:ind w:firstLine="480" w:firstLineChars="200"/>
        <w:jc w:val="left"/>
        <w:rPr>
          <w:kern w:val="28"/>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kern w:val="28"/>
          <w:sz w:val="24"/>
        </w:rPr>
        <w:t>未经处理的粪便；</w:t>
      </w:r>
    </w:p>
    <w:p>
      <w:pPr>
        <w:spacing w:line="500" w:lineRule="exact"/>
        <w:ind w:firstLine="480" w:firstLineChars="200"/>
        <w:jc w:val="left"/>
        <w:rPr>
          <w:kern w:val="28"/>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kern w:val="28"/>
          <w:sz w:val="24"/>
        </w:rPr>
        <w:t>畜禽养殖废物；</w:t>
      </w:r>
    </w:p>
    <w:p>
      <w:pPr>
        <w:spacing w:line="500" w:lineRule="exact"/>
        <w:ind w:firstLine="480" w:firstLineChars="200"/>
        <w:jc w:val="left"/>
        <w:rPr>
          <w:kern w:val="28"/>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rFonts w:hint="eastAsia"/>
          <w:kern w:val="28"/>
          <w:sz w:val="24"/>
        </w:rPr>
        <w:t>电子废物及其处理处置残余物；</w:t>
      </w:r>
    </w:p>
    <w:p>
      <w:pPr>
        <w:spacing w:line="500" w:lineRule="exact"/>
        <w:ind w:firstLine="480" w:firstLineChars="200"/>
        <w:jc w:val="left"/>
        <w:rPr>
          <w:kern w:val="28"/>
          <w:sz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rFonts w:hint="eastAsia"/>
          <w:kern w:val="28"/>
          <w:sz w:val="24"/>
        </w:rPr>
        <w:t>除本填埋场产生的渗滤液之外的任何液态废物和废水。</w:t>
      </w:r>
    </w:p>
    <w:p>
      <w:pPr>
        <w:pStyle w:val="6"/>
        <w:spacing w:line="480" w:lineRule="exact"/>
      </w:pPr>
      <w:r>
        <w:rPr>
          <w:rFonts w:hint="eastAsia"/>
        </w:rPr>
        <w:t>3</w:t>
      </w:r>
      <w:r>
        <w:t>.</w:t>
      </w:r>
      <w:r>
        <w:rPr>
          <w:rFonts w:hint="eastAsia"/>
        </w:rPr>
        <w:t>2</w:t>
      </w:r>
      <w:r>
        <w:t>.</w:t>
      </w:r>
      <w:r>
        <w:rPr>
          <w:rFonts w:hint="eastAsia"/>
        </w:rPr>
        <w:t>9垃圾产量预测及规模确定</w:t>
      </w:r>
    </w:p>
    <w:p>
      <w:pPr>
        <w:spacing w:line="500" w:lineRule="exact"/>
        <w:ind w:firstLine="482" w:firstLineChars="200"/>
        <w:rPr>
          <w:b/>
          <w:bCs/>
          <w:kern w:val="28"/>
          <w:sz w:val="24"/>
        </w:rPr>
      </w:pPr>
      <w:r>
        <w:rPr>
          <w:rFonts w:hint="eastAsia"/>
          <w:b/>
          <w:bCs/>
          <w:kern w:val="28"/>
          <w:sz w:val="24"/>
        </w:rPr>
        <w:t>1、垃圾产量预测</w:t>
      </w:r>
    </w:p>
    <w:p>
      <w:pPr>
        <w:spacing w:line="500" w:lineRule="exact"/>
        <w:ind w:firstLine="480" w:firstLineChars="200"/>
        <w:rPr>
          <w:sz w:val="24"/>
        </w:rPr>
      </w:pPr>
      <w:r>
        <w:rPr>
          <w:kern w:val="28"/>
          <w:sz w:val="24"/>
        </w:rPr>
        <w:t>本</w:t>
      </w:r>
      <w:r>
        <w:rPr>
          <w:rFonts w:hint="eastAsia"/>
          <w:kern w:val="28"/>
          <w:sz w:val="24"/>
        </w:rPr>
        <w:t>项目场地设计服务年限12a（2021年~2032年），服务年限内垃圾产量</w:t>
      </w:r>
      <w:r>
        <w:rPr>
          <w:rFonts w:hint="eastAsia"/>
          <w:sz w:val="24"/>
        </w:rPr>
        <w:t>主要根据县城规划人口数量、人均生活垃圾产生量及清运量等进行预测。具体详见下表。</w:t>
      </w:r>
    </w:p>
    <w:p>
      <w:pPr>
        <w:spacing w:line="500" w:lineRule="exact"/>
        <w:ind w:firstLine="482" w:firstLineChars="200"/>
        <w:jc w:val="center"/>
        <w:rPr>
          <w:b/>
          <w:bCs/>
          <w:kern w:val="28"/>
          <w:sz w:val="24"/>
        </w:rPr>
      </w:pPr>
      <w:r>
        <w:rPr>
          <w:b/>
          <w:bCs/>
          <w:kern w:val="28"/>
          <w:sz w:val="24"/>
        </w:rPr>
        <w:t>表3.</w:t>
      </w:r>
      <w:r>
        <w:rPr>
          <w:rFonts w:hint="eastAsia"/>
          <w:b/>
          <w:bCs/>
          <w:kern w:val="28"/>
          <w:sz w:val="24"/>
        </w:rPr>
        <w:t>2</w:t>
      </w:r>
      <w:r>
        <w:rPr>
          <w:b/>
          <w:bCs/>
          <w:kern w:val="28"/>
          <w:sz w:val="24"/>
        </w:rPr>
        <w:t>-</w:t>
      </w:r>
      <w:r>
        <w:rPr>
          <w:rFonts w:hint="eastAsia"/>
          <w:b/>
          <w:bCs/>
          <w:kern w:val="28"/>
          <w:sz w:val="24"/>
        </w:rPr>
        <w:t>4壶关县城城生活垃圾产量预测表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06"/>
        <w:gridCol w:w="840"/>
        <w:gridCol w:w="972"/>
        <w:gridCol w:w="1212"/>
        <w:gridCol w:w="1188"/>
        <w:gridCol w:w="1392"/>
        <w:gridCol w:w="1173"/>
        <w:gridCol w:w="11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exact"/>
          <w:jc w:val="center"/>
        </w:trPr>
        <w:tc>
          <w:tcPr>
            <w:tcW w:w="606" w:type="dxa"/>
            <w:tcBorders>
              <w:tl2br w:val="nil"/>
              <w:tr2bl w:val="nil"/>
            </w:tcBorders>
            <w:vAlign w:val="center"/>
          </w:tcPr>
          <w:p>
            <w:pPr>
              <w:adjustRightInd w:val="0"/>
              <w:snapToGrid w:val="0"/>
              <w:spacing w:line="240" w:lineRule="exact"/>
              <w:jc w:val="center"/>
              <w:textAlignment w:val="center"/>
              <w:rPr>
                <w:kern w:val="28"/>
                <w:szCs w:val="21"/>
              </w:rPr>
            </w:pPr>
            <w:r>
              <w:rPr>
                <w:rStyle w:val="47"/>
                <w:rFonts w:ascii="Times New Roman" w:hAnsi="Times New Roman" w:eastAsia="宋体" w:cs="Times New Roman"/>
                <w:sz w:val="21"/>
                <w:szCs w:val="21"/>
              </w:rPr>
              <w:t>序号</w:t>
            </w:r>
          </w:p>
        </w:tc>
        <w:tc>
          <w:tcPr>
            <w:tcW w:w="840" w:type="dxa"/>
            <w:tcBorders>
              <w:tl2br w:val="nil"/>
              <w:tr2bl w:val="nil"/>
            </w:tcBorders>
            <w:vAlign w:val="center"/>
          </w:tcPr>
          <w:p>
            <w:pPr>
              <w:adjustRightInd w:val="0"/>
              <w:snapToGrid w:val="0"/>
              <w:spacing w:line="240" w:lineRule="exact"/>
              <w:jc w:val="center"/>
              <w:textAlignment w:val="center"/>
              <w:rPr>
                <w:kern w:val="28"/>
                <w:szCs w:val="21"/>
              </w:rPr>
            </w:pPr>
            <w:r>
              <w:rPr>
                <w:rStyle w:val="47"/>
                <w:rFonts w:ascii="Times New Roman" w:hAnsi="Times New Roman" w:eastAsia="宋体" w:cs="Times New Roman"/>
                <w:sz w:val="21"/>
                <w:szCs w:val="21"/>
              </w:rPr>
              <w:t>年份</w:t>
            </w:r>
          </w:p>
        </w:tc>
        <w:tc>
          <w:tcPr>
            <w:tcW w:w="972" w:type="dxa"/>
            <w:tcBorders>
              <w:tl2br w:val="nil"/>
              <w:tr2bl w:val="nil"/>
            </w:tcBorders>
            <w:vAlign w:val="center"/>
          </w:tcPr>
          <w:p>
            <w:pPr>
              <w:adjustRightInd w:val="0"/>
              <w:snapToGrid w:val="0"/>
              <w:spacing w:line="240" w:lineRule="exact"/>
              <w:jc w:val="center"/>
              <w:textAlignment w:val="center"/>
              <w:rPr>
                <w:kern w:val="28"/>
                <w:szCs w:val="21"/>
              </w:rPr>
            </w:pPr>
            <w:r>
              <w:rPr>
                <w:rStyle w:val="47"/>
                <w:rFonts w:hint="eastAsia" w:eastAsia="宋体" w:cs="Times New Roman"/>
                <w:sz w:val="21"/>
                <w:szCs w:val="21"/>
              </w:rPr>
              <w:t>规划</w:t>
            </w:r>
            <w:r>
              <w:rPr>
                <w:rStyle w:val="47"/>
                <w:rFonts w:ascii="Times New Roman" w:hAnsi="Times New Roman" w:eastAsia="宋体" w:cs="Times New Roman"/>
                <w:sz w:val="21"/>
                <w:szCs w:val="21"/>
              </w:rPr>
              <w:t>人口（人）</w:t>
            </w:r>
          </w:p>
        </w:tc>
        <w:tc>
          <w:tcPr>
            <w:tcW w:w="1212" w:type="dxa"/>
            <w:tcBorders>
              <w:tl2br w:val="nil"/>
              <w:tr2bl w:val="nil"/>
            </w:tcBorders>
            <w:vAlign w:val="center"/>
          </w:tcPr>
          <w:p>
            <w:pPr>
              <w:adjustRightInd w:val="0"/>
              <w:snapToGrid w:val="0"/>
              <w:spacing w:line="240" w:lineRule="exact"/>
              <w:jc w:val="center"/>
              <w:textAlignment w:val="center"/>
              <w:rPr>
                <w:kern w:val="28"/>
                <w:szCs w:val="21"/>
              </w:rPr>
            </w:pPr>
            <w:r>
              <w:rPr>
                <w:rStyle w:val="47"/>
                <w:rFonts w:ascii="Times New Roman" w:hAnsi="Times New Roman" w:eastAsia="宋体" w:cs="Times New Roman"/>
                <w:sz w:val="21"/>
                <w:szCs w:val="21"/>
              </w:rPr>
              <w:t>人均垃圾日产量</w:t>
            </w:r>
            <w:r>
              <w:rPr>
                <w:rStyle w:val="47"/>
                <w:rFonts w:hint="eastAsia" w:ascii="Times New Roman" w:hAnsi="Times New Roman" w:eastAsia="宋体" w:cs="Times New Roman"/>
                <w:sz w:val="21"/>
                <w:szCs w:val="21"/>
              </w:rPr>
              <w:t>（kg/d）</w:t>
            </w:r>
          </w:p>
        </w:tc>
        <w:tc>
          <w:tcPr>
            <w:tcW w:w="1188" w:type="dxa"/>
            <w:tcBorders>
              <w:tl2br w:val="nil"/>
              <w:tr2bl w:val="nil"/>
            </w:tcBorders>
            <w:vAlign w:val="center"/>
          </w:tcPr>
          <w:p>
            <w:pPr>
              <w:adjustRightInd w:val="0"/>
              <w:snapToGrid w:val="0"/>
              <w:spacing w:line="240" w:lineRule="exact"/>
              <w:jc w:val="center"/>
              <w:textAlignment w:val="center"/>
              <w:rPr>
                <w:kern w:val="28"/>
                <w:szCs w:val="21"/>
              </w:rPr>
            </w:pPr>
            <w:r>
              <w:rPr>
                <w:color w:val="000000"/>
                <w:kern w:val="0"/>
                <w:szCs w:val="21"/>
              </w:rPr>
              <w:t>垃圾清运率</w:t>
            </w:r>
          </w:p>
        </w:tc>
        <w:tc>
          <w:tcPr>
            <w:tcW w:w="1392" w:type="dxa"/>
            <w:tcBorders>
              <w:tl2br w:val="nil"/>
              <w:tr2bl w:val="nil"/>
            </w:tcBorders>
            <w:vAlign w:val="center"/>
          </w:tcPr>
          <w:p>
            <w:pPr>
              <w:adjustRightInd w:val="0"/>
              <w:snapToGrid w:val="0"/>
              <w:spacing w:line="240" w:lineRule="exact"/>
              <w:jc w:val="center"/>
              <w:textAlignment w:val="center"/>
              <w:rPr>
                <w:rStyle w:val="47"/>
                <w:rFonts w:ascii="Times New Roman" w:hAnsi="Times New Roman" w:eastAsia="宋体" w:cs="Times New Roman"/>
                <w:sz w:val="21"/>
                <w:szCs w:val="21"/>
              </w:rPr>
            </w:pPr>
            <w:r>
              <w:rPr>
                <w:rStyle w:val="47"/>
                <w:rFonts w:ascii="Times New Roman" w:hAnsi="Times New Roman" w:eastAsia="宋体" w:cs="Times New Roman"/>
                <w:sz w:val="21"/>
                <w:szCs w:val="21"/>
              </w:rPr>
              <w:t>生活垃圾日清运量</w:t>
            </w:r>
          </w:p>
          <w:p>
            <w:pPr>
              <w:adjustRightInd w:val="0"/>
              <w:snapToGrid w:val="0"/>
              <w:spacing w:line="240" w:lineRule="exact"/>
              <w:jc w:val="center"/>
              <w:textAlignment w:val="center"/>
              <w:rPr>
                <w:kern w:val="28"/>
                <w:szCs w:val="21"/>
              </w:rPr>
            </w:pPr>
            <w:r>
              <w:rPr>
                <w:rStyle w:val="47"/>
                <w:rFonts w:hint="eastAsia" w:ascii="Times New Roman" w:hAnsi="Times New Roman" w:eastAsia="宋体" w:cs="Times New Roman"/>
                <w:sz w:val="21"/>
                <w:szCs w:val="21"/>
              </w:rPr>
              <w:t>（t/d）</w:t>
            </w:r>
          </w:p>
        </w:tc>
        <w:tc>
          <w:tcPr>
            <w:tcW w:w="1173" w:type="dxa"/>
            <w:tcBorders>
              <w:tl2br w:val="nil"/>
              <w:tr2bl w:val="nil"/>
            </w:tcBorders>
            <w:vAlign w:val="center"/>
          </w:tcPr>
          <w:p>
            <w:pPr>
              <w:adjustRightInd w:val="0"/>
              <w:snapToGrid w:val="0"/>
              <w:spacing w:line="240" w:lineRule="exact"/>
              <w:jc w:val="center"/>
              <w:textAlignment w:val="center"/>
              <w:rPr>
                <w:rStyle w:val="47"/>
                <w:rFonts w:ascii="Times New Roman" w:hAnsi="Times New Roman" w:eastAsia="宋体" w:cs="Times New Roman"/>
                <w:sz w:val="21"/>
                <w:szCs w:val="21"/>
              </w:rPr>
            </w:pPr>
            <w:r>
              <w:rPr>
                <w:rStyle w:val="47"/>
                <w:rFonts w:ascii="Times New Roman" w:hAnsi="Times New Roman" w:eastAsia="宋体" w:cs="Times New Roman"/>
                <w:sz w:val="21"/>
                <w:szCs w:val="21"/>
              </w:rPr>
              <w:t>生活垃圾年清运量</w:t>
            </w:r>
          </w:p>
          <w:p>
            <w:pPr>
              <w:adjustRightInd w:val="0"/>
              <w:snapToGrid w:val="0"/>
              <w:spacing w:line="240" w:lineRule="exact"/>
              <w:jc w:val="center"/>
              <w:textAlignment w:val="center"/>
              <w:rPr>
                <w:kern w:val="28"/>
                <w:szCs w:val="21"/>
              </w:rPr>
            </w:pPr>
            <w:r>
              <w:rPr>
                <w:rStyle w:val="47"/>
                <w:rFonts w:hint="eastAsia" w:ascii="Times New Roman" w:hAnsi="Times New Roman" w:eastAsia="宋体" w:cs="Times New Roman"/>
                <w:sz w:val="21"/>
                <w:szCs w:val="21"/>
              </w:rPr>
              <w:t>（万t/a）</w:t>
            </w:r>
          </w:p>
        </w:tc>
        <w:tc>
          <w:tcPr>
            <w:tcW w:w="1136" w:type="dxa"/>
            <w:tcBorders>
              <w:tl2br w:val="nil"/>
              <w:tr2bl w:val="nil"/>
            </w:tcBorders>
            <w:vAlign w:val="center"/>
          </w:tcPr>
          <w:p>
            <w:pPr>
              <w:adjustRightInd w:val="0"/>
              <w:snapToGrid w:val="0"/>
              <w:spacing w:line="240" w:lineRule="exact"/>
              <w:jc w:val="center"/>
              <w:textAlignment w:val="center"/>
              <w:rPr>
                <w:rStyle w:val="47"/>
                <w:rFonts w:ascii="Times New Roman" w:hAnsi="Times New Roman" w:eastAsia="宋体" w:cs="Times New Roman"/>
                <w:sz w:val="21"/>
                <w:szCs w:val="21"/>
              </w:rPr>
            </w:pPr>
            <w:r>
              <w:rPr>
                <w:rStyle w:val="47"/>
                <w:rFonts w:ascii="Times New Roman" w:hAnsi="Times New Roman" w:eastAsia="宋体" w:cs="Times New Roman"/>
                <w:sz w:val="21"/>
                <w:szCs w:val="21"/>
              </w:rPr>
              <w:t>生活垃圾累积量</w:t>
            </w:r>
          </w:p>
          <w:p>
            <w:pPr>
              <w:adjustRightInd w:val="0"/>
              <w:snapToGrid w:val="0"/>
              <w:spacing w:line="240" w:lineRule="exact"/>
              <w:jc w:val="center"/>
              <w:textAlignment w:val="center"/>
              <w:rPr>
                <w:kern w:val="28"/>
                <w:szCs w:val="21"/>
              </w:rPr>
            </w:pPr>
            <w:r>
              <w:rPr>
                <w:rStyle w:val="47"/>
                <w:rFonts w:hint="eastAsia" w:ascii="Times New Roman" w:hAnsi="Times New Roman" w:eastAsia="宋体" w:cs="Times New Roman"/>
                <w:sz w:val="21"/>
                <w:szCs w:val="21"/>
              </w:rPr>
              <w:t>（t）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b/>
                <w:bCs/>
                <w:kern w:val="28"/>
                <w:szCs w:val="21"/>
              </w:rPr>
            </w:pPr>
            <w:r>
              <w:rPr>
                <w:rStyle w:val="47"/>
                <w:rFonts w:hint="eastAsia" w:ascii="Times New Roman" w:hAnsi="Times New Roman" w:eastAsia="宋体" w:cs="Times New Roman"/>
                <w:sz w:val="21"/>
                <w:szCs w:val="21"/>
              </w:rPr>
              <w:t>1</w:t>
            </w:r>
          </w:p>
        </w:tc>
        <w:tc>
          <w:tcPr>
            <w:tcW w:w="840" w:type="dxa"/>
            <w:tcBorders>
              <w:tl2br w:val="nil"/>
              <w:tr2bl w:val="nil"/>
            </w:tcBorders>
            <w:vAlign w:val="center"/>
          </w:tcPr>
          <w:p>
            <w:pPr>
              <w:adjustRightInd w:val="0"/>
              <w:snapToGrid w:val="0"/>
              <w:spacing w:line="288" w:lineRule="auto"/>
              <w:jc w:val="center"/>
              <w:textAlignment w:val="center"/>
              <w:rPr>
                <w:b/>
                <w:bCs/>
                <w:kern w:val="28"/>
                <w:szCs w:val="21"/>
              </w:rPr>
            </w:pPr>
            <w:r>
              <w:rPr>
                <w:rStyle w:val="47"/>
                <w:rFonts w:ascii="Times New Roman" w:hAnsi="Times New Roman" w:eastAsia="宋体" w:cs="Times New Roman"/>
                <w:sz w:val="21"/>
                <w:szCs w:val="21"/>
              </w:rPr>
              <w:t>2021</w:t>
            </w:r>
          </w:p>
        </w:tc>
        <w:tc>
          <w:tcPr>
            <w:tcW w:w="972" w:type="dxa"/>
            <w:tcBorders>
              <w:tl2br w:val="nil"/>
              <w:tr2bl w:val="nil"/>
            </w:tcBorders>
            <w:vAlign w:val="center"/>
          </w:tcPr>
          <w:p>
            <w:pPr>
              <w:adjustRightInd w:val="0"/>
              <w:snapToGrid w:val="0"/>
              <w:spacing w:line="288" w:lineRule="auto"/>
              <w:jc w:val="center"/>
              <w:textAlignment w:val="center"/>
              <w:rPr>
                <w:kern w:val="28"/>
                <w:szCs w:val="21"/>
              </w:rPr>
            </w:pPr>
            <w:r>
              <w:rPr>
                <w:rStyle w:val="47"/>
                <w:rFonts w:hint="eastAsia" w:eastAsia="宋体" w:cs="Times New Roman"/>
                <w:sz w:val="21"/>
                <w:szCs w:val="21"/>
              </w:rPr>
              <w:t>104110</w:t>
            </w:r>
          </w:p>
        </w:tc>
        <w:tc>
          <w:tcPr>
            <w:tcW w:w="1212" w:type="dxa"/>
            <w:tcBorders>
              <w:tl2br w:val="nil"/>
              <w:tr2bl w:val="nil"/>
            </w:tcBorders>
            <w:vAlign w:val="center"/>
          </w:tcPr>
          <w:p>
            <w:pPr>
              <w:adjustRightInd w:val="0"/>
              <w:snapToGrid w:val="0"/>
              <w:spacing w:line="288" w:lineRule="auto"/>
              <w:jc w:val="center"/>
              <w:textAlignment w:val="center"/>
              <w:rPr>
                <w:kern w:val="28"/>
                <w:szCs w:val="21"/>
              </w:rPr>
            </w:pPr>
            <w:r>
              <w:rPr>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kern w:val="28"/>
                <w:szCs w:val="21"/>
              </w:rPr>
            </w:pPr>
            <w:r>
              <w:rPr>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kern w:val="28"/>
                <w:szCs w:val="21"/>
              </w:rPr>
            </w:pPr>
            <w:r>
              <w:rPr>
                <w:szCs w:val="21"/>
              </w:rPr>
              <w:t>118.</w:t>
            </w:r>
            <w:r>
              <w:rPr>
                <w:rStyle w:val="47"/>
                <w:rFonts w:hint="eastAsia" w:eastAsia="宋体" w:cs="Times New Roman"/>
                <w:sz w:val="21"/>
                <w:szCs w:val="21"/>
              </w:rPr>
              <w:t>69</w:t>
            </w:r>
          </w:p>
        </w:tc>
        <w:tc>
          <w:tcPr>
            <w:tcW w:w="1173" w:type="dxa"/>
            <w:tcBorders>
              <w:tl2br w:val="nil"/>
              <w:tr2bl w:val="nil"/>
            </w:tcBorders>
            <w:vAlign w:val="center"/>
          </w:tcPr>
          <w:p>
            <w:pPr>
              <w:adjustRightInd w:val="0"/>
              <w:snapToGrid w:val="0"/>
              <w:spacing w:line="240" w:lineRule="exact"/>
              <w:jc w:val="center"/>
              <w:textAlignment w:val="center"/>
              <w:rPr>
                <w:rStyle w:val="47"/>
                <w:rFonts w:hint="eastAsia" w:eastAsia="宋体" w:cs="Times New Roman"/>
                <w:sz w:val="21"/>
                <w:szCs w:val="21"/>
              </w:rPr>
            </w:pPr>
            <w:r>
              <w:rPr>
                <w:rStyle w:val="47"/>
                <w:rFonts w:hint="eastAsia" w:eastAsia="宋体" w:cs="Times New Roman"/>
                <w:sz w:val="21"/>
                <w:szCs w:val="21"/>
              </w:rPr>
              <w:t>4.33</w:t>
            </w:r>
          </w:p>
        </w:tc>
        <w:tc>
          <w:tcPr>
            <w:tcW w:w="1136" w:type="dxa"/>
            <w:tcBorders>
              <w:tl2br w:val="nil"/>
              <w:tr2bl w:val="nil"/>
            </w:tcBorders>
            <w:vAlign w:val="center"/>
          </w:tcPr>
          <w:p>
            <w:pPr>
              <w:adjustRightInd w:val="0"/>
              <w:snapToGrid w:val="0"/>
              <w:spacing w:line="288" w:lineRule="auto"/>
              <w:jc w:val="center"/>
              <w:textAlignment w:val="center"/>
              <w:rPr>
                <w:kern w:val="28"/>
                <w:szCs w:val="21"/>
              </w:rPr>
            </w:pPr>
            <w:r>
              <w:rPr>
                <w:rStyle w:val="47"/>
                <w:rFonts w:hint="eastAsia" w:eastAsia="宋体" w:cs="Times New Roman"/>
                <w:sz w:val="21"/>
                <w:szCs w:val="21"/>
              </w:rPr>
              <w:t>4</w:t>
            </w:r>
            <w:r>
              <w:rPr>
                <w:color w:val="000000"/>
                <w:kern w:val="0"/>
                <w:szCs w:val="21"/>
              </w:rPr>
              <w:t>.33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2</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2022</w:t>
            </w:r>
          </w:p>
        </w:tc>
        <w:tc>
          <w:tcPr>
            <w:tcW w:w="972"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104684</w:t>
            </w:r>
          </w:p>
        </w:tc>
        <w:tc>
          <w:tcPr>
            <w:tcW w:w="1212" w:type="dxa"/>
            <w:tcBorders>
              <w:tl2br w:val="nil"/>
              <w:tr2bl w:val="nil"/>
            </w:tcBorders>
            <w:vAlign w:val="center"/>
          </w:tcPr>
          <w:p>
            <w:pPr>
              <w:adjustRightInd w:val="0"/>
              <w:snapToGrid w:val="0"/>
              <w:spacing w:line="288" w:lineRule="auto"/>
              <w:jc w:val="center"/>
              <w:textAlignment w:val="center"/>
              <w:rPr>
                <w:szCs w:val="21"/>
              </w:rPr>
            </w:pPr>
            <w:r>
              <w:rPr>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119.34</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4.36</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8.69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3</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2023</w:t>
            </w:r>
          </w:p>
        </w:tc>
        <w:tc>
          <w:tcPr>
            <w:tcW w:w="972"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105261</w:t>
            </w:r>
          </w:p>
        </w:tc>
        <w:tc>
          <w:tcPr>
            <w:tcW w:w="1212" w:type="dxa"/>
            <w:tcBorders>
              <w:tl2br w:val="nil"/>
              <w:tr2bl w:val="nil"/>
            </w:tcBorders>
            <w:vAlign w:val="center"/>
          </w:tcPr>
          <w:p>
            <w:pPr>
              <w:adjustRightInd w:val="0"/>
              <w:snapToGrid w:val="0"/>
              <w:spacing w:line="288" w:lineRule="auto"/>
              <w:jc w:val="center"/>
              <w:textAlignment w:val="center"/>
              <w:rPr>
                <w:szCs w:val="21"/>
              </w:rPr>
            </w:pPr>
            <w:r>
              <w:rPr>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120.00</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4.38</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13.07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4</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2024</w:t>
            </w:r>
          </w:p>
        </w:tc>
        <w:tc>
          <w:tcPr>
            <w:tcW w:w="972"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105841</w:t>
            </w:r>
          </w:p>
        </w:tc>
        <w:tc>
          <w:tcPr>
            <w:tcW w:w="1212" w:type="dxa"/>
            <w:tcBorders>
              <w:tl2br w:val="nil"/>
              <w:tr2bl w:val="nil"/>
            </w:tcBorders>
            <w:vAlign w:val="center"/>
          </w:tcPr>
          <w:p>
            <w:pPr>
              <w:adjustRightInd w:val="0"/>
              <w:snapToGrid w:val="0"/>
              <w:spacing w:line="288" w:lineRule="auto"/>
              <w:jc w:val="center"/>
              <w:textAlignment w:val="center"/>
              <w:rPr>
                <w:szCs w:val="21"/>
              </w:rPr>
            </w:pPr>
            <w:r>
              <w:rPr>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120.66</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4.40</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17.47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5</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2025</w:t>
            </w:r>
          </w:p>
        </w:tc>
        <w:tc>
          <w:tcPr>
            <w:tcW w:w="972"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106424</w:t>
            </w:r>
          </w:p>
        </w:tc>
        <w:tc>
          <w:tcPr>
            <w:tcW w:w="1212" w:type="dxa"/>
            <w:tcBorders>
              <w:tl2br w:val="nil"/>
              <w:tr2bl w:val="nil"/>
            </w:tcBorders>
            <w:vAlign w:val="center"/>
          </w:tcPr>
          <w:p>
            <w:pPr>
              <w:adjustRightInd w:val="0"/>
              <w:snapToGrid w:val="0"/>
              <w:spacing w:line="288" w:lineRule="auto"/>
              <w:jc w:val="center"/>
              <w:textAlignment w:val="center"/>
              <w:rPr>
                <w:szCs w:val="21"/>
              </w:rPr>
            </w:pPr>
            <w:r>
              <w:rPr>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121.32</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4.43</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21.90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6</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2026</w:t>
            </w:r>
          </w:p>
        </w:tc>
        <w:tc>
          <w:tcPr>
            <w:tcW w:w="972"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107010</w:t>
            </w:r>
          </w:p>
        </w:tc>
        <w:tc>
          <w:tcPr>
            <w:tcW w:w="1212" w:type="dxa"/>
            <w:tcBorders>
              <w:tl2br w:val="nil"/>
              <w:tr2bl w:val="nil"/>
            </w:tcBorders>
            <w:vAlign w:val="center"/>
          </w:tcPr>
          <w:p>
            <w:pPr>
              <w:adjustRightInd w:val="0"/>
              <w:snapToGrid w:val="0"/>
              <w:spacing w:line="240" w:lineRule="exact"/>
              <w:jc w:val="center"/>
              <w:textAlignment w:val="center"/>
              <w:rPr>
                <w:rStyle w:val="47"/>
                <w:rFonts w:hint="eastAsia" w:eastAsia="宋体" w:cs="Times New Roman"/>
                <w:sz w:val="21"/>
                <w:szCs w:val="21"/>
              </w:rPr>
            </w:pPr>
            <w:r>
              <w:rPr>
                <w:rStyle w:val="47"/>
                <w:rFonts w:eastAsia="宋体" w:cs="Times New Roman"/>
                <w:sz w:val="21"/>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0.95</w:t>
            </w:r>
          </w:p>
        </w:tc>
        <w:tc>
          <w:tcPr>
            <w:tcW w:w="1392" w:type="dxa"/>
            <w:tcBorders>
              <w:tl2br w:val="nil"/>
              <w:tr2bl w:val="nil"/>
            </w:tcBorders>
            <w:vAlign w:val="center"/>
          </w:tcPr>
          <w:p>
            <w:pPr>
              <w:adjustRightInd w:val="0"/>
              <w:snapToGrid w:val="0"/>
              <w:spacing w:line="240" w:lineRule="exact"/>
              <w:jc w:val="center"/>
              <w:textAlignment w:val="center"/>
              <w:rPr>
                <w:rStyle w:val="47"/>
                <w:rFonts w:hint="eastAsia" w:eastAsia="宋体" w:cs="Times New Roman"/>
                <w:sz w:val="21"/>
                <w:szCs w:val="21"/>
              </w:rPr>
            </w:pPr>
            <w:r>
              <w:rPr>
                <w:rStyle w:val="47"/>
                <w:rFonts w:eastAsia="宋体" w:cs="Times New Roman"/>
                <w:sz w:val="21"/>
                <w:szCs w:val="21"/>
              </w:rPr>
              <w:t>121.99</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w:t>
            </w:r>
            <w:r>
              <w:rPr>
                <w:rStyle w:val="47"/>
                <w:rFonts w:eastAsia="宋体" w:cs="Times New Roman"/>
                <w:sz w:val="21"/>
                <w:szCs w:val="21"/>
              </w:rPr>
              <w:t>45</w:t>
            </w:r>
          </w:p>
        </w:tc>
        <w:tc>
          <w:tcPr>
            <w:tcW w:w="1136" w:type="dxa"/>
            <w:tcBorders>
              <w:tl2br w:val="nil"/>
              <w:tr2bl w:val="nil"/>
            </w:tcBorders>
            <w:vAlign w:val="center"/>
          </w:tcPr>
          <w:p>
            <w:pPr>
              <w:adjustRightInd w:val="0"/>
              <w:snapToGrid w:val="0"/>
              <w:spacing w:line="288" w:lineRule="auto"/>
              <w:jc w:val="center"/>
              <w:textAlignment w:val="center"/>
              <w:rPr>
                <w:szCs w:val="21"/>
              </w:rPr>
            </w:pPr>
            <w:r>
              <w:rPr>
                <w:rStyle w:val="47"/>
                <w:rFonts w:eastAsia="宋体" w:cs="Times New Roman"/>
                <w:sz w:val="21"/>
                <w:szCs w:val="21"/>
              </w:rPr>
              <w:t>26</w:t>
            </w:r>
            <w:r>
              <w:rPr>
                <w:color w:val="000000"/>
                <w:kern w:val="0"/>
                <w:szCs w:val="21"/>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7</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2027</w:t>
            </w:r>
          </w:p>
        </w:tc>
        <w:tc>
          <w:tcPr>
            <w:tcW w:w="972" w:type="dxa"/>
            <w:tcBorders>
              <w:tl2br w:val="nil"/>
              <w:tr2bl w:val="nil"/>
            </w:tcBorders>
            <w:vAlign w:val="center"/>
          </w:tcPr>
          <w:p>
            <w:pPr>
              <w:adjustRightInd w:val="0"/>
              <w:snapToGrid w:val="0"/>
              <w:spacing w:line="288" w:lineRule="auto"/>
              <w:jc w:val="center"/>
              <w:textAlignment w:val="center"/>
              <w:rPr>
                <w:szCs w:val="21"/>
              </w:rPr>
            </w:pPr>
            <w:r>
              <w:rPr>
                <w:szCs w:val="21"/>
              </w:rPr>
              <w:t>107600</w:t>
            </w:r>
          </w:p>
        </w:tc>
        <w:tc>
          <w:tcPr>
            <w:tcW w:w="1212" w:type="dxa"/>
            <w:tcBorders>
              <w:tl2br w:val="nil"/>
              <w:tr2bl w:val="nil"/>
            </w:tcBorders>
            <w:vAlign w:val="center"/>
          </w:tcPr>
          <w:p>
            <w:pPr>
              <w:adjustRightInd w:val="0"/>
              <w:snapToGrid w:val="0"/>
              <w:spacing w:line="288" w:lineRule="auto"/>
              <w:jc w:val="center"/>
              <w:textAlignment w:val="center"/>
              <w:rPr>
                <w:szCs w:val="21"/>
              </w:rPr>
            </w:pPr>
            <w:r>
              <w:rPr>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122.66</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4.48</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30.83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8</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2028</w:t>
            </w:r>
          </w:p>
        </w:tc>
        <w:tc>
          <w:tcPr>
            <w:tcW w:w="972" w:type="dxa"/>
            <w:tcBorders>
              <w:tl2br w:val="nil"/>
              <w:tr2bl w:val="nil"/>
            </w:tcBorders>
            <w:vAlign w:val="center"/>
          </w:tcPr>
          <w:p>
            <w:pPr>
              <w:adjustRightInd w:val="0"/>
              <w:snapToGrid w:val="0"/>
              <w:spacing w:line="288" w:lineRule="auto"/>
              <w:jc w:val="center"/>
              <w:textAlignment w:val="center"/>
              <w:rPr>
                <w:szCs w:val="21"/>
              </w:rPr>
            </w:pPr>
            <w:r>
              <w:rPr>
                <w:szCs w:val="21"/>
              </w:rPr>
              <w:t>108193</w:t>
            </w:r>
          </w:p>
        </w:tc>
        <w:tc>
          <w:tcPr>
            <w:tcW w:w="1212"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123.34</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4.50</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35.33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9</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2029</w:t>
            </w:r>
          </w:p>
        </w:tc>
        <w:tc>
          <w:tcPr>
            <w:tcW w:w="972" w:type="dxa"/>
            <w:tcBorders>
              <w:tl2br w:val="nil"/>
              <w:tr2bl w:val="nil"/>
            </w:tcBorders>
            <w:vAlign w:val="center"/>
          </w:tcPr>
          <w:p>
            <w:pPr>
              <w:adjustRightInd w:val="0"/>
              <w:snapToGrid w:val="0"/>
              <w:spacing w:line="288" w:lineRule="auto"/>
              <w:jc w:val="center"/>
              <w:textAlignment w:val="center"/>
              <w:rPr>
                <w:szCs w:val="21"/>
              </w:rPr>
            </w:pPr>
            <w:r>
              <w:rPr>
                <w:szCs w:val="21"/>
              </w:rPr>
              <w:t>108789</w:t>
            </w:r>
          </w:p>
        </w:tc>
        <w:tc>
          <w:tcPr>
            <w:tcW w:w="1212"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124.02</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4.53</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39.86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rStyle w:val="47"/>
                <w:rFonts w:ascii="Times New Roman" w:hAnsi="Times New Roman" w:eastAsia="宋体" w:cs="Times New Roman"/>
                <w:sz w:val="21"/>
                <w:szCs w:val="21"/>
              </w:rPr>
            </w:pPr>
            <w:r>
              <w:rPr>
                <w:rStyle w:val="47"/>
                <w:rFonts w:hint="eastAsia" w:ascii="Times New Roman" w:hAnsi="Times New Roman" w:eastAsia="宋体" w:cs="Times New Roman"/>
                <w:sz w:val="21"/>
                <w:szCs w:val="21"/>
              </w:rPr>
              <w:t>10</w:t>
            </w:r>
          </w:p>
        </w:tc>
        <w:tc>
          <w:tcPr>
            <w:tcW w:w="840" w:type="dxa"/>
            <w:tcBorders>
              <w:tl2br w:val="nil"/>
              <w:tr2bl w:val="nil"/>
            </w:tcBorders>
            <w:vAlign w:val="center"/>
          </w:tcPr>
          <w:p>
            <w:pPr>
              <w:adjustRightInd w:val="0"/>
              <w:snapToGrid w:val="0"/>
              <w:spacing w:line="288" w:lineRule="auto"/>
              <w:jc w:val="center"/>
              <w:textAlignment w:val="center"/>
              <w:rPr>
                <w:rStyle w:val="47"/>
                <w:rFonts w:ascii="Times New Roman" w:hAnsi="Times New Roman" w:eastAsia="宋体" w:cs="Times New Roman"/>
                <w:sz w:val="21"/>
                <w:szCs w:val="21"/>
              </w:rPr>
            </w:pPr>
            <w:r>
              <w:rPr>
                <w:rStyle w:val="47"/>
                <w:rFonts w:ascii="Times New Roman" w:hAnsi="Times New Roman" w:eastAsia="宋体" w:cs="Times New Roman"/>
                <w:sz w:val="21"/>
                <w:szCs w:val="21"/>
              </w:rPr>
              <w:t>2030</w:t>
            </w:r>
          </w:p>
        </w:tc>
        <w:tc>
          <w:tcPr>
            <w:tcW w:w="972" w:type="dxa"/>
            <w:tcBorders>
              <w:tl2br w:val="nil"/>
              <w:tr2bl w:val="nil"/>
            </w:tcBorders>
            <w:vAlign w:val="center"/>
          </w:tcPr>
          <w:p>
            <w:pPr>
              <w:adjustRightInd w:val="0"/>
              <w:snapToGrid w:val="0"/>
              <w:spacing w:line="288" w:lineRule="auto"/>
              <w:jc w:val="center"/>
              <w:textAlignment w:val="center"/>
              <w:rPr>
                <w:szCs w:val="21"/>
              </w:rPr>
            </w:pPr>
            <w:r>
              <w:rPr>
                <w:szCs w:val="21"/>
              </w:rPr>
              <w:t>109388</w:t>
            </w:r>
          </w:p>
        </w:tc>
        <w:tc>
          <w:tcPr>
            <w:tcW w:w="1212" w:type="dxa"/>
            <w:tcBorders>
              <w:tl2br w:val="nil"/>
              <w:tr2bl w:val="nil"/>
            </w:tcBorders>
            <w:vAlign w:val="center"/>
          </w:tcPr>
          <w:p>
            <w:pPr>
              <w:adjustRightInd w:val="0"/>
              <w:snapToGrid w:val="0"/>
              <w:spacing w:line="288" w:lineRule="auto"/>
              <w:jc w:val="center"/>
              <w:textAlignment w:val="center"/>
              <w:rPr>
                <w:color w:val="000000"/>
                <w:kern w:val="0"/>
                <w:szCs w:val="21"/>
              </w:rPr>
            </w:pPr>
            <w:r>
              <w:rPr>
                <w:color w:val="000000"/>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color w:val="000000"/>
                <w:kern w:val="0"/>
                <w:szCs w:val="21"/>
              </w:rPr>
            </w:pPr>
            <w:r>
              <w:rPr>
                <w:color w:val="000000"/>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124.70</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4.55</w:t>
            </w:r>
          </w:p>
        </w:tc>
        <w:tc>
          <w:tcPr>
            <w:tcW w:w="1136" w:type="dxa"/>
            <w:tcBorders>
              <w:tl2br w:val="nil"/>
              <w:tr2bl w:val="nil"/>
            </w:tcBorders>
            <w:vAlign w:val="center"/>
          </w:tcPr>
          <w:p>
            <w:pPr>
              <w:adjustRightInd w:val="0"/>
              <w:snapToGrid w:val="0"/>
              <w:spacing w:line="288" w:lineRule="auto"/>
              <w:jc w:val="center"/>
              <w:textAlignment w:val="center"/>
              <w:rPr>
                <w:color w:val="000000"/>
                <w:kern w:val="0"/>
                <w:szCs w:val="21"/>
              </w:rPr>
            </w:pPr>
            <w:r>
              <w:rPr>
                <w:color w:val="000000"/>
                <w:kern w:val="0"/>
                <w:szCs w:val="21"/>
              </w:rPr>
              <w:t>44.41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11</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2031</w:t>
            </w:r>
          </w:p>
        </w:tc>
        <w:tc>
          <w:tcPr>
            <w:tcW w:w="972" w:type="dxa"/>
            <w:tcBorders>
              <w:tl2br w:val="nil"/>
              <w:tr2bl w:val="nil"/>
            </w:tcBorders>
            <w:vAlign w:val="center"/>
          </w:tcPr>
          <w:p>
            <w:pPr>
              <w:adjustRightInd w:val="0"/>
              <w:snapToGrid w:val="0"/>
              <w:spacing w:line="288" w:lineRule="auto"/>
              <w:jc w:val="center"/>
              <w:textAlignment w:val="center"/>
              <w:rPr>
                <w:szCs w:val="21"/>
              </w:rPr>
            </w:pPr>
            <w:r>
              <w:rPr>
                <w:szCs w:val="21"/>
              </w:rPr>
              <w:t>109991</w:t>
            </w:r>
          </w:p>
        </w:tc>
        <w:tc>
          <w:tcPr>
            <w:tcW w:w="1212"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1.2</w:t>
            </w:r>
          </w:p>
        </w:tc>
        <w:tc>
          <w:tcPr>
            <w:tcW w:w="1188"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szCs w:val="21"/>
              </w:rPr>
              <w:t>125.39</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4.58</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48.99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606"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eastAsia="宋体" w:cs="Times New Roman"/>
                <w:sz w:val="21"/>
                <w:szCs w:val="21"/>
              </w:rPr>
              <w:t>12</w:t>
            </w:r>
          </w:p>
        </w:tc>
        <w:tc>
          <w:tcPr>
            <w:tcW w:w="840"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eastAsia="宋体" w:cs="Times New Roman"/>
                <w:sz w:val="21"/>
                <w:szCs w:val="21"/>
              </w:rPr>
              <w:t>2032</w:t>
            </w:r>
          </w:p>
        </w:tc>
        <w:tc>
          <w:tcPr>
            <w:tcW w:w="972"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eastAsia="宋体" w:cs="Times New Roman"/>
                <w:sz w:val="21"/>
                <w:szCs w:val="21"/>
              </w:rPr>
              <w:t>110597</w:t>
            </w:r>
          </w:p>
        </w:tc>
        <w:tc>
          <w:tcPr>
            <w:tcW w:w="1212" w:type="dxa"/>
            <w:tcBorders>
              <w:tl2br w:val="nil"/>
              <w:tr2bl w:val="nil"/>
            </w:tcBorders>
            <w:vAlign w:val="center"/>
          </w:tcPr>
          <w:p>
            <w:pPr>
              <w:adjustRightInd w:val="0"/>
              <w:snapToGrid w:val="0"/>
              <w:spacing w:line="240" w:lineRule="exact"/>
              <w:jc w:val="center"/>
              <w:textAlignment w:val="center"/>
              <w:rPr>
                <w:rStyle w:val="47"/>
                <w:rFonts w:hint="eastAsia" w:eastAsia="宋体" w:cs="Times New Roman"/>
                <w:sz w:val="21"/>
                <w:szCs w:val="21"/>
              </w:rPr>
            </w:pPr>
            <w:r>
              <w:rPr>
                <w:rStyle w:val="47"/>
                <w:rFonts w:hint="eastAsia" w:eastAsia="宋体" w:cs="Times New Roman"/>
                <w:sz w:val="21"/>
                <w:szCs w:val="21"/>
              </w:rPr>
              <w:t>1.2</w:t>
            </w:r>
          </w:p>
        </w:tc>
        <w:tc>
          <w:tcPr>
            <w:tcW w:w="1188" w:type="dxa"/>
            <w:tcBorders>
              <w:tl2br w:val="nil"/>
              <w:tr2bl w:val="nil"/>
            </w:tcBorders>
            <w:vAlign w:val="center"/>
          </w:tcPr>
          <w:p>
            <w:pPr>
              <w:adjustRightInd w:val="0"/>
              <w:snapToGrid w:val="0"/>
              <w:spacing w:line="240" w:lineRule="exact"/>
              <w:jc w:val="center"/>
              <w:textAlignment w:val="center"/>
              <w:rPr>
                <w:rStyle w:val="47"/>
                <w:rFonts w:hint="eastAsia" w:eastAsia="宋体" w:cs="Times New Roman"/>
                <w:sz w:val="21"/>
                <w:szCs w:val="21"/>
              </w:rPr>
            </w:pPr>
            <w:r>
              <w:rPr>
                <w:rStyle w:val="47"/>
                <w:rFonts w:hint="eastAsia" w:eastAsia="宋体" w:cs="Times New Roman"/>
                <w:sz w:val="21"/>
                <w:szCs w:val="21"/>
              </w:rPr>
              <w:t>0.95</w:t>
            </w:r>
          </w:p>
        </w:tc>
        <w:tc>
          <w:tcPr>
            <w:tcW w:w="1392"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eastAsia="宋体" w:cs="Times New Roman"/>
                <w:sz w:val="21"/>
                <w:szCs w:val="21"/>
              </w:rPr>
              <w:t>126</w:t>
            </w:r>
            <w:r>
              <w:rPr>
                <w:szCs w:val="21"/>
              </w:rPr>
              <w:t>.08</w:t>
            </w:r>
          </w:p>
        </w:tc>
        <w:tc>
          <w:tcPr>
            <w:tcW w:w="1173" w:type="dxa"/>
            <w:tcBorders>
              <w:tl2br w:val="nil"/>
              <w:tr2bl w:val="nil"/>
            </w:tcBorders>
            <w:vAlign w:val="center"/>
          </w:tcPr>
          <w:p>
            <w:pPr>
              <w:adjustRightInd w:val="0"/>
              <w:snapToGrid w:val="0"/>
              <w:spacing w:line="288" w:lineRule="auto"/>
              <w:jc w:val="center"/>
              <w:textAlignment w:val="center"/>
              <w:rPr>
                <w:szCs w:val="21"/>
              </w:rPr>
            </w:pPr>
            <w:r>
              <w:rPr>
                <w:szCs w:val="21"/>
              </w:rPr>
              <w:t>4.</w:t>
            </w:r>
            <w:r>
              <w:rPr>
                <w:rStyle w:val="47"/>
                <w:rFonts w:hint="eastAsia" w:eastAsia="宋体" w:cs="Times New Roman"/>
                <w:sz w:val="21"/>
                <w:szCs w:val="21"/>
              </w:rPr>
              <w:t>60</w:t>
            </w:r>
          </w:p>
        </w:tc>
        <w:tc>
          <w:tcPr>
            <w:tcW w:w="1136" w:type="dxa"/>
            <w:tcBorders>
              <w:tl2br w:val="nil"/>
              <w:tr2bl w:val="nil"/>
            </w:tcBorders>
            <w:vAlign w:val="center"/>
          </w:tcPr>
          <w:p>
            <w:pPr>
              <w:adjustRightInd w:val="0"/>
              <w:snapToGrid w:val="0"/>
              <w:spacing w:line="288" w:lineRule="auto"/>
              <w:jc w:val="center"/>
              <w:textAlignment w:val="center"/>
              <w:rPr>
                <w:szCs w:val="21"/>
              </w:rPr>
            </w:pPr>
            <w:r>
              <w:rPr>
                <w:color w:val="000000"/>
                <w:kern w:val="0"/>
                <w:szCs w:val="21"/>
              </w:rPr>
              <w:t>53</w:t>
            </w:r>
            <w:r>
              <w:rPr>
                <w:rStyle w:val="47"/>
                <w:rFonts w:hint="eastAsia" w:eastAsia="宋体" w:cs="Times New Roman"/>
                <w:sz w:val="21"/>
                <w:szCs w:val="21"/>
              </w:rPr>
              <w:t>.</w:t>
            </w:r>
            <w:r>
              <w:rPr>
                <w:color w:val="000000"/>
                <w:kern w:val="0"/>
                <w:szCs w:val="21"/>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9" w:hRule="exact"/>
          <w:jc w:val="center"/>
        </w:trPr>
        <w:tc>
          <w:tcPr>
            <w:tcW w:w="8519" w:type="dxa"/>
            <w:gridSpan w:val="8"/>
            <w:tcBorders>
              <w:tl2br w:val="nil"/>
              <w:tr2bl w:val="nil"/>
            </w:tcBorders>
          </w:tcPr>
          <w:p>
            <w:pPr>
              <w:pStyle w:val="63"/>
              <w:spacing w:line="288" w:lineRule="auto"/>
              <w:rPr>
                <w:szCs w:val="21"/>
              </w:rPr>
            </w:pPr>
            <w:r>
              <w:rPr>
                <w:rFonts w:hint="eastAsia"/>
                <w:b/>
                <w:bCs/>
                <w:szCs w:val="21"/>
              </w:rPr>
              <w:t>备注：1、规划人口在县城现住人口基础上叠加每年的人口增长数量，每年的人口增长数按近四年的人口平均增长率（本项目取5.51‰）进行估算；2、垃圾日产量及清运率取环卫部门提供的经验数据。</w:t>
            </w:r>
          </w:p>
        </w:tc>
      </w:tr>
    </w:tbl>
    <w:p>
      <w:pPr>
        <w:spacing w:line="500" w:lineRule="exact"/>
        <w:ind w:firstLine="482" w:firstLineChars="200"/>
        <w:rPr>
          <w:b/>
          <w:bCs/>
          <w:kern w:val="28"/>
          <w:sz w:val="24"/>
        </w:rPr>
      </w:pPr>
      <w:r>
        <w:rPr>
          <w:rFonts w:hint="eastAsia"/>
          <w:b/>
          <w:bCs/>
          <w:kern w:val="28"/>
          <w:sz w:val="24"/>
        </w:rPr>
        <w:t>2、场地库容规模确定</w:t>
      </w:r>
    </w:p>
    <w:p>
      <w:pPr>
        <w:spacing w:line="500" w:lineRule="exact"/>
        <w:ind w:firstLine="480" w:firstLineChars="200"/>
        <w:rPr>
          <w:kern w:val="28"/>
          <w:sz w:val="24"/>
        </w:rPr>
      </w:pPr>
      <w:r>
        <w:rPr>
          <w:rFonts w:hint="eastAsia"/>
          <w:kern w:val="28"/>
          <w:sz w:val="24"/>
        </w:rPr>
        <w:t>场地库容除服务年限、垃圾填埋量外，还与垃圾压实度、覆盖土方、堆体沉降比等因素有关。</w:t>
      </w:r>
    </w:p>
    <w:p>
      <w:pPr>
        <w:spacing w:line="500" w:lineRule="exact"/>
        <w:ind w:firstLine="482" w:firstLineChars="200"/>
        <w:rPr>
          <w:kern w:val="28"/>
          <w:sz w:val="24"/>
        </w:rPr>
      </w:pPr>
      <w:r>
        <w:rPr>
          <w:rFonts w:hint="eastAsia"/>
          <w:b/>
          <w:bCs/>
          <w:kern w:val="28"/>
          <w:sz w:val="24"/>
        </w:rPr>
        <w:t>垃圾压实密度</w:t>
      </w:r>
      <w:r>
        <w:rPr>
          <w:rFonts w:hint="eastAsia"/>
          <w:kern w:val="28"/>
          <w:sz w:val="24"/>
        </w:rPr>
        <w:t>：根据《生活垃圾卫生填埋处理技术规范》（GB50869-2013），垃圾作业过程中压实密度应大于600kg/m</w:t>
      </w:r>
      <w:r>
        <w:rPr>
          <w:rFonts w:hint="eastAsia"/>
          <w:kern w:val="28"/>
          <w:sz w:val="24"/>
          <w:vertAlign w:val="superscript"/>
        </w:rPr>
        <w:t>3</w:t>
      </w:r>
      <w:r>
        <w:rPr>
          <w:rFonts w:hint="eastAsia"/>
          <w:kern w:val="28"/>
          <w:sz w:val="24"/>
        </w:rPr>
        <w:t>。结合运行实际，本项目垃圾压实密度按850kg/m</w:t>
      </w:r>
      <w:r>
        <w:rPr>
          <w:rFonts w:hint="eastAsia"/>
          <w:kern w:val="28"/>
          <w:sz w:val="24"/>
          <w:vertAlign w:val="superscript"/>
        </w:rPr>
        <w:t>3</w:t>
      </w:r>
      <w:r>
        <w:rPr>
          <w:rFonts w:hint="eastAsia"/>
          <w:kern w:val="28"/>
          <w:sz w:val="24"/>
        </w:rPr>
        <w:t>计。</w:t>
      </w:r>
    </w:p>
    <w:p>
      <w:pPr>
        <w:spacing w:line="500" w:lineRule="exact"/>
        <w:ind w:firstLine="482" w:firstLineChars="200"/>
        <w:rPr>
          <w:kern w:val="28"/>
          <w:sz w:val="24"/>
        </w:rPr>
      </w:pPr>
      <w:r>
        <w:rPr>
          <w:rFonts w:hint="eastAsia"/>
          <w:b/>
          <w:bCs/>
          <w:kern w:val="28"/>
          <w:sz w:val="24"/>
        </w:rPr>
        <w:t>覆盖土方</w:t>
      </w:r>
      <w:r>
        <w:rPr>
          <w:rFonts w:hint="eastAsia"/>
          <w:kern w:val="28"/>
          <w:sz w:val="24"/>
        </w:rPr>
        <w:t>：根据《生活垃圾卫生填埋处理技术规范》（GB50869-2013），填埋场运行中应单元、分层作业，并做到日覆盖、中间覆盖和终场覆盖，</w:t>
      </w:r>
      <w:r>
        <w:rPr>
          <w:rFonts w:hint="eastAsia"/>
          <w:sz w:val="24"/>
        </w:rPr>
        <w:t>每层垃圾单元厚度宜为2～4m，</w:t>
      </w:r>
      <w:r>
        <w:rPr>
          <w:rFonts w:hint="eastAsia"/>
          <w:kern w:val="28"/>
          <w:sz w:val="24"/>
        </w:rPr>
        <w:t>日覆盖采用土覆盖，覆盖厚度宜为20～25cm，中间覆盖土厚度不宜小于30cm，终场覆盖层顶部植被土层厚度不宜小于50cm。</w:t>
      </w:r>
    </w:p>
    <w:p>
      <w:pPr>
        <w:spacing w:line="500" w:lineRule="exact"/>
        <w:ind w:firstLine="480" w:firstLineChars="200"/>
        <w:rPr>
          <w:kern w:val="28"/>
          <w:sz w:val="24"/>
        </w:rPr>
      </w:pPr>
      <w:r>
        <w:rPr>
          <w:rFonts w:hint="eastAsia"/>
          <w:kern w:val="28"/>
          <w:sz w:val="24"/>
        </w:rPr>
        <w:t>本项目终场覆盖层覆土总厚度按设计的100cm计，日覆盖和中间覆盖土体积合计按生活垃圾填埋量的9%计。</w:t>
      </w:r>
    </w:p>
    <w:p>
      <w:pPr>
        <w:spacing w:line="500" w:lineRule="exact"/>
        <w:ind w:firstLine="482" w:firstLineChars="200"/>
        <w:rPr>
          <w:kern w:val="28"/>
          <w:sz w:val="24"/>
        </w:rPr>
      </w:pPr>
      <w:r>
        <w:rPr>
          <w:rFonts w:hint="eastAsia"/>
          <w:b/>
          <w:bCs/>
          <w:kern w:val="28"/>
          <w:sz w:val="24"/>
        </w:rPr>
        <w:t>沉降比</w:t>
      </w:r>
      <w:r>
        <w:rPr>
          <w:rFonts w:hint="eastAsia"/>
          <w:kern w:val="28"/>
          <w:sz w:val="24"/>
        </w:rPr>
        <w:t>：城市生活垃圾属大孔隙松散材料，其填埋过程受堆体自重、机械压等将产生物理压缩变形，发生沉降，沉降比一般可达初始填埋厚度的5~30%。本项目场地生活垃圾沉降比按原始填埋体积的</w:t>
      </w:r>
      <w:r>
        <w:rPr>
          <w:rFonts w:hint="eastAsia"/>
          <w:color w:val="000000" w:themeColor="text1"/>
          <w:kern w:val="28"/>
          <w:sz w:val="24"/>
          <w14:textFill>
            <w14:solidFill>
              <w14:schemeClr w14:val="tx1"/>
            </w14:solidFill>
          </w14:textFill>
        </w:rPr>
        <w:t>20%计</w:t>
      </w:r>
      <w:r>
        <w:rPr>
          <w:rFonts w:hint="eastAsia"/>
          <w:kern w:val="28"/>
          <w:sz w:val="24"/>
        </w:rPr>
        <w:t>。</w:t>
      </w:r>
    </w:p>
    <w:p>
      <w:pPr>
        <w:spacing w:line="500" w:lineRule="exact"/>
        <w:ind w:firstLine="480" w:firstLineChars="200"/>
        <w:jc w:val="left"/>
        <w:rPr>
          <w:kern w:val="28"/>
          <w:sz w:val="24"/>
        </w:rPr>
      </w:pPr>
      <w:r>
        <w:rPr>
          <w:rFonts w:hint="eastAsia"/>
          <w:kern w:val="28"/>
          <w:sz w:val="24"/>
        </w:rPr>
        <w:t>项目场地库容估算情况详见下表3.2-5。经估算，项目场地库容确定为</w:t>
      </w:r>
      <w:r>
        <w:rPr>
          <w:rFonts w:hint="eastAsia"/>
          <w:sz w:val="24"/>
        </w:rPr>
        <w:t>60万m</w:t>
      </w:r>
      <w:r>
        <w:rPr>
          <w:rFonts w:hint="eastAsia"/>
          <w:sz w:val="24"/>
          <w:vertAlign w:val="superscript"/>
        </w:rPr>
        <w:t>3</w:t>
      </w:r>
      <w:r>
        <w:rPr>
          <w:rFonts w:hint="eastAsia"/>
          <w:sz w:val="24"/>
        </w:rPr>
        <w:t>。</w:t>
      </w:r>
    </w:p>
    <w:p>
      <w:pPr>
        <w:spacing w:line="500" w:lineRule="exact"/>
        <w:ind w:firstLine="482" w:firstLineChars="200"/>
        <w:jc w:val="center"/>
        <w:rPr>
          <w:b/>
          <w:bCs/>
          <w:kern w:val="28"/>
          <w:sz w:val="24"/>
        </w:rPr>
      </w:pPr>
      <w:r>
        <w:rPr>
          <w:b/>
          <w:bCs/>
          <w:kern w:val="28"/>
          <w:sz w:val="24"/>
        </w:rPr>
        <w:t>表3.</w:t>
      </w:r>
      <w:r>
        <w:rPr>
          <w:rFonts w:hint="eastAsia"/>
          <w:b/>
          <w:bCs/>
          <w:kern w:val="28"/>
          <w:sz w:val="24"/>
        </w:rPr>
        <w:t>2</w:t>
      </w:r>
      <w:r>
        <w:rPr>
          <w:b/>
          <w:bCs/>
          <w:kern w:val="28"/>
          <w:sz w:val="24"/>
        </w:rPr>
        <w:t>-</w:t>
      </w:r>
      <w:r>
        <w:rPr>
          <w:rFonts w:hint="eastAsia"/>
          <w:b/>
          <w:bCs/>
          <w:kern w:val="28"/>
          <w:sz w:val="24"/>
        </w:rPr>
        <w:t>5项目场地库容估算表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10"/>
        <w:gridCol w:w="1092"/>
        <w:gridCol w:w="984"/>
        <w:gridCol w:w="1212"/>
        <w:gridCol w:w="1272"/>
        <w:gridCol w:w="1056"/>
        <w:gridCol w:w="1080"/>
        <w:gridCol w:w="13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exact"/>
          <w:jc w:val="center"/>
        </w:trPr>
        <w:tc>
          <w:tcPr>
            <w:tcW w:w="510" w:type="dxa"/>
            <w:tcBorders>
              <w:tl2br w:val="nil"/>
              <w:tr2bl w:val="nil"/>
            </w:tcBorders>
            <w:vAlign w:val="center"/>
          </w:tcPr>
          <w:p>
            <w:pPr>
              <w:spacing w:line="240" w:lineRule="exact"/>
              <w:jc w:val="center"/>
              <w:rPr>
                <w:kern w:val="28"/>
                <w:szCs w:val="21"/>
              </w:rPr>
            </w:pPr>
            <w:r>
              <w:rPr>
                <w:rFonts w:hint="eastAsia"/>
                <w:color w:val="000000"/>
                <w:kern w:val="0"/>
                <w:szCs w:val="21"/>
              </w:rPr>
              <w:t>序号</w:t>
            </w:r>
          </w:p>
        </w:tc>
        <w:tc>
          <w:tcPr>
            <w:tcW w:w="1092" w:type="dxa"/>
            <w:tcBorders>
              <w:tl2br w:val="nil"/>
              <w:tr2bl w:val="nil"/>
            </w:tcBorders>
            <w:vAlign w:val="center"/>
          </w:tcPr>
          <w:p>
            <w:pPr>
              <w:spacing w:line="240" w:lineRule="exact"/>
              <w:jc w:val="center"/>
              <w:rPr>
                <w:kern w:val="28"/>
                <w:szCs w:val="21"/>
              </w:rPr>
            </w:pPr>
            <w:r>
              <w:rPr>
                <w:color w:val="000000"/>
                <w:kern w:val="0"/>
                <w:szCs w:val="21"/>
              </w:rPr>
              <w:t>年份</w:t>
            </w:r>
          </w:p>
        </w:tc>
        <w:tc>
          <w:tcPr>
            <w:tcW w:w="984" w:type="dxa"/>
            <w:tcBorders>
              <w:tl2br w:val="nil"/>
              <w:tr2bl w:val="nil"/>
            </w:tcBorders>
            <w:vAlign w:val="center"/>
          </w:tcPr>
          <w:p>
            <w:pPr>
              <w:spacing w:line="240" w:lineRule="exact"/>
              <w:jc w:val="center"/>
              <w:rPr>
                <w:kern w:val="28"/>
                <w:szCs w:val="21"/>
              </w:rPr>
            </w:pPr>
            <w:r>
              <w:rPr>
                <w:color w:val="000000"/>
                <w:kern w:val="0"/>
                <w:szCs w:val="21"/>
              </w:rPr>
              <w:t>垃圾年清运量（万t）</w:t>
            </w:r>
          </w:p>
        </w:tc>
        <w:tc>
          <w:tcPr>
            <w:tcW w:w="1212" w:type="dxa"/>
            <w:tcBorders>
              <w:tl2br w:val="nil"/>
              <w:tr2bl w:val="nil"/>
            </w:tcBorders>
            <w:vAlign w:val="center"/>
          </w:tcPr>
          <w:p>
            <w:pPr>
              <w:spacing w:line="240" w:lineRule="exact"/>
              <w:jc w:val="center"/>
              <w:rPr>
                <w:kern w:val="28"/>
                <w:szCs w:val="21"/>
              </w:rPr>
            </w:pPr>
            <w:r>
              <w:rPr>
                <w:color w:val="000000"/>
                <w:kern w:val="0"/>
                <w:szCs w:val="21"/>
              </w:rPr>
              <w:t>垃圾体积(万m</w:t>
            </w:r>
            <w:r>
              <w:rPr>
                <w:color w:val="000000"/>
                <w:kern w:val="0"/>
                <w:szCs w:val="21"/>
                <w:vertAlign w:val="superscript"/>
              </w:rPr>
              <w:t>3</w:t>
            </w:r>
            <w:r>
              <w:rPr>
                <w:color w:val="000000"/>
                <w:kern w:val="0"/>
                <w:szCs w:val="21"/>
              </w:rPr>
              <w:t>)</w:t>
            </w:r>
          </w:p>
        </w:tc>
        <w:tc>
          <w:tcPr>
            <w:tcW w:w="1272" w:type="dxa"/>
            <w:tcBorders>
              <w:tl2br w:val="nil"/>
              <w:tr2bl w:val="nil"/>
            </w:tcBorders>
            <w:vAlign w:val="center"/>
          </w:tcPr>
          <w:p>
            <w:pPr>
              <w:spacing w:line="240" w:lineRule="exact"/>
              <w:jc w:val="center"/>
              <w:rPr>
                <w:kern w:val="28"/>
                <w:szCs w:val="21"/>
              </w:rPr>
            </w:pPr>
            <w:r>
              <w:rPr>
                <w:color w:val="000000"/>
                <w:kern w:val="0"/>
                <w:szCs w:val="21"/>
              </w:rPr>
              <w:t>覆盖土体积(万m</w:t>
            </w:r>
            <w:r>
              <w:rPr>
                <w:color w:val="000000"/>
                <w:kern w:val="0"/>
                <w:szCs w:val="21"/>
                <w:vertAlign w:val="superscript"/>
              </w:rPr>
              <w:t>3</w:t>
            </w:r>
            <w:r>
              <w:rPr>
                <w:color w:val="000000"/>
                <w:kern w:val="0"/>
                <w:szCs w:val="21"/>
              </w:rPr>
              <w:t>)</w:t>
            </w:r>
          </w:p>
        </w:tc>
        <w:tc>
          <w:tcPr>
            <w:tcW w:w="1056" w:type="dxa"/>
            <w:tcBorders>
              <w:tl2br w:val="nil"/>
              <w:tr2bl w:val="nil"/>
            </w:tcBorders>
            <w:vAlign w:val="center"/>
          </w:tcPr>
          <w:p>
            <w:pPr>
              <w:spacing w:line="240" w:lineRule="exact"/>
              <w:jc w:val="center"/>
              <w:rPr>
                <w:kern w:val="28"/>
                <w:szCs w:val="21"/>
              </w:rPr>
            </w:pPr>
            <w:r>
              <w:rPr>
                <w:color w:val="000000"/>
                <w:kern w:val="0"/>
                <w:szCs w:val="21"/>
              </w:rPr>
              <w:t>沉降体积(万m</w:t>
            </w:r>
            <w:r>
              <w:rPr>
                <w:color w:val="000000"/>
                <w:kern w:val="0"/>
                <w:szCs w:val="21"/>
                <w:vertAlign w:val="superscript"/>
              </w:rPr>
              <w:t>3</w:t>
            </w:r>
            <w:r>
              <w:rPr>
                <w:color w:val="000000"/>
                <w:kern w:val="0"/>
                <w:szCs w:val="21"/>
              </w:rPr>
              <w:t>)</w:t>
            </w:r>
          </w:p>
        </w:tc>
        <w:tc>
          <w:tcPr>
            <w:tcW w:w="1080" w:type="dxa"/>
            <w:tcBorders>
              <w:tl2br w:val="nil"/>
              <w:tr2bl w:val="nil"/>
            </w:tcBorders>
            <w:vAlign w:val="center"/>
          </w:tcPr>
          <w:p>
            <w:pPr>
              <w:spacing w:line="240" w:lineRule="exact"/>
              <w:jc w:val="center"/>
              <w:rPr>
                <w:kern w:val="28"/>
                <w:szCs w:val="21"/>
              </w:rPr>
            </w:pPr>
            <w:r>
              <w:rPr>
                <w:color w:val="000000"/>
                <w:kern w:val="0"/>
                <w:szCs w:val="21"/>
              </w:rPr>
              <w:t>填埋体积(万m</w:t>
            </w:r>
            <w:r>
              <w:rPr>
                <w:color w:val="000000"/>
                <w:kern w:val="0"/>
                <w:szCs w:val="21"/>
                <w:vertAlign w:val="superscript"/>
              </w:rPr>
              <w:t>3</w:t>
            </w:r>
            <w:r>
              <w:rPr>
                <w:color w:val="000000"/>
                <w:kern w:val="0"/>
                <w:szCs w:val="21"/>
              </w:rPr>
              <w:t>)</w:t>
            </w:r>
          </w:p>
        </w:tc>
        <w:tc>
          <w:tcPr>
            <w:tcW w:w="1313" w:type="dxa"/>
            <w:tcBorders>
              <w:tl2br w:val="nil"/>
              <w:tr2bl w:val="nil"/>
            </w:tcBorders>
            <w:vAlign w:val="center"/>
          </w:tcPr>
          <w:p>
            <w:pPr>
              <w:spacing w:line="240" w:lineRule="exact"/>
              <w:jc w:val="center"/>
              <w:rPr>
                <w:kern w:val="28"/>
                <w:szCs w:val="21"/>
              </w:rPr>
            </w:pPr>
            <w:r>
              <w:rPr>
                <w:color w:val="000000"/>
                <w:kern w:val="0"/>
                <w:szCs w:val="21"/>
              </w:rPr>
              <w:t>历年积累体积(万m</w:t>
            </w:r>
            <w:r>
              <w:rPr>
                <w:color w:val="000000"/>
                <w:kern w:val="0"/>
                <w:szCs w:val="21"/>
                <w:vertAlign w:val="superscript"/>
              </w:rPr>
              <w:t>3</w:t>
            </w:r>
            <w:r>
              <w:rPr>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b/>
                <w:bCs/>
                <w:kern w:val="28"/>
                <w:szCs w:val="21"/>
              </w:rPr>
            </w:pPr>
            <w:r>
              <w:rPr>
                <w:color w:val="000000"/>
                <w:kern w:val="0"/>
                <w:szCs w:val="21"/>
              </w:rPr>
              <w:t>1</w:t>
            </w:r>
          </w:p>
        </w:tc>
        <w:tc>
          <w:tcPr>
            <w:tcW w:w="1092" w:type="dxa"/>
            <w:tcBorders>
              <w:tl2br w:val="nil"/>
              <w:tr2bl w:val="nil"/>
            </w:tcBorders>
            <w:vAlign w:val="center"/>
          </w:tcPr>
          <w:p>
            <w:pPr>
              <w:adjustRightInd w:val="0"/>
              <w:snapToGrid w:val="0"/>
              <w:spacing w:line="288" w:lineRule="auto"/>
              <w:jc w:val="center"/>
              <w:textAlignment w:val="center"/>
              <w:rPr>
                <w:b/>
                <w:bCs/>
                <w:kern w:val="28"/>
                <w:szCs w:val="21"/>
              </w:rPr>
            </w:pPr>
            <w:r>
              <w:rPr>
                <w:rStyle w:val="47"/>
                <w:rFonts w:ascii="Times New Roman" w:hAnsi="Times New Roman" w:eastAsia="宋体" w:cs="Times New Roman"/>
                <w:sz w:val="21"/>
                <w:szCs w:val="21"/>
              </w:rPr>
              <w:t>2021</w:t>
            </w:r>
          </w:p>
        </w:tc>
        <w:tc>
          <w:tcPr>
            <w:tcW w:w="984" w:type="dxa"/>
            <w:tcBorders>
              <w:tl2br w:val="nil"/>
              <w:tr2bl w:val="nil"/>
            </w:tcBorders>
            <w:vAlign w:val="center"/>
          </w:tcPr>
          <w:p>
            <w:pPr>
              <w:adjustRightInd w:val="0"/>
              <w:snapToGrid w:val="0"/>
              <w:spacing w:line="288" w:lineRule="auto"/>
              <w:jc w:val="center"/>
              <w:textAlignment w:val="center"/>
              <w:rPr>
                <w:kern w:val="28"/>
                <w:szCs w:val="21"/>
              </w:rPr>
            </w:pPr>
            <w:r>
              <w:rPr>
                <w:szCs w:val="21"/>
              </w:rPr>
              <w:t>4.33</w:t>
            </w:r>
          </w:p>
        </w:tc>
        <w:tc>
          <w:tcPr>
            <w:tcW w:w="1212" w:type="dxa"/>
            <w:tcBorders>
              <w:tl2br w:val="nil"/>
              <w:tr2bl w:val="nil"/>
            </w:tcBorders>
            <w:vAlign w:val="center"/>
          </w:tcPr>
          <w:p>
            <w:pPr>
              <w:spacing w:line="288" w:lineRule="auto"/>
              <w:jc w:val="center"/>
              <w:rPr>
                <w:kern w:val="28"/>
                <w:szCs w:val="21"/>
              </w:rPr>
            </w:pPr>
            <w:r>
              <w:rPr>
                <w:color w:val="000000"/>
                <w:kern w:val="0"/>
                <w:szCs w:val="21"/>
              </w:rPr>
              <w:t xml:space="preserve">5.09 </w:t>
            </w:r>
          </w:p>
        </w:tc>
        <w:tc>
          <w:tcPr>
            <w:tcW w:w="1272" w:type="dxa"/>
            <w:tcBorders>
              <w:tl2br w:val="nil"/>
              <w:tr2bl w:val="nil"/>
            </w:tcBorders>
            <w:vAlign w:val="center"/>
          </w:tcPr>
          <w:p>
            <w:pPr>
              <w:spacing w:line="288" w:lineRule="auto"/>
              <w:jc w:val="center"/>
              <w:rPr>
                <w:kern w:val="28"/>
                <w:szCs w:val="21"/>
              </w:rPr>
            </w:pPr>
            <w:r>
              <w:rPr>
                <w:rFonts w:hint="eastAsia"/>
                <w:color w:val="000000"/>
                <w:kern w:val="0"/>
                <w:szCs w:val="21"/>
              </w:rPr>
              <w:t>0.458</w:t>
            </w:r>
          </w:p>
        </w:tc>
        <w:tc>
          <w:tcPr>
            <w:tcW w:w="1056" w:type="dxa"/>
            <w:tcBorders>
              <w:tl2br w:val="nil"/>
              <w:tr2bl w:val="nil"/>
            </w:tcBorders>
            <w:vAlign w:val="center"/>
          </w:tcPr>
          <w:p>
            <w:pPr>
              <w:spacing w:line="288" w:lineRule="auto"/>
              <w:jc w:val="center"/>
              <w:rPr>
                <w:kern w:val="28"/>
                <w:szCs w:val="21"/>
              </w:rPr>
            </w:pPr>
            <w:r>
              <w:rPr>
                <w:color w:val="000000"/>
                <w:kern w:val="0"/>
                <w:szCs w:val="21"/>
              </w:rPr>
              <w:t xml:space="preserve">1.02 </w:t>
            </w:r>
          </w:p>
        </w:tc>
        <w:tc>
          <w:tcPr>
            <w:tcW w:w="1080" w:type="dxa"/>
            <w:tcBorders>
              <w:tl2br w:val="nil"/>
              <w:tr2bl w:val="nil"/>
            </w:tcBorders>
            <w:vAlign w:val="center"/>
          </w:tcPr>
          <w:p>
            <w:pPr>
              <w:spacing w:line="288" w:lineRule="auto"/>
              <w:jc w:val="center"/>
              <w:rPr>
                <w:rStyle w:val="47"/>
                <w:rFonts w:hint="eastAsia" w:eastAsia="宋体" w:cs="Times New Roman"/>
                <w:sz w:val="21"/>
                <w:szCs w:val="21"/>
              </w:rPr>
            </w:pPr>
            <w:r>
              <w:rPr>
                <w:rFonts w:hint="eastAsia"/>
                <w:color w:val="000000"/>
                <w:kern w:val="0"/>
                <w:szCs w:val="21"/>
              </w:rPr>
              <w:t>4.53</w:t>
            </w:r>
          </w:p>
        </w:tc>
        <w:tc>
          <w:tcPr>
            <w:tcW w:w="1313" w:type="dxa"/>
            <w:tcBorders>
              <w:tl2br w:val="nil"/>
              <w:tr2bl w:val="nil"/>
            </w:tcBorders>
            <w:vAlign w:val="center"/>
          </w:tcPr>
          <w:p>
            <w:pPr>
              <w:spacing w:line="288" w:lineRule="auto"/>
              <w:jc w:val="center"/>
              <w:rPr>
                <w:kern w:val="28"/>
                <w:szCs w:val="21"/>
              </w:rPr>
            </w:pPr>
            <w:r>
              <w:rPr>
                <w:rFonts w:hint="eastAsia"/>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2</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2022</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4.36</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5.13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0.462</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1.03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4.56</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9.09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3</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2023</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4.38</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5.15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0.464</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1.03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4.58</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13.67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4</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2024</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4.40</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5.18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0.466</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1.04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4.61</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18.28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5</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2025</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4.43</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5.21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0.469</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1.04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4.64</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22.92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6</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2026</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4.45</w:t>
            </w:r>
          </w:p>
        </w:tc>
        <w:tc>
          <w:tcPr>
            <w:tcW w:w="1212" w:type="dxa"/>
            <w:tcBorders>
              <w:tl2br w:val="nil"/>
              <w:tr2bl w:val="nil"/>
            </w:tcBorders>
            <w:vAlign w:val="center"/>
          </w:tcPr>
          <w:p>
            <w:pPr>
              <w:spacing w:line="288" w:lineRule="auto"/>
              <w:jc w:val="center"/>
              <w:rPr>
                <w:rStyle w:val="47"/>
                <w:rFonts w:hint="eastAsia" w:eastAsia="宋体" w:cs="Times New Roman"/>
                <w:sz w:val="21"/>
                <w:szCs w:val="21"/>
              </w:rPr>
            </w:pPr>
            <w:r>
              <w:rPr>
                <w:color w:val="000000"/>
                <w:kern w:val="0"/>
                <w:szCs w:val="21"/>
              </w:rPr>
              <w:t xml:space="preserve">5.24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0.472</w:t>
            </w:r>
          </w:p>
        </w:tc>
        <w:tc>
          <w:tcPr>
            <w:tcW w:w="1056" w:type="dxa"/>
            <w:tcBorders>
              <w:tl2br w:val="nil"/>
              <w:tr2bl w:val="nil"/>
            </w:tcBorders>
            <w:vAlign w:val="center"/>
          </w:tcPr>
          <w:p>
            <w:pPr>
              <w:spacing w:line="288" w:lineRule="auto"/>
              <w:jc w:val="center"/>
              <w:rPr>
                <w:rStyle w:val="47"/>
                <w:rFonts w:hint="eastAsia" w:eastAsia="宋体" w:cs="Times New Roman"/>
                <w:sz w:val="21"/>
                <w:szCs w:val="21"/>
              </w:rPr>
            </w:pPr>
            <w:r>
              <w:rPr>
                <w:color w:val="000000"/>
                <w:kern w:val="0"/>
                <w:szCs w:val="21"/>
              </w:rPr>
              <w:t xml:space="preserve">1.05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4.66</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27.58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7</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2027</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4.48</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5.27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0.474</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1.05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4.69</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32.27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8</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2028</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4.50</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5.29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0.476</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1.06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4.71</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36.98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9</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ascii="Times New Roman" w:hAnsi="Times New Roman" w:eastAsia="宋体" w:cs="Times New Roman"/>
                <w:sz w:val="21"/>
                <w:szCs w:val="21"/>
              </w:rPr>
              <w:t>2029</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4.53</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5.33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0.480</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1.07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4.74</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41.72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rStyle w:val="47"/>
                <w:rFonts w:ascii="Times New Roman" w:hAnsi="Times New Roman" w:eastAsia="宋体" w:cs="Times New Roman"/>
                <w:sz w:val="21"/>
                <w:szCs w:val="21"/>
              </w:rPr>
            </w:pPr>
            <w:r>
              <w:rPr>
                <w:color w:val="000000"/>
                <w:kern w:val="0"/>
                <w:szCs w:val="21"/>
              </w:rPr>
              <w:t>10</w:t>
            </w:r>
          </w:p>
        </w:tc>
        <w:tc>
          <w:tcPr>
            <w:tcW w:w="1092" w:type="dxa"/>
            <w:tcBorders>
              <w:tl2br w:val="nil"/>
              <w:tr2bl w:val="nil"/>
            </w:tcBorders>
            <w:vAlign w:val="center"/>
          </w:tcPr>
          <w:p>
            <w:pPr>
              <w:adjustRightInd w:val="0"/>
              <w:snapToGrid w:val="0"/>
              <w:spacing w:line="288" w:lineRule="auto"/>
              <w:jc w:val="center"/>
              <w:textAlignment w:val="center"/>
              <w:rPr>
                <w:rStyle w:val="47"/>
                <w:rFonts w:ascii="Times New Roman" w:hAnsi="Times New Roman" w:eastAsia="宋体" w:cs="Times New Roman"/>
                <w:sz w:val="21"/>
                <w:szCs w:val="21"/>
              </w:rPr>
            </w:pPr>
            <w:r>
              <w:rPr>
                <w:rStyle w:val="47"/>
                <w:rFonts w:ascii="Times New Roman" w:hAnsi="Times New Roman" w:eastAsia="宋体" w:cs="Times New Roman"/>
                <w:sz w:val="21"/>
                <w:szCs w:val="21"/>
              </w:rPr>
              <w:t>2030</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4.55</w:t>
            </w:r>
          </w:p>
        </w:tc>
        <w:tc>
          <w:tcPr>
            <w:tcW w:w="1212" w:type="dxa"/>
            <w:tcBorders>
              <w:tl2br w:val="nil"/>
              <w:tr2bl w:val="nil"/>
            </w:tcBorders>
            <w:vAlign w:val="center"/>
          </w:tcPr>
          <w:p>
            <w:pPr>
              <w:spacing w:line="288" w:lineRule="auto"/>
              <w:jc w:val="center"/>
              <w:rPr>
                <w:color w:val="000000"/>
                <w:kern w:val="0"/>
                <w:szCs w:val="21"/>
              </w:rPr>
            </w:pPr>
            <w:r>
              <w:rPr>
                <w:color w:val="000000"/>
                <w:kern w:val="0"/>
                <w:szCs w:val="21"/>
              </w:rPr>
              <w:t xml:space="preserve">5.35 </w:t>
            </w:r>
          </w:p>
        </w:tc>
        <w:tc>
          <w:tcPr>
            <w:tcW w:w="1272" w:type="dxa"/>
            <w:tcBorders>
              <w:tl2br w:val="nil"/>
              <w:tr2bl w:val="nil"/>
            </w:tcBorders>
            <w:vAlign w:val="center"/>
          </w:tcPr>
          <w:p>
            <w:pPr>
              <w:spacing w:line="288" w:lineRule="auto"/>
              <w:jc w:val="center"/>
              <w:rPr>
                <w:color w:val="000000"/>
                <w:kern w:val="0"/>
                <w:szCs w:val="21"/>
              </w:rPr>
            </w:pPr>
            <w:r>
              <w:rPr>
                <w:rFonts w:hint="eastAsia"/>
                <w:color w:val="000000"/>
                <w:kern w:val="0"/>
                <w:szCs w:val="21"/>
              </w:rPr>
              <w:t>0.482</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1.07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4.76</w:t>
            </w:r>
          </w:p>
        </w:tc>
        <w:tc>
          <w:tcPr>
            <w:tcW w:w="1313" w:type="dxa"/>
            <w:tcBorders>
              <w:tl2br w:val="nil"/>
              <w:tr2bl w:val="nil"/>
            </w:tcBorders>
            <w:vAlign w:val="center"/>
          </w:tcPr>
          <w:p>
            <w:pPr>
              <w:spacing w:line="288" w:lineRule="auto"/>
              <w:jc w:val="center"/>
              <w:rPr>
                <w:color w:val="000000"/>
                <w:kern w:val="0"/>
                <w:szCs w:val="21"/>
              </w:rPr>
            </w:pPr>
            <w:r>
              <w:rPr>
                <w:rFonts w:hint="eastAsia"/>
                <w:color w:val="000000"/>
                <w:kern w:val="0"/>
                <w:szCs w:val="21"/>
              </w:rPr>
              <w:t>46.48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11</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Style w:val="47"/>
                <w:rFonts w:hint="eastAsia" w:ascii="Times New Roman" w:hAnsi="Times New Roman" w:eastAsia="宋体" w:cs="Times New Roman"/>
                <w:sz w:val="21"/>
                <w:szCs w:val="21"/>
              </w:rPr>
              <w:t>2031</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4.58</w:t>
            </w:r>
          </w:p>
        </w:tc>
        <w:tc>
          <w:tcPr>
            <w:tcW w:w="1212" w:type="dxa"/>
            <w:tcBorders>
              <w:tl2br w:val="nil"/>
              <w:tr2bl w:val="nil"/>
            </w:tcBorders>
            <w:vAlign w:val="center"/>
          </w:tcPr>
          <w:p>
            <w:pPr>
              <w:spacing w:line="288" w:lineRule="auto"/>
              <w:jc w:val="center"/>
              <w:rPr>
                <w:szCs w:val="21"/>
              </w:rPr>
            </w:pPr>
            <w:r>
              <w:rPr>
                <w:color w:val="000000"/>
                <w:kern w:val="0"/>
                <w:szCs w:val="21"/>
              </w:rPr>
              <w:t xml:space="preserve">5.39 </w:t>
            </w:r>
          </w:p>
        </w:tc>
        <w:tc>
          <w:tcPr>
            <w:tcW w:w="1272" w:type="dxa"/>
            <w:tcBorders>
              <w:tl2br w:val="nil"/>
              <w:tr2bl w:val="nil"/>
            </w:tcBorders>
            <w:vAlign w:val="center"/>
          </w:tcPr>
          <w:p>
            <w:pPr>
              <w:spacing w:line="288" w:lineRule="auto"/>
              <w:jc w:val="center"/>
              <w:rPr>
                <w:szCs w:val="21"/>
              </w:rPr>
            </w:pPr>
            <w:r>
              <w:rPr>
                <w:rFonts w:hint="eastAsia"/>
                <w:color w:val="000000"/>
                <w:kern w:val="0"/>
                <w:szCs w:val="21"/>
              </w:rPr>
              <w:t>0.485</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1.08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4.80</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51.28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szCs w:val="21"/>
              </w:rPr>
            </w:pPr>
            <w:r>
              <w:rPr>
                <w:color w:val="000000"/>
                <w:kern w:val="0"/>
                <w:szCs w:val="21"/>
              </w:rPr>
              <w:t>12</w:t>
            </w:r>
          </w:p>
        </w:tc>
        <w:tc>
          <w:tcPr>
            <w:tcW w:w="1092" w:type="dxa"/>
            <w:tcBorders>
              <w:tl2br w:val="nil"/>
              <w:tr2bl w:val="nil"/>
            </w:tcBorders>
            <w:vAlign w:val="center"/>
          </w:tcPr>
          <w:p>
            <w:pPr>
              <w:adjustRightInd w:val="0"/>
              <w:snapToGrid w:val="0"/>
              <w:spacing w:line="288" w:lineRule="auto"/>
              <w:jc w:val="center"/>
              <w:textAlignment w:val="center"/>
              <w:rPr>
                <w:szCs w:val="21"/>
              </w:rPr>
            </w:pPr>
            <w:r>
              <w:rPr>
                <w:rFonts w:hint="eastAsia"/>
                <w:color w:val="000000"/>
                <w:szCs w:val="21"/>
              </w:rPr>
              <w:t>2032</w:t>
            </w:r>
          </w:p>
        </w:tc>
        <w:tc>
          <w:tcPr>
            <w:tcW w:w="984" w:type="dxa"/>
            <w:tcBorders>
              <w:tl2br w:val="nil"/>
              <w:tr2bl w:val="nil"/>
            </w:tcBorders>
            <w:vAlign w:val="center"/>
          </w:tcPr>
          <w:p>
            <w:pPr>
              <w:adjustRightInd w:val="0"/>
              <w:snapToGrid w:val="0"/>
              <w:spacing w:line="288" w:lineRule="auto"/>
              <w:jc w:val="center"/>
              <w:textAlignment w:val="center"/>
              <w:rPr>
                <w:szCs w:val="21"/>
              </w:rPr>
            </w:pPr>
            <w:r>
              <w:rPr>
                <w:szCs w:val="21"/>
              </w:rPr>
              <w:t>4.60</w:t>
            </w:r>
          </w:p>
        </w:tc>
        <w:tc>
          <w:tcPr>
            <w:tcW w:w="1212" w:type="dxa"/>
            <w:tcBorders>
              <w:tl2br w:val="nil"/>
              <w:tr2bl w:val="nil"/>
            </w:tcBorders>
            <w:vAlign w:val="center"/>
          </w:tcPr>
          <w:p>
            <w:pPr>
              <w:spacing w:line="288" w:lineRule="auto"/>
              <w:jc w:val="center"/>
              <w:rPr>
                <w:rStyle w:val="47"/>
                <w:rFonts w:hint="eastAsia" w:eastAsia="宋体" w:cs="Times New Roman"/>
                <w:sz w:val="21"/>
                <w:szCs w:val="21"/>
              </w:rPr>
            </w:pPr>
            <w:r>
              <w:rPr>
                <w:color w:val="000000"/>
                <w:kern w:val="0"/>
                <w:szCs w:val="21"/>
              </w:rPr>
              <w:t xml:space="preserve">5.41 </w:t>
            </w:r>
          </w:p>
        </w:tc>
        <w:tc>
          <w:tcPr>
            <w:tcW w:w="1272" w:type="dxa"/>
            <w:tcBorders>
              <w:tl2br w:val="nil"/>
              <w:tr2bl w:val="nil"/>
            </w:tcBorders>
            <w:vAlign w:val="center"/>
          </w:tcPr>
          <w:p>
            <w:pPr>
              <w:spacing w:line="288" w:lineRule="auto"/>
              <w:jc w:val="center"/>
              <w:rPr>
                <w:rStyle w:val="47"/>
                <w:rFonts w:hint="eastAsia" w:eastAsia="宋体" w:cs="Times New Roman"/>
                <w:sz w:val="21"/>
                <w:szCs w:val="21"/>
              </w:rPr>
            </w:pPr>
            <w:r>
              <w:rPr>
                <w:rFonts w:hint="eastAsia"/>
                <w:color w:val="000000"/>
                <w:kern w:val="0"/>
                <w:szCs w:val="21"/>
              </w:rPr>
              <w:t>0.487</w:t>
            </w:r>
          </w:p>
        </w:tc>
        <w:tc>
          <w:tcPr>
            <w:tcW w:w="1056" w:type="dxa"/>
            <w:tcBorders>
              <w:tl2br w:val="nil"/>
              <w:tr2bl w:val="nil"/>
            </w:tcBorders>
            <w:vAlign w:val="center"/>
          </w:tcPr>
          <w:p>
            <w:pPr>
              <w:spacing w:line="288" w:lineRule="auto"/>
              <w:jc w:val="center"/>
              <w:rPr>
                <w:szCs w:val="21"/>
              </w:rPr>
            </w:pPr>
            <w:r>
              <w:rPr>
                <w:color w:val="000000"/>
                <w:kern w:val="0"/>
                <w:szCs w:val="21"/>
              </w:rPr>
              <w:t xml:space="preserve">1.08 </w:t>
            </w:r>
          </w:p>
        </w:tc>
        <w:tc>
          <w:tcPr>
            <w:tcW w:w="1080" w:type="dxa"/>
            <w:tcBorders>
              <w:tl2br w:val="nil"/>
              <w:tr2bl w:val="nil"/>
            </w:tcBorders>
            <w:vAlign w:val="center"/>
          </w:tcPr>
          <w:p>
            <w:pPr>
              <w:spacing w:line="288" w:lineRule="auto"/>
              <w:jc w:val="center"/>
              <w:rPr>
                <w:szCs w:val="21"/>
              </w:rPr>
            </w:pPr>
            <w:r>
              <w:rPr>
                <w:rFonts w:hint="eastAsia"/>
                <w:color w:val="000000"/>
                <w:kern w:val="0"/>
                <w:szCs w:val="21"/>
              </w:rPr>
              <w:t>4.82</w:t>
            </w:r>
          </w:p>
        </w:tc>
        <w:tc>
          <w:tcPr>
            <w:tcW w:w="1313" w:type="dxa"/>
            <w:tcBorders>
              <w:tl2br w:val="nil"/>
              <w:tr2bl w:val="nil"/>
            </w:tcBorders>
            <w:vAlign w:val="center"/>
          </w:tcPr>
          <w:p>
            <w:pPr>
              <w:spacing w:line="288" w:lineRule="auto"/>
              <w:jc w:val="center"/>
              <w:rPr>
                <w:szCs w:val="21"/>
              </w:rPr>
            </w:pPr>
            <w:r>
              <w:rPr>
                <w:rFonts w:hint="eastAsia"/>
                <w:color w:val="000000"/>
                <w:kern w:val="0"/>
                <w:szCs w:val="21"/>
              </w:rPr>
              <w:t>56.10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10" w:type="dxa"/>
            <w:tcBorders>
              <w:tl2br w:val="nil"/>
              <w:tr2bl w:val="nil"/>
            </w:tcBorders>
            <w:vAlign w:val="center"/>
          </w:tcPr>
          <w:p>
            <w:pPr>
              <w:spacing w:line="288" w:lineRule="auto"/>
              <w:jc w:val="center"/>
              <w:rPr>
                <w:color w:val="000000"/>
                <w:kern w:val="0"/>
                <w:szCs w:val="21"/>
              </w:rPr>
            </w:pPr>
            <w:r>
              <w:rPr>
                <w:rFonts w:hint="eastAsia"/>
                <w:color w:val="000000"/>
                <w:kern w:val="0"/>
                <w:szCs w:val="21"/>
              </w:rPr>
              <w:t>13</w:t>
            </w:r>
          </w:p>
        </w:tc>
        <w:tc>
          <w:tcPr>
            <w:tcW w:w="1092" w:type="dxa"/>
            <w:tcBorders>
              <w:tl2br w:val="nil"/>
              <w:tr2bl w:val="nil"/>
            </w:tcBorders>
            <w:vAlign w:val="center"/>
          </w:tcPr>
          <w:p>
            <w:pPr>
              <w:adjustRightInd w:val="0"/>
              <w:snapToGrid w:val="0"/>
              <w:spacing w:line="240" w:lineRule="exact"/>
              <w:jc w:val="center"/>
              <w:textAlignment w:val="center"/>
              <w:rPr>
                <w:color w:val="000000"/>
                <w:szCs w:val="21"/>
              </w:rPr>
            </w:pPr>
            <w:r>
              <w:rPr>
                <w:rFonts w:hint="eastAsia"/>
                <w:color w:val="000000"/>
                <w:szCs w:val="21"/>
              </w:rPr>
              <w:t>封场覆土</w:t>
            </w:r>
          </w:p>
        </w:tc>
        <w:tc>
          <w:tcPr>
            <w:tcW w:w="984" w:type="dxa"/>
            <w:tcBorders>
              <w:tl2br w:val="nil"/>
              <w:tr2bl w:val="nil"/>
            </w:tcBorders>
            <w:vAlign w:val="center"/>
          </w:tcPr>
          <w:p>
            <w:pPr>
              <w:adjustRightInd w:val="0"/>
              <w:snapToGrid w:val="0"/>
              <w:spacing w:line="288" w:lineRule="auto"/>
              <w:jc w:val="center"/>
              <w:textAlignment w:val="center"/>
              <w:rPr>
                <w:szCs w:val="21"/>
              </w:rPr>
            </w:pPr>
          </w:p>
        </w:tc>
        <w:tc>
          <w:tcPr>
            <w:tcW w:w="1212" w:type="dxa"/>
            <w:tcBorders>
              <w:tl2br w:val="nil"/>
              <w:tr2bl w:val="nil"/>
            </w:tcBorders>
            <w:vAlign w:val="center"/>
          </w:tcPr>
          <w:p>
            <w:pPr>
              <w:spacing w:line="288" w:lineRule="auto"/>
              <w:jc w:val="center"/>
              <w:rPr>
                <w:color w:val="000000"/>
                <w:kern w:val="0"/>
                <w:szCs w:val="21"/>
              </w:rPr>
            </w:pPr>
          </w:p>
        </w:tc>
        <w:tc>
          <w:tcPr>
            <w:tcW w:w="1272" w:type="dxa"/>
            <w:tcBorders>
              <w:tl2br w:val="nil"/>
              <w:tr2bl w:val="nil"/>
            </w:tcBorders>
            <w:vAlign w:val="center"/>
          </w:tcPr>
          <w:p>
            <w:pPr>
              <w:spacing w:line="288" w:lineRule="auto"/>
              <w:jc w:val="center"/>
              <w:rPr>
                <w:color w:val="000000"/>
                <w:kern w:val="0"/>
                <w:szCs w:val="21"/>
              </w:rPr>
            </w:pPr>
          </w:p>
        </w:tc>
        <w:tc>
          <w:tcPr>
            <w:tcW w:w="1056" w:type="dxa"/>
            <w:tcBorders>
              <w:tl2br w:val="nil"/>
              <w:tr2bl w:val="nil"/>
            </w:tcBorders>
            <w:vAlign w:val="center"/>
          </w:tcPr>
          <w:p>
            <w:pPr>
              <w:spacing w:line="288" w:lineRule="auto"/>
              <w:jc w:val="center"/>
              <w:rPr>
                <w:color w:val="000000"/>
                <w:kern w:val="0"/>
                <w:szCs w:val="21"/>
              </w:rPr>
            </w:pPr>
          </w:p>
        </w:tc>
        <w:tc>
          <w:tcPr>
            <w:tcW w:w="1080" w:type="dxa"/>
            <w:tcBorders>
              <w:tl2br w:val="nil"/>
              <w:tr2bl w:val="nil"/>
            </w:tcBorders>
            <w:vAlign w:val="center"/>
          </w:tcPr>
          <w:p>
            <w:pPr>
              <w:spacing w:line="288" w:lineRule="auto"/>
              <w:jc w:val="center"/>
              <w:rPr>
                <w:color w:val="000000"/>
                <w:kern w:val="0"/>
                <w:szCs w:val="21"/>
              </w:rPr>
            </w:pPr>
            <w:r>
              <w:rPr>
                <w:rFonts w:hint="eastAsia"/>
                <w:color w:val="000000"/>
                <w:kern w:val="0"/>
                <w:szCs w:val="21"/>
              </w:rPr>
              <w:t>3.66</w:t>
            </w:r>
          </w:p>
        </w:tc>
        <w:tc>
          <w:tcPr>
            <w:tcW w:w="1313" w:type="dxa"/>
            <w:tcBorders>
              <w:tl2br w:val="nil"/>
              <w:tr2bl w:val="nil"/>
            </w:tcBorders>
            <w:vAlign w:val="center"/>
          </w:tcPr>
          <w:p>
            <w:pPr>
              <w:spacing w:line="288" w:lineRule="auto"/>
              <w:jc w:val="center"/>
              <w:rPr>
                <w:color w:val="000000"/>
                <w:kern w:val="0"/>
                <w:szCs w:val="21"/>
              </w:rPr>
            </w:pPr>
            <w:r>
              <w:rPr>
                <w:rFonts w:hint="eastAsia"/>
                <w:color w:val="000000"/>
                <w:kern w:val="0"/>
                <w:szCs w:val="21"/>
              </w:rPr>
              <w:t>59.76</w:t>
            </w:r>
          </w:p>
        </w:tc>
      </w:tr>
    </w:tbl>
    <w:p>
      <w:pPr>
        <w:pStyle w:val="6"/>
        <w:spacing w:line="480" w:lineRule="exact"/>
      </w:pPr>
      <w:r>
        <w:rPr>
          <w:rFonts w:hint="eastAsia"/>
        </w:rPr>
        <w:t>3</w:t>
      </w:r>
      <w:r>
        <w:t>.</w:t>
      </w:r>
      <w:r>
        <w:rPr>
          <w:rFonts w:hint="eastAsia"/>
        </w:rPr>
        <w:t>2</w:t>
      </w:r>
      <w:r>
        <w:t>.</w:t>
      </w:r>
      <w:r>
        <w:rPr>
          <w:rFonts w:hint="eastAsia"/>
        </w:rPr>
        <w:t>10运输路线及道路</w:t>
      </w:r>
    </w:p>
    <w:p>
      <w:pPr>
        <w:pStyle w:val="3"/>
        <w:spacing w:line="500" w:lineRule="exact"/>
        <w:ind w:firstLine="480" w:firstLineChars="200"/>
        <w:jc w:val="left"/>
        <w:rPr>
          <w:b/>
          <w:bCs w:val="0"/>
          <w:color w:val="auto"/>
          <w:sz w:val="24"/>
          <w:szCs w:val="24"/>
        </w:rPr>
      </w:pPr>
      <w:r>
        <w:rPr>
          <w:rFonts w:hint="eastAsia"/>
          <w:kern w:val="28"/>
          <w:sz w:val="24"/>
        </w:rPr>
        <w:t>垃圾运输车辆驶离县城后，沿县城西城路向北进入省道李东线（S325），然后在辛村东北处向东驶入本项目新建的进场道路，沿进场道路行驶约650m后即进入项目场地。项目区间运输路线主要为“县城西城路—省道李东线（S325）—进场道路”。</w:t>
      </w:r>
    </w:p>
    <w:p>
      <w:pPr>
        <w:pStyle w:val="6"/>
        <w:spacing w:line="480" w:lineRule="exact"/>
      </w:pPr>
      <w:r>
        <w:rPr>
          <w:rFonts w:hint="eastAsia"/>
        </w:rPr>
        <w:t>3</w:t>
      </w:r>
      <w:r>
        <w:t>.</w:t>
      </w:r>
      <w:r>
        <w:rPr>
          <w:rFonts w:hint="eastAsia"/>
        </w:rPr>
        <w:t>2</w:t>
      </w:r>
      <w:r>
        <w:t>.</w:t>
      </w:r>
      <w:r>
        <w:rPr>
          <w:rFonts w:hint="eastAsia"/>
        </w:rPr>
        <w:t>11填埋场主要工程建设方案</w:t>
      </w:r>
    </w:p>
    <w:p>
      <w:pPr>
        <w:spacing w:line="480" w:lineRule="exact"/>
        <w:ind w:firstLine="482" w:firstLineChars="200"/>
        <w:rPr>
          <w:b/>
          <w:bCs/>
          <w:sz w:val="24"/>
        </w:rPr>
      </w:pPr>
      <w:r>
        <w:rPr>
          <w:rFonts w:hint="eastAsia"/>
          <w:b/>
          <w:bCs/>
          <w:sz w:val="24"/>
        </w:rPr>
        <w:t>1、场地平整及清库工程</w:t>
      </w:r>
    </w:p>
    <w:p>
      <w:pPr>
        <w:spacing w:line="480" w:lineRule="exact"/>
        <w:ind w:firstLine="480" w:firstLineChars="200"/>
        <w:rPr>
          <w:sz w:val="24"/>
        </w:rPr>
      </w:pPr>
      <w:r>
        <w:rPr>
          <w:rFonts w:hint="eastAsia"/>
          <w:sz w:val="24"/>
        </w:rPr>
        <w:t>项目填埋区面积36600m</w:t>
      </w:r>
      <w:r>
        <w:rPr>
          <w:rFonts w:hint="eastAsia"/>
          <w:sz w:val="24"/>
          <w:vertAlign w:val="superscript"/>
        </w:rPr>
        <w:t>2</w:t>
      </w:r>
      <w:r>
        <w:rPr>
          <w:rFonts w:hint="eastAsia"/>
          <w:sz w:val="24"/>
        </w:rPr>
        <w:t>，设计为约170m×210m的矩形。根据防渗要求，项目场地平整包括竖向整平和横向整平，竖向整平是考虑到防渗膜的锚固需建设锚固平台，本项目设有一阶锚固平台；横向整平是为了便于场底渗沥液及库区内部雨水的收集导排，渗沥液导排方向整体设计为由南向北的流向，最终汇集于场地北侧的渗沥液提升井。项目场地平整主要包括以下要求：</w:t>
      </w:r>
    </w:p>
    <w:p>
      <w:pPr>
        <w:spacing w:line="480" w:lineRule="exact"/>
        <w:ind w:firstLine="480" w:firstLineChars="200"/>
        <w:rPr>
          <w:sz w:val="24"/>
        </w:rPr>
      </w:pPr>
      <w:r>
        <w:rPr>
          <w:rFonts w:hint="eastAsia"/>
          <w:sz w:val="24"/>
        </w:rPr>
        <w:t>①将不规则地势的土方清理平整，场底平整后无植被，用非表层土回填压实，填埋库区场底能满足垃圾填埋承载力要求。</w:t>
      </w:r>
    </w:p>
    <w:p>
      <w:pPr>
        <w:spacing w:line="480" w:lineRule="exact"/>
        <w:ind w:firstLine="480" w:firstLineChars="200"/>
        <w:rPr>
          <w:sz w:val="24"/>
        </w:rPr>
      </w:pPr>
      <w:r>
        <w:rPr>
          <w:rFonts w:hint="eastAsia"/>
          <w:sz w:val="24"/>
        </w:rPr>
        <w:t>②填埋区场底坡度自南坡向北，最终坡向渗沥液提升井，坡度约为2%，以利于场底渗沥液尽快导出。</w:t>
      </w:r>
    </w:p>
    <w:p>
      <w:pPr>
        <w:spacing w:line="480" w:lineRule="exact"/>
        <w:ind w:firstLine="480" w:firstLineChars="200"/>
        <w:rPr>
          <w:sz w:val="24"/>
        </w:rPr>
      </w:pPr>
      <w:r>
        <w:rPr>
          <w:rFonts w:hint="eastAsia"/>
          <w:sz w:val="24"/>
        </w:rPr>
        <w:t>③场底横坡以渗沥液主盲沟为主控制线，两边坡向中间，坡度为2%。</w:t>
      </w:r>
    </w:p>
    <w:p>
      <w:pPr>
        <w:spacing w:line="480" w:lineRule="exact"/>
        <w:ind w:firstLine="480" w:firstLineChars="200"/>
        <w:rPr>
          <w:sz w:val="24"/>
        </w:rPr>
      </w:pPr>
      <w:r>
        <w:rPr>
          <w:rFonts w:hint="eastAsia"/>
          <w:sz w:val="24"/>
        </w:rPr>
        <w:t>④土方回填：要求不得有树木、杂草、腐殖土、淤泥等有害杂质，填方基底无积水坑，构建平整坚实、无裂缝、无松土，坡面稳定过渡平缓，垂直深度25cm内无石块。</w:t>
      </w:r>
    </w:p>
    <w:p>
      <w:pPr>
        <w:spacing w:line="480" w:lineRule="exact"/>
        <w:ind w:firstLine="480" w:firstLineChars="200"/>
        <w:rPr>
          <w:sz w:val="24"/>
        </w:rPr>
      </w:pPr>
      <w:r>
        <w:rPr>
          <w:rFonts w:hint="eastAsia"/>
          <w:sz w:val="24"/>
        </w:rPr>
        <w:t>本项目填埋区开挖深约10m，场地平整及清库工程土方量产生量约23万m</w:t>
      </w:r>
      <w:r>
        <w:rPr>
          <w:rFonts w:hint="eastAsia"/>
          <w:sz w:val="24"/>
          <w:vertAlign w:val="superscript"/>
        </w:rPr>
        <w:t>3</w:t>
      </w:r>
      <w:r>
        <w:rPr>
          <w:rFonts w:hint="eastAsia"/>
          <w:sz w:val="24"/>
        </w:rPr>
        <w:t>。</w:t>
      </w:r>
    </w:p>
    <w:p>
      <w:pPr>
        <w:pStyle w:val="38"/>
        <w:spacing w:line="240" w:lineRule="auto"/>
        <w:ind w:firstLine="0" w:firstLineChars="0"/>
        <w:jc w:val="center"/>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drawing>
          <wp:inline distT="0" distB="0" distL="114300" distR="114300">
            <wp:extent cx="5055870" cy="1979930"/>
            <wp:effectExtent l="0" t="0" r="11430" b="1270"/>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44" cstate="print"/>
                    <a:stretch>
                      <a:fillRect/>
                    </a:stretch>
                  </pic:blipFill>
                  <pic:spPr>
                    <a:xfrm>
                      <a:off x="0" y="0"/>
                      <a:ext cx="5055870" cy="1979930"/>
                    </a:xfrm>
                    <a:prstGeom prst="rect">
                      <a:avLst/>
                    </a:prstGeom>
                  </pic:spPr>
                </pic:pic>
              </a:graphicData>
            </a:graphic>
          </wp:inline>
        </w:drawing>
      </w:r>
    </w:p>
    <w:p>
      <w:pPr>
        <w:pStyle w:val="38"/>
        <w:spacing w:line="240" w:lineRule="auto"/>
        <w:ind w:firstLine="0" w:firstLineChars="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项目场地剖面示意图（单位：mm）</w:t>
      </w:r>
    </w:p>
    <w:p>
      <w:pPr>
        <w:spacing w:line="480" w:lineRule="exact"/>
        <w:ind w:left="420" w:leftChars="200"/>
        <w:rPr>
          <w:b/>
          <w:bCs/>
          <w:sz w:val="24"/>
        </w:rPr>
      </w:pPr>
      <w:r>
        <w:rPr>
          <w:rFonts w:hint="eastAsia"/>
          <w:b/>
          <w:bCs/>
          <w:sz w:val="24"/>
        </w:rPr>
        <w:t>2、围合坝</w:t>
      </w:r>
    </w:p>
    <w:p>
      <w:pPr>
        <w:spacing w:line="480" w:lineRule="exact"/>
        <w:ind w:firstLine="480" w:firstLineChars="200"/>
        <w:rPr>
          <w:sz w:val="24"/>
        </w:rPr>
      </w:pPr>
      <w:r>
        <w:rPr>
          <w:sz w:val="24"/>
        </w:rPr>
        <w:t>围合坝是平原型填埋场中最主要的构筑物之一</w:t>
      </w:r>
      <w:r>
        <w:rPr>
          <w:rFonts w:hint="eastAsia"/>
          <w:sz w:val="24"/>
        </w:rPr>
        <w:t>，根据设计，项目围合坝采用碾压式土石坝，坝体主要由库区内黄土及粉质黏土填筑碾压构成，填筑干容重不小于1.55t/m</w:t>
      </w:r>
      <w:r>
        <w:rPr>
          <w:rFonts w:hint="eastAsia"/>
          <w:sz w:val="24"/>
          <w:vertAlign w:val="superscript"/>
        </w:rPr>
        <w:t>3</w:t>
      </w:r>
      <w:r>
        <w:rPr>
          <w:rFonts w:hint="eastAsia"/>
          <w:sz w:val="24"/>
        </w:rPr>
        <w:t>，坝顶设800mm×800mm的HDPE土工膜锚固沟，外侧面用干铺植草砖护坡，地基敷设100cm厚三七灰土垫层，垫层压实系数不小于0.96。</w:t>
      </w:r>
    </w:p>
    <w:p>
      <w:pPr>
        <w:jc w:val="center"/>
        <w:rPr>
          <w:sz w:val="24"/>
        </w:rPr>
      </w:pPr>
      <w:r>
        <w:rPr>
          <w:sz w:val="24"/>
        </w:rPr>
        <w:drawing>
          <wp:inline distT="0" distB="0" distL="114300" distR="114300">
            <wp:extent cx="4808220" cy="1800225"/>
            <wp:effectExtent l="0" t="0" r="11430" b="9525"/>
            <wp:docPr id="5" name="图片 5" descr="08垃圾填埋场断面图_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垃圾填埋场断面图_t3"/>
                    <pic:cNvPicPr>
                      <a:picLocks noChangeAspect="1"/>
                    </pic:cNvPicPr>
                  </pic:nvPicPr>
                  <pic:blipFill>
                    <a:blip r:embed="rId45" cstate="print"/>
                    <a:stretch>
                      <a:fillRect/>
                    </a:stretch>
                  </pic:blipFill>
                  <pic:spPr>
                    <a:xfrm>
                      <a:off x="0" y="0"/>
                      <a:ext cx="4808220" cy="1800225"/>
                    </a:xfrm>
                    <a:prstGeom prst="rect">
                      <a:avLst/>
                    </a:prstGeom>
                  </pic:spPr>
                </pic:pic>
              </a:graphicData>
            </a:graphic>
          </wp:inline>
        </w:drawing>
      </w:r>
    </w:p>
    <w:p>
      <w:pPr>
        <w:spacing w:line="300" w:lineRule="exact"/>
        <w:jc w:val="center"/>
        <w:rPr>
          <w:b/>
          <w:bCs/>
          <w:sz w:val="24"/>
        </w:rPr>
      </w:pPr>
      <w:r>
        <w:rPr>
          <w:rFonts w:hint="eastAsia"/>
          <w:b/>
          <w:bCs/>
          <w:sz w:val="24"/>
        </w:rPr>
        <w:t>围合坝剖面图（单位：mm）</w:t>
      </w:r>
    </w:p>
    <w:p>
      <w:pPr>
        <w:spacing w:line="500" w:lineRule="exact"/>
        <w:ind w:firstLine="482" w:firstLineChars="200"/>
        <w:rPr>
          <w:b/>
          <w:bCs/>
          <w:sz w:val="24"/>
        </w:rPr>
      </w:pPr>
      <w:r>
        <w:rPr>
          <w:rFonts w:hint="eastAsia"/>
          <w:b/>
          <w:bCs/>
          <w:sz w:val="24"/>
        </w:rPr>
        <w:t>3、防渗工程</w:t>
      </w:r>
    </w:p>
    <w:p>
      <w:pPr>
        <w:jc w:val="center"/>
        <w:rPr>
          <w:b/>
          <w:bCs/>
          <w:sz w:val="24"/>
        </w:rPr>
      </w:pPr>
      <w:r>
        <w:rPr>
          <w:b/>
          <w:bCs/>
          <w:sz w:val="24"/>
        </w:rPr>
        <w:drawing>
          <wp:inline distT="0" distB="0" distL="0" distR="0">
            <wp:extent cx="4908550" cy="3237865"/>
            <wp:effectExtent l="19050" t="0" r="6179" b="0"/>
            <wp:docPr id="1" name="图片 0" descr="无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无标题1.jpg"/>
                    <pic:cNvPicPr>
                      <a:picLocks noChangeAspect="1"/>
                    </pic:cNvPicPr>
                  </pic:nvPicPr>
                  <pic:blipFill>
                    <a:blip r:embed="rId46" cstate="print"/>
                    <a:stretch>
                      <a:fillRect/>
                    </a:stretch>
                  </pic:blipFill>
                  <pic:spPr>
                    <a:xfrm>
                      <a:off x="0" y="0"/>
                      <a:ext cx="4919178" cy="3244904"/>
                    </a:xfrm>
                    <a:prstGeom prst="rect">
                      <a:avLst/>
                    </a:prstGeom>
                  </pic:spPr>
                </pic:pic>
              </a:graphicData>
            </a:graphic>
          </wp:inline>
        </w:drawing>
      </w:r>
    </w:p>
    <w:p>
      <w:pPr>
        <w:pStyle w:val="10"/>
        <w:spacing w:line="300" w:lineRule="exact"/>
        <w:ind w:firstLine="0" w:firstLineChars="0"/>
        <w:jc w:val="center"/>
        <w:rPr>
          <w:b/>
          <w:bCs/>
          <w:sz w:val="24"/>
          <w:szCs w:val="24"/>
        </w:rPr>
      </w:pPr>
      <w:r>
        <w:rPr>
          <w:rFonts w:hint="eastAsia"/>
          <w:b/>
          <w:bCs/>
          <w:sz w:val="24"/>
          <w:szCs w:val="24"/>
        </w:rPr>
        <w:t>边坡及场底防渗结构断面图</w:t>
      </w:r>
    </w:p>
    <w:p>
      <w:pPr>
        <w:spacing w:line="300" w:lineRule="exact"/>
        <w:jc w:val="center"/>
        <w:rPr>
          <w:b/>
          <w:bCs/>
          <w:sz w:val="24"/>
        </w:rPr>
      </w:pPr>
    </w:p>
    <w:p>
      <w:pPr>
        <w:autoSpaceDE w:val="0"/>
        <w:autoSpaceDN w:val="0"/>
        <w:adjustRightInd w:val="0"/>
        <w:spacing w:line="500" w:lineRule="exact"/>
        <w:ind w:firstLine="480" w:firstLineChars="200"/>
        <w:jc w:val="left"/>
        <w:rPr>
          <w:sz w:val="24"/>
          <w:szCs w:val="28"/>
        </w:rPr>
      </w:pPr>
      <w:r>
        <w:rPr>
          <w:sz w:val="24"/>
        </w:rPr>
        <w:t>项目</w:t>
      </w:r>
      <w:r>
        <w:rPr>
          <w:rFonts w:hint="eastAsia"/>
          <w:sz w:val="24"/>
        </w:rPr>
        <w:t>防渗工程主要包括场底防渗和边坡防渗，其中场底防渗结构由下至上依次为300mm厚压实粘土+5000g/m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无纺土工布；边坡防渗结构由下至上依次为300mm厚压实粘土+5000g/m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无纺土工布+300mm厚袋装土缓冲保护层，上述防渗工程面积合计约5.4万m</w:t>
      </w:r>
      <w:r>
        <w:rPr>
          <w:rFonts w:hint="eastAsia"/>
          <w:sz w:val="24"/>
          <w:vertAlign w:val="superscript"/>
        </w:rPr>
        <w:t>2</w:t>
      </w:r>
      <w:r>
        <w:rPr>
          <w:sz w:val="24"/>
          <w:szCs w:val="28"/>
        </w:rPr>
        <w:t>。</w:t>
      </w:r>
    </w:p>
    <w:p>
      <w:pPr>
        <w:spacing w:line="500" w:lineRule="exact"/>
        <w:ind w:firstLine="482" w:firstLineChars="200"/>
        <w:rPr>
          <w:b/>
          <w:bCs/>
          <w:sz w:val="24"/>
        </w:rPr>
      </w:pPr>
      <w:r>
        <w:rPr>
          <w:rFonts w:hint="eastAsia"/>
          <w:b/>
          <w:bCs/>
          <w:sz w:val="24"/>
        </w:rPr>
        <w:t>4、渗滤液收集导排工程</w:t>
      </w:r>
    </w:p>
    <w:p>
      <w:pPr>
        <w:pStyle w:val="10"/>
        <w:spacing w:line="480" w:lineRule="exact"/>
        <w:ind w:firstLine="480"/>
        <w:jc w:val="left"/>
        <w:rPr>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2983865</wp:posOffset>
                </wp:positionH>
                <wp:positionV relativeFrom="paragraph">
                  <wp:posOffset>3198495</wp:posOffset>
                </wp:positionV>
                <wp:extent cx="2400300" cy="510540"/>
                <wp:effectExtent l="0" t="0" r="0" b="0"/>
                <wp:wrapNone/>
                <wp:docPr id="31" name="矩形 31"/>
                <wp:cNvGraphicFramePr/>
                <a:graphic xmlns:a="http://schemas.openxmlformats.org/drawingml/2006/main">
                  <a:graphicData uri="http://schemas.microsoft.com/office/word/2010/wordprocessingShape">
                    <wps:wsp>
                      <wps:cNvSpPr/>
                      <wps:spPr>
                        <a:xfrm>
                          <a:off x="4256405" y="8637270"/>
                          <a:ext cx="2400300" cy="510540"/>
                        </a:xfrm>
                        <a:prstGeom prst="rect">
                          <a:avLst/>
                        </a:prstGeom>
                        <a:noFill/>
                        <a:ln w="12700" cap="flat" cmpd="sng" algn="ctr">
                          <a:noFill/>
                          <a:prstDash val="solid"/>
                          <a:miter lim="800000"/>
                        </a:ln>
                        <a:effectLst/>
                      </wps:spPr>
                      <wps:txbx>
                        <w:txbxContent>
                          <w:p>
                            <w:pPr>
                              <w:pStyle w:val="10"/>
                              <w:spacing w:line="480" w:lineRule="exact"/>
                              <w:ind w:firstLine="0" w:firstLineChars="0"/>
                              <w:jc w:val="left"/>
                              <w:rPr>
                                <w:b/>
                                <w:bCs/>
                                <w:color w:val="000000" w:themeColor="text1"/>
                                <w:sz w:val="24"/>
                                <w:szCs w:val="24"/>
                                <w14:textFill>
                                  <w14:solidFill>
                                    <w14:schemeClr w14:val="tx1"/>
                                  </w14:solidFill>
                                </w14:textFill>
                              </w:rPr>
                            </w:pPr>
                            <w:r>
                              <w:rPr>
                                <w:rFonts w:hint="eastAsia"/>
                                <w:b/>
                                <w:bCs/>
                                <w:color w:val="000000" w:themeColor="text1"/>
                                <w:szCs w:val="21"/>
                                <w14:textFill>
                                  <w14:solidFill>
                                    <w14:schemeClr w14:val="tx1"/>
                                  </w14:solidFill>
                                </w14:textFill>
                              </w:rPr>
                              <w:t>渗滤液导排盲沟剖面图（单位：mm）</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95pt;margin-top:251.85pt;height:40.2pt;width:189pt;z-index:251667456;v-text-anchor:middle;mso-width-relative:page;mso-height-relative:page;" filled="f" stroked="f" coordsize="21600,21600" o:gfxdata="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IW2L+2QAAAAsBAAAPAAAAAAAAAAEAIAAAACIAAABkcnMvZG93&#10;bnJldi54bWxQSwECFAAUAAAACACHTuJAUS6IaXECAADJBAAADgAAAAAAAAABACAAAAAoAQAAZHJz&#10;L2Uyb0RvYy54bWxQSwUGAAAAAAYABgBZAQAACwYAAAAA&#10;">
                <v:fill on="f" focussize="0,0"/>
                <v:stroke on="f" weight="1pt" miterlimit="8" joinstyle="miter"/>
                <v:imagedata o:title=""/>
                <o:lock v:ext="edit" aspectratio="f"/>
                <v:textbox>
                  <w:txbxContent>
                    <w:p>
                      <w:pPr>
                        <w:pStyle w:val="10"/>
                        <w:spacing w:line="480" w:lineRule="exact"/>
                        <w:ind w:firstLine="0" w:firstLineChars="0"/>
                        <w:jc w:val="left"/>
                        <w:rPr>
                          <w:b/>
                          <w:bCs/>
                          <w:color w:val="000000" w:themeColor="text1"/>
                          <w:sz w:val="24"/>
                          <w:szCs w:val="24"/>
                          <w14:textFill>
                            <w14:solidFill>
                              <w14:schemeClr w14:val="tx1"/>
                            </w14:solidFill>
                          </w14:textFill>
                        </w:rPr>
                      </w:pPr>
                      <w:r>
                        <w:rPr>
                          <w:rFonts w:hint="eastAsia"/>
                          <w:b/>
                          <w:bCs/>
                          <w:color w:val="000000" w:themeColor="text1"/>
                          <w:szCs w:val="21"/>
                          <w14:textFill>
                            <w14:solidFill>
                              <w14:schemeClr w14:val="tx1"/>
                            </w14:solidFill>
                          </w14:textFill>
                        </w:rPr>
                        <w:t>渗滤液导排盲沟剖面图（单位：mm）</w:t>
                      </w:r>
                    </w:p>
                    <w:p/>
                  </w:txbxContent>
                </v:textbox>
              </v:rect>
            </w:pict>
          </mc:Fallback>
        </mc:AlternateContent>
      </w:r>
      <w:r>
        <w:rPr>
          <w:sz w:val="24"/>
          <w:szCs w:val="24"/>
        </w:rPr>
        <w:drawing>
          <wp:anchor distT="0" distB="0" distL="114300" distR="114300" simplePos="0" relativeHeight="251659264" behindDoc="0" locked="0" layoutInCell="1" allowOverlap="1">
            <wp:simplePos x="0" y="0"/>
            <wp:positionH relativeFrom="column">
              <wp:posOffset>3077210</wp:posOffset>
            </wp:positionH>
            <wp:positionV relativeFrom="paragraph">
              <wp:posOffset>1005840</wp:posOffset>
            </wp:positionV>
            <wp:extent cx="2175510" cy="2339975"/>
            <wp:effectExtent l="0" t="0" r="15240" b="3175"/>
            <wp:wrapSquare wrapText="bothSides"/>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47" cstate="print"/>
                    <a:stretch>
                      <a:fillRect/>
                    </a:stretch>
                  </pic:blipFill>
                  <pic:spPr>
                    <a:xfrm>
                      <a:off x="0" y="0"/>
                      <a:ext cx="2175510" cy="2339975"/>
                    </a:xfrm>
                    <a:prstGeom prst="rect">
                      <a:avLst/>
                    </a:prstGeom>
                  </pic:spPr>
                </pic:pic>
              </a:graphicData>
            </a:graphic>
          </wp:anchor>
        </w:drawing>
      </w:r>
      <w:r>
        <w:rPr>
          <w:rFonts w:hint="eastAsia"/>
          <w:sz w:val="24"/>
          <w:szCs w:val="24"/>
        </w:rPr>
        <w:t>项目渗滤液收集导排系统主要为场底防渗层上方的导流盲沟和导流层，导流层表面以2%坡度坡向导流盲沟，其中导流层从下至上为100mm厚粗砂+300mm厚碎石，厚度共约400mm，导流盲沟包括主盲沟和支盲沟，主盲沟设于库区中央，长约200m，终端穿越围合坝底部坡向渗滤液提升井和收集池，断面尺寸为倒梯形，上底宽3m，下底宽1m，深0.5m，内设300mmHDPE穿孔花管，支盲沟长度合计约730m，呈树枝状横向分布于主盲沟两侧并坡向主盲沟，断面尺寸为倒梯形，上底宽2.5m，下底宽1m，深0.5m，内设200mmHDPE穿孔花管，主盲沟和支盲沟内四周均敷设200g/m</w:t>
      </w:r>
      <w:r>
        <w:rPr>
          <w:rFonts w:hint="eastAsia"/>
          <w:sz w:val="24"/>
          <w:szCs w:val="24"/>
          <w:vertAlign w:val="superscript"/>
        </w:rPr>
        <w:t>2</w:t>
      </w:r>
      <w:r>
        <w:rPr>
          <w:rFonts w:hint="eastAsia"/>
          <w:sz w:val="24"/>
          <w:szCs w:val="24"/>
        </w:rPr>
        <w:t>土工覆盖膜，HDPE穿孔管外均</w:t>
      </w:r>
    </w:p>
    <w:p>
      <w:pPr>
        <w:pStyle w:val="10"/>
        <w:spacing w:line="480" w:lineRule="exact"/>
        <w:ind w:firstLine="0" w:firstLineChars="0"/>
        <w:jc w:val="left"/>
        <w:rPr>
          <w:sz w:val="24"/>
          <w:szCs w:val="24"/>
        </w:rPr>
      </w:pPr>
      <w:r>
        <w:rPr>
          <w:rFonts w:hint="eastAsia"/>
          <w:sz w:val="24"/>
          <w:szCs w:val="24"/>
        </w:rPr>
        <w:t>填充直径50-100mm碎石作为过滤层，填充碎石粒径由上至下逐渐加大。</w:t>
      </w:r>
    </w:p>
    <w:p>
      <w:pPr>
        <w:pStyle w:val="10"/>
        <w:spacing w:line="480" w:lineRule="exact"/>
        <w:ind w:firstLine="480"/>
        <w:jc w:val="left"/>
        <w:rPr>
          <w:sz w:val="24"/>
          <w:szCs w:val="24"/>
        </w:rPr>
      </w:pPr>
      <w:r>
        <w:rPr>
          <w:rFonts w:hint="eastAsia"/>
          <w:sz w:val="24"/>
          <w:szCs w:val="24"/>
        </w:rPr>
        <w:t>项目渗滤液导排盲沟平面布置情况详见附图3.2-2。</w:t>
      </w:r>
    </w:p>
    <w:p>
      <w:pPr>
        <w:spacing w:line="500" w:lineRule="exact"/>
        <w:ind w:firstLine="482" w:firstLineChars="200"/>
        <w:rPr>
          <w:b/>
          <w:bCs/>
          <w:sz w:val="24"/>
        </w:rPr>
      </w:pPr>
      <w:r>
        <w:rPr>
          <w:rFonts w:hint="eastAsia"/>
          <w:b/>
          <w:bCs/>
          <w:sz w:val="24"/>
        </w:rPr>
        <w:t>5、填埋气导排工程</w:t>
      </w:r>
    </w:p>
    <w:p>
      <w:pPr>
        <w:spacing w:line="500" w:lineRule="exact"/>
        <w:ind w:firstLine="480" w:firstLineChars="200"/>
        <w:rPr>
          <w:sz w:val="24"/>
        </w:rPr>
      </w:pPr>
      <w:r>
        <w:rPr>
          <w:rFonts w:hint="eastAsia"/>
          <w:sz w:val="24"/>
        </w:rPr>
        <w:t>项目库区设置竖向导气石笼井，石笼相互间距约为40m，</w:t>
      </w:r>
      <w:r>
        <w:rPr>
          <w:sz w:val="24"/>
        </w:rPr>
        <w:t>共设导气石笼井25座，初始高度均为3m，随垃圾填埋高度逐渐增加直至封场</w:t>
      </w:r>
      <w:r>
        <w:rPr>
          <w:rFonts w:hint="eastAsia"/>
          <w:sz w:val="24"/>
        </w:rPr>
        <w:t>。</w:t>
      </w:r>
    </w:p>
    <w:p>
      <w:pPr>
        <w:spacing w:line="500" w:lineRule="exact"/>
        <w:ind w:firstLine="480" w:firstLineChars="200"/>
        <w:rPr>
          <w:sz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3089910</wp:posOffset>
                </wp:positionH>
                <wp:positionV relativeFrom="paragraph">
                  <wp:posOffset>2317115</wp:posOffset>
                </wp:positionV>
                <wp:extent cx="2400300" cy="510540"/>
                <wp:effectExtent l="0" t="0" r="0" b="0"/>
                <wp:wrapNone/>
                <wp:docPr id="32" name="矩形 32"/>
                <wp:cNvGraphicFramePr/>
                <a:graphic xmlns:a="http://schemas.openxmlformats.org/drawingml/2006/main">
                  <a:graphicData uri="http://schemas.microsoft.com/office/word/2010/wordprocessingShape">
                    <wps:wsp>
                      <wps:cNvSpPr/>
                      <wps:spPr>
                        <a:xfrm>
                          <a:off x="0" y="0"/>
                          <a:ext cx="2400300" cy="510540"/>
                        </a:xfrm>
                        <a:prstGeom prst="rect">
                          <a:avLst/>
                        </a:prstGeom>
                        <a:noFill/>
                        <a:ln w="12700" cap="flat" cmpd="sng" algn="ctr">
                          <a:noFill/>
                          <a:prstDash val="solid"/>
                          <a:miter lim="800000"/>
                        </a:ln>
                        <a:effectLst/>
                      </wps:spPr>
                      <wps:txbx>
                        <w:txbxContent>
                          <w:p>
                            <w:pPr>
                              <w:jc w:val="center"/>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导气石笼井剖面图（单位：mm）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3pt;margin-top:182.45pt;height:40.2pt;width:189pt;z-index:251668480;v-text-anchor:middle;mso-width-relative:page;mso-height-relative:page;" filled="f" stroked="f" coordsize="21600,21600" o:gfxdata="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tjIj2AAAAAsBAAAPAAAAAAAAAAEAIAAAACIAAABkcnMvZG93bnJldi54bWxQSwEC&#10;FAAUAAAACACHTuJAba91y2YCAAC9BAAADgAAAAAAAAABACAAAAAnAQAAZHJzL2Uyb0RvYy54bWxQ&#10;SwUGAAAAAAYABgBZAQAA/wU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导气石笼井剖面图（单位：mm）</w:t>
                      </w:r>
                    </w:p>
                  </w:txbxContent>
                </v:textbox>
              </v:rect>
            </w:pict>
          </mc:Fallback>
        </mc:AlternateContent>
      </w:r>
      <w:r>
        <w:rPr>
          <w:sz w:val="24"/>
        </w:rPr>
        <w:drawing>
          <wp:anchor distT="0" distB="0" distL="114300" distR="114300" simplePos="0" relativeHeight="251660288" behindDoc="0" locked="0" layoutInCell="1" allowOverlap="1">
            <wp:simplePos x="0" y="0"/>
            <wp:positionH relativeFrom="column">
              <wp:posOffset>3112770</wp:posOffset>
            </wp:positionH>
            <wp:positionV relativeFrom="paragraph">
              <wp:posOffset>53340</wp:posOffset>
            </wp:positionV>
            <wp:extent cx="2162810" cy="2344420"/>
            <wp:effectExtent l="19050" t="0" r="8890" b="0"/>
            <wp:wrapSquare wrapText="bothSides"/>
            <wp:docPr id="45"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
                    <pic:cNvPicPr>
                      <a:picLocks noChangeAspect="1"/>
                    </pic:cNvPicPr>
                  </pic:nvPicPr>
                  <pic:blipFill>
                    <a:blip r:embed="rId48" cstate="print"/>
                    <a:stretch>
                      <a:fillRect/>
                    </a:stretch>
                  </pic:blipFill>
                  <pic:spPr>
                    <a:xfrm>
                      <a:off x="0" y="0"/>
                      <a:ext cx="2162810" cy="2344420"/>
                    </a:xfrm>
                    <a:prstGeom prst="rect">
                      <a:avLst/>
                    </a:prstGeom>
                  </pic:spPr>
                </pic:pic>
              </a:graphicData>
            </a:graphic>
          </wp:anchor>
        </w:drawing>
      </w:r>
      <w:r>
        <w:rPr>
          <w:rFonts w:hint="eastAsia"/>
          <w:sz w:val="24"/>
        </w:rPr>
        <w:t>单座导气石笼井</w:t>
      </w:r>
      <w:r>
        <w:rPr>
          <w:sz w:val="24"/>
        </w:rPr>
        <w:t>直径</w:t>
      </w:r>
      <w:r>
        <w:rPr>
          <w:rFonts w:hint="eastAsia"/>
          <w:sz w:val="24"/>
        </w:rPr>
        <w:t>均</w:t>
      </w:r>
      <w:r>
        <w:rPr>
          <w:sz w:val="24"/>
        </w:rPr>
        <w:t>为1m，由外到内</w:t>
      </w:r>
      <w:r>
        <w:rPr>
          <w:rFonts w:hint="eastAsia"/>
          <w:sz w:val="24"/>
        </w:rPr>
        <w:t>均</w:t>
      </w:r>
      <w:r>
        <w:rPr>
          <w:sz w:val="24"/>
        </w:rPr>
        <w:t>包括套管、砂砾石滤层、中心集气花管等，中心花管为直径200mm的聚丙烯中空管，</w:t>
      </w:r>
      <w:r>
        <w:rPr>
          <w:rFonts w:hint="eastAsia"/>
          <w:sz w:val="24"/>
        </w:rPr>
        <w:t>设置</w:t>
      </w:r>
      <w:r>
        <w:rPr>
          <w:sz w:val="24"/>
        </w:rPr>
        <w:t>排放口高出覆盖层1m</w:t>
      </w:r>
      <w:r>
        <w:rPr>
          <w:rFonts w:hint="eastAsia"/>
          <w:sz w:val="24"/>
        </w:rPr>
        <w:t>，场内初期填埋气产气量较小，有机物含量较低，可经导气石笼中心管进行放空处理。随着库区填埋，填埋气产生量和浓度也不断增加，应进行主动收集和处理，需增设</w:t>
      </w:r>
      <w:r>
        <w:rPr>
          <w:sz w:val="24"/>
        </w:rPr>
        <w:t>水平集气管</w:t>
      </w:r>
      <w:r>
        <w:rPr>
          <w:rFonts w:hint="eastAsia"/>
          <w:sz w:val="24"/>
        </w:rPr>
        <w:t>、</w:t>
      </w:r>
      <w:r>
        <w:rPr>
          <w:sz w:val="24"/>
        </w:rPr>
        <w:t>火炬式燃烧器</w:t>
      </w:r>
      <w:r>
        <w:rPr>
          <w:rFonts w:hint="eastAsia"/>
          <w:sz w:val="24"/>
        </w:rPr>
        <w:t>等主动收集处理设施，水平</w:t>
      </w:r>
      <w:r>
        <w:rPr>
          <w:sz w:val="24"/>
        </w:rPr>
        <w:t>集气管</w:t>
      </w:r>
      <w:r>
        <w:rPr>
          <w:rFonts w:hint="eastAsia"/>
          <w:sz w:val="24"/>
        </w:rPr>
        <w:t>为</w:t>
      </w:r>
      <w:r>
        <w:rPr>
          <w:sz w:val="24"/>
        </w:rPr>
        <w:t>直径100mm的HDPE水平支管</w:t>
      </w:r>
      <w:r>
        <w:rPr>
          <w:rFonts w:hint="eastAsia"/>
          <w:sz w:val="24"/>
        </w:rPr>
        <w:t>，布置在各导气石笼间，初始端连接各导气井中心花管，终端</w:t>
      </w:r>
      <w:r>
        <w:rPr>
          <w:sz w:val="24"/>
        </w:rPr>
        <w:t>连接抽气机房</w:t>
      </w:r>
      <w:r>
        <w:rPr>
          <w:rFonts w:hint="eastAsia"/>
          <w:sz w:val="24"/>
        </w:rPr>
        <w:t>，填埋气经</w:t>
      </w:r>
      <w:r>
        <w:rPr>
          <w:sz w:val="24"/>
        </w:rPr>
        <w:t>集气管、抽气机房主动收集后，送至火炬式燃烧器进行</w:t>
      </w:r>
      <w:r>
        <w:rPr>
          <w:rFonts w:hint="eastAsia"/>
          <w:sz w:val="24"/>
        </w:rPr>
        <w:t>燃烧处理。项目库区导气石笼井平面布置情况详见附图3.2-3。</w:t>
      </w:r>
    </w:p>
    <w:p>
      <w:pPr>
        <w:pStyle w:val="2"/>
        <w:spacing w:line="500" w:lineRule="exact"/>
        <w:ind w:firstLine="480" w:firstLineChars="200"/>
      </w:pPr>
      <w:r>
        <w:rPr>
          <w:rFonts w:hint="eastAsia" w:ascii="Times New Roman" w:hAnsi="Times New Roman" w:cs="Times New Roman"/>
          <w:color w:val="auto"/>
        </w:rPr>
        <w:t>另外，导气石笼底部与盲沟相连，还兼做垃圾渗滤液的垂直收集功能</w:t>
      </w:r>
      <w:r>
        <w:rPr>
          <w:rFonts w:hint="eastAsia" w:cs="Times New Roman"/>
          <w:color w:val="auto"/>
        </w:rPr>
        <w:t>。</w:t>
      </w:r>
    </w:p>
    <w:p>
      <w:pPr>
        <w:spacing w:line="500" w:lineRule="exact"/>
        <w:ind w:firstLine="482" w:firstLineChars="200"/>
        <w:rPr>
          <w:b/>
          <w:bCs/>
          <w:sz w:val="24"/>
        </w:rPr>
      </w:pPr>
      <w:r>
        <w:rPr>
          <w:rFonts w:hint="eastAsia"/>
          <w:b/>
          <w:bCs/>
          <w:sz w:val="24"/>
        </w:rPr>
        <w:t>6、封场工程</w:t>
      </w:r>
    </w:p>
    <w:p>
      <w:pPr>
        <w:spacing w:line="500" w:lineRule="exact"/>
        <w:ind w:firstLine="480" w:firstLineChars="200"/>
        <w:rPr>
          <w:sz w:val="24"/>
        </w:rPr>
      </w:pPr>
      <w:r>
        <w:rPr>
          <w:rFonts w:hint="eastAsia"/>
          <w:sz w:val="24"/>
        </w:rPr>
        <w:t>当垃圾填到最终设计标高时，应进行整个场顶的封场施工和覆盖，使场地尽快稳定和恢复。</w:t>
      </w:r>
    </w:p>
    <w:p>
      <w:pPr>
        <w:spacing w:line="500" w:lineRule="exact"/>
        <w:ind w:firstLine="480" w:firstLineChars="200"/>
        <w:rPr>
          <w:sz w:val="24"/>
        </w:rPr>
      </w:pPr>
      <w:r>
        <w:rPr>
          <w:rFonts w:hint="eastAsia"/>
          <w:sz w:val="24"/>
        </w:rPr>
        <w:t>①堆体平整：项目库深约10m，填埋作业从库底起由低到高、分层填埋、逐层升高，当填埋高度与围合坝持平之后，开始后退起坡，直至封场设计高程+1023m（即高出围合坝顶10m），坝顶以上堆体终场边坡设计坡度1:2，封场平台呈近似138m×174m的矩形，填埋体边坡应随时用粘土覆盖，并移植草皮进行护坡，堆体表面敷设封场排水沟，做好边坡排水，以防止雨水冲刷。</w:t>
      </w:r>
    </w:p>
    <w:p>
      <w:pPr>
        <w:spacing w:line="500" w:lineRule="exact"/>
        <w:ind w:firstLine="480" w:firstLineChars="200"/>
        <w:rPr>
          <w:sz w:val="24"/>
        </w:rPr>
      </w:pPr>
      <w:r>
        <w:rPr>
          <w:rFonts w:hint="eastAsia"/>
          <w:sz w:val="24"/>
        </w:rPr>
        <w:t>项目封场后场地平面情况详见附图3.2-4。</w:t>
      </w:r>
    </w:p>
    <w:p>
      <w:pPr>
        <w:spacing w:line="500" w:lineRule="exact"/>
        <w:ind w:firstLine="480" w:firstLineChars="200"/>
        <w:rPr>
          <w:sz w:val="24"/>
        </w:rPr>
      </w:pPr>
      <w:r>
        <w:rPr>
          <w:rFonts w:hint="eastAsia"/>
          <w:sz w:val="24"/>
        </w:rPr>
        <w:t>②终场覆盖</w:t>
      </w:r>
    </w:p>
    <w:p>
      <w:pPr>
        <w:spacing w:line="500" w:lineRule="exact"/>
        <w:ind w:firstLine="480" w:firstLineChars="200"/>
        <w:rPr>
          <w:sz w:val="24"/>
        </w:rPr>
      </w:pPr>
      <w:r>
        <w:rPr>
          <w:rFonts w:hint="eastAsia"/>
          <w:sz w:val="24"/>
        </w:rPr>
        <w:t>根据设计，项目封场覆盖结构各层由上至下依次为：</w:t>
      </w:r>
    </w:p>
    <w:p>
      <w:pPr>
        <w:pStyle w:val="2"/>
        <w:spacing w:line="500" w:lineRule="exact"/>
        <w:ind w:firstLine="482" w:firstLineChars="200"/>
      </w:pPr>
      <w:r>
        <w:rPr>
          <w:rFonts w:hint="eastAsia"/>
          <w:b/>
          <w:bCs/>
        </w:rPr>
        <w:t>表层土层</w:t>
      </w:r>
      <w:r>
        <w:rPr>
          <w:rFonts w:hint="eastAsia"/>
        </w:rPr>
        <w:t>：它的主要作用是覆盖整个修复的表面，为生态恢复之用，应采用自然土加表层营养土，厚度应根据种植植物的根系深浅确定，不宜小于50cm，其中营养土厚度不宜小于15cm。项目设计终场覆盖层覆土总厚度100cm。</w:t>
      </w:r>
    </w:p>
    <w:p>
      <w:pPr>
        <w:pStyle w:val="2"/>
        <w:spacing w:line="500" w:lineRule="exact"/>
        <w:ind w:firstLine="482" w:firstLineChars="200"/>
      </w:pPr>
      <w:r>
        <w:rPr>
          <w:rFonts w:hint="eastAsia"/>
          <w:b/>
          <w:bCs/>
        </w:rPr>
        <w:t>排水层</w:t>
      </w:r>
      <w:r>
        <w:rPr>
          <w:rFonts w:hint="eastAsia"/>
        </w:rPr>
        <w:t>：该层的主要作用是将来自上层的水进行收集导排，防止其在下面的防渗层上聚集，采用土工复合排水网。</w:t>
      </w:r>
    </w:p>
    <w:p>
      <w:pPr>
        <w:pStyle w:val="2"/>
        <w:spacing w:line="500" w:lineRule="exact"/>
        <w:ind w:firstLine="482" w:firstLineChars="200"/>
      </w:pPr>
      <w:r>
        <w:rPr>
          <w:rFonts w:hint="eastAsia"/>
          <w:b/>
          <w:bCs/>
        </w:rPr>
        <w:t>防渗层</w:t>
      </w:r>
      <w:r>
        <w:rPr>
          <w:rFonts w:hint="eastAsia"/>
        </w:rPr>
        <w:t>：该层的主要作用是防止来自上层渗入的雨水进入下面的垃圾堆体，从而产生更多的垃圾渗滤液，采用2.0mm厚的HDPE复合衬层。</w:t>
      </w:r>
    </w:p>
    <w:p>
      <w:pPr>
        <w:pStyle w:val="2"/>
        <w:spacing w:line="500" w:lineRule="exact"/>
        <w:ind w:firstLine="482" w:firstLineChars="200"/>
      </w:pPr>
      <w:r>
        <w:rPr>
          <w:rFonts w:hint="eastAsia"/>
          <w:b/>
          <w:bCs/>
        </w:rPr>
        <w:t>膜下保护层</w:t>
      </w:r>
      <w:r>
        <w:rPr>
          <w:rFonts w:hint="eastAsia"/>
        </w:rPr>
        <w:t>：在防渗膜下敷设30c</w:t>
      </w:r>
      <w:r>
        <w:t>m</w:t>
      </w:r>
      <w:r>
        <w:rPr>
          <w:rFonts w:hint="eastAsia"/>
        </w:rPr>
        <w:t>厚的粘土层，其主要作用是保护防渗系统，避免下层排气层的损害。</w:t>
      </w:r>
    </w:p>
    <w:p>
      <w:pPr>
        <w:spacing w:line="500" w:lineRule="exact"/>
        <w:ind w:firstLine="482" w:firstLineChars="200"/>
        <w:rPr>
          <w:sz w:val="24"/>
        </w:rPr>
      </w:pPr>
      <w:r>
        <w:rPr>
          <w:rFonts w:hint="eastAsia"/>
          <w:b/>
          <w:bCs/>
          <w:sz w:val="24"/>
        </w:rPr>
        <w:t>排气层</w:t>
      </w:r>
      <w:r>
        <w:rPr>
          <w:rFonts w:hint="eastAsia"/>
          <w:sz w:val="24"/>
        </w:rPr>
        <w:t>：它的主要作用是导排垃圾堆体在厌氧条件下降解发酵产生的填埋气体，采用粒径20～40mm的河卵石填充。</w:t>
      </w:r>
    </w:p>
    <w:p>
      <w:pPr>
        <w:spacing w:line="500" w:lineRule="exact"/>
        <w:ind w:firstLine="480" w:firstLineChars="200"/>
        <w:rPr>
          <w:sz w:val="24"/>
        </w:rPr>
      </w:pPr>
      <w:r>
        <w:rPr>
          <w:rFonts w:hint="eastAsia"/>
          <w:sz w:val="24"/>
        </w:rPr>
        <w:t>项目场地最终封场结构可能会因气候、场地用途等因素发生变化，但均必须满足《生活垃圾卫生填埋处理技术规范》(GB50869-2013)、《生活垃圾填埋场封场技术规范》(GB51220-2017)、《生活垃圾填埋场污染控制标准》(GB16889-2008)等标准中的相关要求。</w:t>
      </w:r>
    </w:p>
    <w:p>
      <w:pPr>
        <w:pStyle w:val="6"/>
        <w:spacing w:line="480" w:lineRule="exact"/>
      </w:pPr>
      <w:r>
        <w:rPr>
          <w:rFonts w:hint="eastAsia"/>
        </w:rPr>
        <w:t>3</w:t>
      </w:r>
      <w:r>
        <w:t>.</w:t>
      </w:r>
      <w:r>
        <w:rPr>
          <w:rFonts w:hint="eastAsia"/>
        </w:rPr>
        <w:t>2</w:t>
      </w:r>
      <w:r>
        <w:t>.</w:t>
      </w:r>
      <w:r>
        <w:rPr>
          <w:rFonts w:hint="eastAsia"/>
        </w:rPr>
        <w:t>12土石方平衡</w:t>
      </w:r>
    </w:p>
    <w:p>
      <w:pPr>
        <w:spacing w:line="500" w:lineRule="exact"/>
        <w:ind w:firstLine="480" w:firstLineChars="200"/>
        <w:rPr>
          <w:sz w:val="24"/>
        </w:rPr>
      </w:pPr>
      <w:r>
        <w:rPr>
          <w:rFonts w:hint="eastAsia"/>
          <w:sz w:val="24"/>
        </w:rPr>
        <w:t>本项目施工已结束，施工阶段因场地平整及清库等产生遗留多余弃土约22万m</w:t>
      </w:r>
      <w:r>
        <w:rPr>
          <w:rFonts w:hint="eastAsia"/>
          <w:sz w:val="24"/>
          <w:vertAlign w:val="superscript"/>
        </w:rPr>
        <w:t>3</w:t>
      </w:r>
      <w:r>
        <w:rPr>
          <w:rFonts w:hint="eastAsia"/>
          <w:sz w:val="24"/>
        </w:rPr>
        <w:t>，目前在项目场内西南角空地设临时堆场暂存。</w:t>
      </w:r>
    </w:p>
    <w:p>
      <w:pPr>
        <w:spacing w:line="500" w:lineRule="exact"/>
        <w:ind w:firstLine="480" w:firstLineChars="200"/>
        <w:rPr>
          <w:sz w:val="24"/>
        </w:rPr>
      </w:pPr>
      <w:r>
        <w:rPr>
          <w:rFonts w:hint="eastAsia"/>
          <w:sz w:val="24"/>
        </w:rPr>
        <w:t>项目填埋作业过程中需覆盖土约5.675万m</w:t>
      </w:r>
      <w:r>
        <w:rPr>
          <w:rFonts w:hint="eastAsia"/>
          <w:sz w:val="24"/>
          <w:vertAlign w:val="superscript"/>
        </w:rPr>
        <w:t>3</w:t>
      </w:r>
      <w:r>
        <w:rPr>
          <w:rFonts w:hint="eastAsia"/>
          <w:sz w:val="24"/>
        </w:rPr>
        <w:t>，封场后需覆盖土约3.66万m</w:t>
      </w:r>
      <w:r>
        <w:rPr>
          <w:rFonts w:hint="eastAsia"/>
          <w:sz w:val="24"/>
          <w:vertAlign w:val="superscript"/>
        </w:rPr>
        <w:t>3</w:t>
      </w:r>
      <w:r>
        <w:rPr>
          <w:rFonts w:hint="eastAsia"/>
          <w:sz w:val="24"/>
        </w:rPr>
        <w:t>，合计约9.335万m</w:t>
      </w:r>
      <w:r>
        <w:rPr>
          <w:rFonts w:hint="eastAsia"/>
          <w:sz w:val="24"/>
          <w:vertAlign w:val="superscript"/>
        </w:rPr>
        <w:t>3</w:t>
      </w:r>
      <w:r>
        <w:rPr>
          <w:rFonts w:hint="eastAsia"/>
          <w:sz w:val="24"/>
        </w:rPr>
        <w:t>，该部分土方不再另外取土，全部利用施工阶段遗留弃土，综合利用后施工阶段弃土还剩余约12.665万m</w:t>
      </w:r>
      <w:r>
        <w:rPr>
          <w:rFonts w:hint="eastAsia"/>
          <w:sz w:val="24"/>
          <w:vertAlign w:val="superscript"/>
        </w:rPr>
        <w:t>3</w:t>
      </w:r>
      <w:r>
        <w:rPr>
          <w:rFonts w:hint="eastAsia"/>
          <w:sz w:val="24"/>
        </w:rPr>
        <w:t>，由壶关县住房和城乡建设管理局进行综合调配。</w:t>
      </w:r>
    </w:p>
    <w:p>
      <w:pPr>
        <w:spacing w:line="500" w:lineRule="exact"/>
        <w:ind w:firstLine="480" w:firstLineChars="200"/>
        <w:rPr>
          <w:sz w:val="24"/>
        </w:rPr>
      </w:pPr>
      <w:r>
        <w:rPr>
          <w:rFonts w:hint="eastAsia"/>
          <w:sz w:val="24"/>
        </w:rPr>
        <w:t>因需综合利用于场地填埋及封场覆土，项目临时弃土场在场内堆存时间较长，针对上述临时堆土场，评价提出以下要求：土堆应按要求进行整形，对边坡及坡脚进行防护，周边设临时截排水沟，土堆表面进行覆盖或播撒草籽以预防扬尘及水土流失等。</w:t>
      </w:r>
    </w:p>
    <w:p>
      <w:pPr>
        <w:jc w:val="center"/>
        <w:rPr>
          <w:sz w:val="24"/>
        </w:rPr>
      </w:pPr>
      <w:r>
        <w:rPr>
          <w:sz w:val="24"/>
        </w:rPr>
        <w:drawing>
          <wp:inline distT="0" distB="0" distL="114300" distR="114300">
            <wp:extent cx="4857750" cy="2162175"/>
            <wp:effectExtent l="0" t="0" r="0" b="9525"/>
            <wp:docPr id="54" name="图片 54" descr="土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土方"/>
                    <pic:cNvPicPr>
                      <a:picLocks noChangeAspect="1"/>
                    </pic:cNvPicPr>
                  </pic:nvPicPr>
                  <pic:blipFill>
                    <a:blip r:embed="rId49" cstate="print"/>
                    <a:stretch>
                      <a:fillRect/>
                    </a:stretch>
                  </pic:blipFill>
                  <pic:spPr>
                    <a:xfrm>
                      <a:off x="0" y="0"/>
                      <a:ext cx="4857750" cy="2162175"/>
                    </a:xfrm>
                    <a:prstGeom prst="rect">
                      <a:avLst/>
                    </a:prstGeom>
                  </pic:spPr>
                </pic:pic>
              </a:graphicData>
            </a:graphic>
          </wp:inline>
        </w:drawing>
      </w:r>
    </w:p>
    <w:p>
      <w:pPr>
        <w:spacing w:line="500" w:lineRule="exact"/>
        <w:jc w:val="center"/>
        <w:rPr>
          <w:b/>
          <w:bCs/>
          <w:sz w:val="24"/>
        </w:rPr>
      </w:pPr>
      <w:r>
        <w:rPr>
          <w:rFonts w:hint="eastAsia"/>
          <w:b/>
          <w:bCs/>
          <w:sz w:val="24"/>
        </w:rPr>
        <w:t>项目土石方平衡图</w:t>
      </w:r>
    </w:p>
    <w:p>
      <w:pPr>
        <w:pStyle w:val="6"/>
        <w:spacing w:line="480" w:lineRule="exact"/>
      </w:pPr>
      <w:r>
        <w:rPr>
          <w:rFonts w:hint="eastAsia"/>
        </w:rPr>
        <w:t>3</w:t>
      </w:r>
      <w:r>
        <w:t>.</w:t>
      </w:r>
      <w:r>
        <w:rPr>
          <w:rFonts w:hint="eastAsia"/>
        </w:rPr>
        <w:t>2</w:t>
      </w:r>
      <w:r>
        <w:t>.</w:t>
      </w:r>
      <w:r>
        <w:rPr>
          <w:rFonts w:hint="eastAsia"/>
        </w:rPr>
        <w:t>13主要生产设备和构筑物</w:t>
      </w:r>
    </w:p>
    <w:p>
      <w:pPr>
        <w:spacing w:line="500" w:lineRule="exact"/>
        <w:ind w:firstLine="482" w:firstLineChars="200"/>
        <w:rPr>
          <w:b/>
          <w:bCs/>
          <w:sz w:val="24"/>
        </w:rPr>
      </w:pPr>
      <w:r>
        <w:rPr>
          <w:rFonts w:hint="eastAsia"/>
          <w:b/>
          <w:bCs/>
          <w:sz w:val="24"/>
        </w:rPr>
        <w:t>1、主要生产设备</w:t>
      </w:r>
    </w:p>
    <w:p>
      <w:pPr>
        <w:spacing w:line="500" w:lineRule="exact"/>
        <w:ind w:firstLine="480" w:firstLineChars="200"/>
        <w:rPr>
          <w:sz w:val="24"/>
        </w:rPr>
      </w:pPr>
      <w:r>
        <w:rPr>
          <w:rFonts w:hint="eastAsia"/>
          <w:sz w:val="24"/>
        </w:rPr>
        <w:t>项目生产设备主要包括填埋作业机械、渗滤液处理车间“预处理+两级DTRO反渗透”处理设施以及填埋气燃烧报警装备等，具体详见下表。</w:t>
      </w:r>
    </w:p>
    <w:p>
      <w:pPr>
        <w:spacing w:line="500" w:lineRule="exact"/>
        <w:jc w:val="center"/>
        <w:rPr>
          <w:b/>
          <w:sz w:val="24"/>
        </w:rPr>
      </w:pPr>
    </w:p>
    <w:p>
      <w:pPr>
        <w:spacing w:line="500" w:lineRule="exact"/>
        <w:jc w:val="center"/>
        <w:rPr>
          <w:b/>
          <w:sz w:val="24"/>
        </w:rPr>
      </w:pPr>
    </w:p>
    <w:p>
      <w:pPr>
        <w:spacing w:line="500" w:lineRule="exact"/>
        <w:jc w:val="center"/>
        <w:rPr>
          <w:b/>
          <w:sz w:val="24"/>
        </w:rPr>
      </w:pPr>
    </w:p>
    <w:p>
      <w:pPr>
        <w:spacing w:line="500" w:lineRule="exact"/>
        <w:jc w:val="center"/>
        <w:rPr>
          <w:b/>
          <w:sz w:val="24"/>
        </w:rPr>
      </w:pPr>
      <w:r>
        <w:rPr>
          <w:b/>
          <w:sz w:val="24"/>
        </w:rPr>
        <w:t>表</w:t>
      </w:r>
      <w:r>
        <w:rPr>
          <w:rFonts w:hint="eastAsia"/>
          <w:b/>
          <w:sz w:val="24"/>
        </w:rPr>
        <w:t>3.2-6项目主要生产设备一览表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8"/>
        <w:gridCol w:w="630"/>
        <w:gridCol w:w="947"/>
        <w:gridCol w:w="1932"/>
        <w:gridCol w:w="646"/>
        <w:gridCol w:w="693"/>
        <w:gridCol w:w="2348"/>
        <w:gridCol w:w="6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序号</w:t>
            </w:r>
          </w:p>
        </w:tc>
        <w:tc>
          <w:tcPr>
            <w:tcW w:w="925" w:type="pct"/>
            <w:gridSpan w:val="2"/>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对象</w:t>
            </w:r>
          </w:p>
        </w:tc>
        <w:tc>
          <w:tcPr>
            <w:tcW w:w="1133"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szCs w:val="21"/>
              </w:rPr>
              <w:t>名称</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单位</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szCs w:val="21"/>
              </w:rPr>
              <w:t>数量</w:t>
            </w:r>
          </w:p>
        </w:tc>
        <w:tc>
          <w:tcPr>
            <w:tcW w:w="137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规格</w:t>
            </w:r>
            <w:r>
              <w:rPr>
                <w:szCs w:val="21"/>
              </w:rPr>
              <w:t>型号</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w:t>
            </w:r>
          </w:p>
        </w:tc>
        <w:tc>
          <w:tcPr>
            <w:tcW w:w="925" w:type="pct"/>
            <w:gridSpan w:val="2"/>
            <w:vMerge w:val="restart"/>
            <w:tcBorders>
              <w:tl2br w:val="nil"/>
              <w:tr2bl w:val="nil"/>
            </w:tcBorders>
            <w:shd w:val="clear" w:color="auto" w:fill="auto"/>
            <w:vAlign w:val="center"/>
          </w:tcPr>
          <w:p>
            <w:pPr>
              <w:tabs>
                <w:tab w:val="left" w:pos="1980"/>
              </w:tabs>
              <w:spacing w:line="360" w:lineRule="exact"/>
              <w:jc w:val="center"/>
              <w:rPr>
                <w:b/>
                <w:bCs/>
                <w:color w:val="000000"/>
                <w:szCs w:val="21"/>
              </w:rPr>
            </w:pPr>
            <w:r>
              <w:rPr>
                <w:rFonts w:hint="eastAsia"/>
                <w:b/>
                <w:bCs/>
                <w:color w:val="000000"/>
                <w:szCs w:val="21"/>
              </w:rPr>
              <w:t>库区填埋作业</w:t>
            </w:r>
          </w:p>
        </w:tc>
        <w:tc>
          <w:tcPr>
            <w:tcW w:w="1133" w:type="pct"/>
            <w:tcBorders>
              <w:tl2br w:val="nil"/>
              <w:tr2bl w:val="nil"/>
            </w:tcBorders>
            <w:shd w:val="clear" w:color="auto" w:fill="auto"/>
            <w:vAlign w:val="center"/>
          </w:tcPr>
          <w:p>
            <w:pPr>
              <w:tabs>
                <w:tab w:val="left" w:pos="640"/>
              </w:tabs>
              <w:snapToGrid w:val="0"/>
              <w:spacing w:line="24" w:lineRule="atLeast"/>
              <w:jc w:val="center"/>
              <w:rPr>
                <w:spacing w:val="-1"/>
                <w:szCs w:val="21"/>
              </w:rPr>
            </w:pPr>
            <w:r>
              <w:rPr>
                <w:rFonts w:hint="eastAsia"/>
                <w:spacing w:val="-1"/>
                <w:szCs w:val="21"/>
              </w:rPr>
              <w:t>垃圾压缩车</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辆</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10</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rPr>
            </w:pPr>
            <w:r>
              <w:rPr>
                <w:rFonts w:hint="eastAsia"/>
                <w:szCs w:val="21"/>
              </w:rPr>
              <w:t>12～15t</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spacing w:val="-1"/>
                <w:szCs w:val="21"/>
              </w:rPr>
              <w:t>液压</w:t>
            </w:r>
            <w:r>
              <w:rPr>
                <w:szCs w:val="21"/>
              </w:rPr>
              <w:t>履带式挖掘机</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rPr>
              <w:t>DSL100-9B</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3</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pacing w:val="-1"/>
                <w:szCs w:val="21"/>
              </w:rPr>
              <w:t>自</w:t>
            </w:r>
            <w:r>
              <w:rPr>
                <w:color w:val="000000"/>
                <w:szCs w:val="21"/>
              </w:rPr>
              <w:t>卸</w:t>
            </w:r>
            <w:r>
              <w:rPr>
                <w:spacing w:val="-1"/>
                <w:szCs w:val="21"/>
              </w:rPr>
              <w:t>汽车</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辆</w:t>
            </w:r>
          </w:p>
        </w:tc>
        <w:tc>
          <w:tcPr>
            <w:tcW w:w="40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rFonts w:hint="eastAsia"/>
                <w:color w:val="000000"/>
                <w:szCs w:val="21"/>
              </w:rPr>
              <w:t>2</w:t>
            </w:r>
          </w:p>
        </w:tc>
        <w:tc>
          <w:tcPr>
            <w:tcW w:w="137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zCs w:val="21"/>
              </w:rPr>
              <w:t>5t</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4</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color w:val="000000"/>
                <w:szCs w:val="21"/>
              </w:rPr>
              <w:t>履带式</w:t>
            </w:r>
            <w:r>
              <w:rPr>
                <w:szCs w:val="21"/>
              </w:rPr>
              <w:t>推土机</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w:t>
            </w:r>
          </w:p>
        </w:tc>
        <w:tc>
          <w:tcPr>
            <w:tcW w:w="137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zCs w:val="21"/>
              </w:rPr>
              <w:t>SD16</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5</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zCs w:val="21"/>
              </w:rPr>
              <w:t>压</w:t>
            </w:r>
            <w:r>
              <w:rPr>
                <w:color w:val="000000"/>
                <w:szCs w:val="21"/>
              </w:rPr>
              <w:t>实</w:t>
            </w:r>
            <w:r>
              <w:rPr>
                <w:szCs w:val="21"/>
              </w:rPr>
              <w:t>机</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zCs w:val="21"/>
              </w:rPr>
              <w:t>20t</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拟购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6</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color w:val="000000"/>
                <w:szCs w:val="21"/>
              </w:rPr>
              <w:t>洒</w:t>
            </w:r>
            <w:r>
              <w:rPr>
                <w:szCs w:val="21"/>
              </w:rPr>
              <w:t>水车</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辆</w:t>
            </w:r>
          </w:p>
        </w:tc>
        <w:tc>
          <w:tcPr>
            <w:tcW w:w="40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color w:val="000000"/>
                <w:szCs w:val="21"/>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zCs w:val="21"/>
              </w:rPr>
              <w:t>5t</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拟购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7</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color w:val="000000"/>
                <w:szCs w:val="21"/>
              </w:rPr>
              <w:t>喷药</w:t>
            </w:r>
            <w:r>
              <w:rPr>
                <w:szCs w:val="21"/>
              </w:rPr>
              <w:t>车</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辆</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kern w:val="0"/>
                <w:szCs w:val="21"/>
              </w:rPr>
            </w:pPr>
            <w:r>
              <w:rPr>
                <w:szCs w:val="21"/>
              </w:rPr>
              <w:t>2000L</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拟购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8</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szCs w:val="21"/>
              </w:rPr>
              <w:t>吸</w:t>
            </w:r>
            <w:r>
              <w:rPr>
                <w:color w:val="000000"/>
                <w:szCs w:val="21"/>
              </w:rPr>
              <w:t>污</w:t>
            </w:r>
            <w:r>
              <w:rPr>
                <w:szCs w:val="21"/>
              </w:rPr>
              <w:t>车</w:t>
            </w:r>
          </w:p>
        </w:tc>
        <w:tc>
          <w:tcPr>
            <w:tcW w:w="379"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color w:val="000000"/>
                <w:szCs w:val="21"/>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szCs w:val="21"/>
              </w:rPr>
              <w:t>5m</w:t>
            </w:r>
            <w:r>
              <w:rPr>
                <w:rFonts w:hint="eastAsia"/>
                <w:szCs w:val="21"/>
                <w:vertAlign w:val="superscript"/>
              </w:rPr>
              <w:t>3</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拟购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9</w:t>
            </w:r>
          </w:p>
        </w:tc>
        <w:tc>
          <w:tcPr>
            <w:tcW w:w="369" w:type="pct"/>
            <w:vMerge w:val="restart"/>
            <w:tcBorders>
              <w:tl2br w:val="nil"/>
              <w:tr2bl w:val="nil"/>
            </w:tcBorders>
            <w:shd w:val="clear" w:color="auto" w:fill="auto"/>
            <w:vAlign w:val="center"/>
          </w:tcPr>
          <w:p>
            <w:pPr>
              <w:tabs>
                <w:tab w:val="left" w:pos="1980"/>
              </w:tabs>
              <w:spacing w:line="360" w:lineRule="exact"/>
              <w:jc w:val="center"/>
              <w:rPr>
                <w:b/>
                <w:bCs/>
                <w:color w:val="000000"/>
                <w:szCs w:val="21"/>
              </w:rPr>
            </w:pPr>
            <w:r>
              <w:rPr>
                <w:rFonts w:hint="eastAsia"/>
                <w:b/>
                <w:bCs/>
                <w:color w:val="000000"/>
                <w:szCs w:val="21"/>
              </w:rPr>
              <w:t>渗滤液处理车间</w:t>
            </w:r>
          </w:p>
        </w:tc>
        <w:tc>
          <w:tcPr>
            <w:tcW w:w="556" w:type="pct"/>
            <w:vMerge w:val="restart"/>
            <w:tcBorders>
              <w:tl2br w:val="nil"/>
              <w:tr2bl w:val="nil"/>
            </w:tcBorders>
            <w:shd w:val="clear" w:color="auto" w:fill="auto"/>
            <w:vAlign w:val="center"/>
          </w:tcPr>
          <w:p>
            <w:pPr>
              <w:tabs>
                <w:tab w:val="left" w:pos="1980"/>
              </w:tabs>
              <w:spacing w:line="260" w:lineRule="exact"/>
              <w:jc w:val="center"/>
              <w:rPr>
                <w:b/>
                <w:bCs/>
                <w:color w:val="000000"/>
                <w:szCs w:val="21"/>
              </w:rPr>
            </w:pPr>
            <w:r>
              <w:rPr>
                <w:b/>
                <w:bCs/>
                <w:color w:val="000000"/>
                <w:szCs w:val="21"/>
              </w:rPr>
              <w:t>预过滤系统</w:t>
            </w: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砂滤增压离心泵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CRN3-7，0.55KW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10</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砂滤器风机</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DT4.25K，1.1KW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11</w:t>
            </w:r>
          </w:p>
        </w:tc>
        <w:tc>
          <w:tcPr>
            <w:tcW w:w="369" w:type="pct"/>
            <w:vMerge w:val="continue"/>
            <w:tcBorders>
              <w:tl2br w:val="nil"/>
              <w:tr2bl w:val="nil"/>
            </w:tcBorders>
            <w:shd w:val="clear" w:color="auto" w:fill="auto"/>
            <w:vAlign w:val="center"/>
          </w:tcPr>
          <w:p>
            <w:pPr>
              <w:tabs>
                <w:tab w:val="left" w:pos="1980"/>
              </w:tabs>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砂滤器</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φ600×1950mm</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12</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芯式过滤器</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3</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单芯10μ，20"，PP外壳</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13</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进水管道过滤器</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2</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DN25，PN10</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14</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restart"/>
            <w:tcBorders>
              <w:tl2br w:val="nil"/>
              <w:tr2bl w:val="nil"/>
            </w:tcBorders>
            <w:shd w:val="clear" w:color="auto" w:fill="auto"/>
            <w:vAlign w:val="center"/>
          </w:tcPr>
          <w:p>
            <w:pPr>
              <w:tabs>
                <w:tab w:val="left" w:pos="1980"/>
              </w:tabs>
              <w:spacing w:line="260" w:lineRule="exact"/>
              <w:jc w:val="center"/>
              <w:rPr>
                <w:b/>
                <w:bCs/>
                <w:color w:val="000000"/>
                <w:szCs w:val="21"/>
              </w:rPr>
            </w:pPr>
            <w:r>
              <w:rPr>
                <w:rFonts w:hint="eastAsia"/>
                <w:b/>
                <w:bCs/>
                <w:color w:val="000000"/>
                <w:szCs w:val="21"/>
              </w:rPr>
              <w:t>一级DTRO反渗透系统</w:t>
            </w: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高压柱塞泵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CAT2537,7.5KW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15</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在线增压泵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BM 30-11NE，9.2KW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16</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碟管式膜柱</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16</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210 39ABS1B，9.405 m</w:t>
            </w:r>
            <w:r>
              <w:rPr>
                <w:szCs w:val="21"/>
                <w:vertAlign w:val="superscript"/>
              </w:rPr>
              <w:t>2</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17</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清洗剂罐</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V=200L，材质304</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szCs w:val="21"/>
              </w:rPr>
              <w:t>18</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加热器</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EIMM1-1/2"，6.5KW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74" w:type="pct"/>
            <w:tcBorders>
              <w:tl2br w:val="nil"/>
              <w:tr2bl w:val="nil"/>
            </w:tcBorders>
            <w:shd w:val="clear" w:color="auto" w:fill="auto"/>
            <w:vAlign w:val="center"/>
          </w:tcPr>
          <w:p>
            <w:pPr>
              <w:tabs>
                <w:tab w:val="left" w:pos="1980"/>
              </w:tabs>
              <w:spacing w:line="360" w:lineRule="exact"/>
              <w:jc w:val="center"/>
              <w:rPr>
                <w:color w:val="000000"/>
                <w:szCs w:val="21"/>
              </w:rPr>
            </w:pPr>
            <w:r>
              <w:rPr>
                <w:rFonts w:hint="eastAsia"/>
                <w:color w:val="000000"/>
                <w:szCs w:val="21"/>
              </w:rPr>
              <w:t>19</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restart"/>
            <w:tcBorders>
              <w:tl2br w:val="nil"/>
              <w:tr2bl w:val="nil"/>
            </w:tcBorders>
            <w:shd w:val="clear" w:color="auto" w:fill="auto"/>
            <w:vAlign w:val="center"/>
          </w:tcPr>
          <w:p>
            <w:pPr>
              <w:tabs>
                <w:tab w:val="left" w:pos="1980"/>
              </w:tabs>
              <w:spacing w:line="260" w:lineRule="exact"/>
              <w:jc w:val="center"/>
              <w:rPr>
                <w:b/>
                <w:bCs/>
                <w:color w:val="000000"/>
                <w:szCs w:val="21"/>
              </w:rPr>
            </w:pPr>
            <w:r>
              <w:rPr>
                <w:rFonts w:hint="eastAsia"/>
                <w:b/>
                <w:bCs/>
                <w:color w:val="000000"/>
                <w:szCs w:val="21"/>
              </w:rPr>
              <w:t>二级DTRO反渗透系统</w:t>
            </w: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高压柱塞泵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CAT2537,5.5KW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74" w:type="pct"/>
            <w:tcBorders>
              <w:tl2br w:val="nil"/>
              <w:tr2bl w:val="nil"/>
            </w:tcBorders>
            <w:shd w:val="clear" w:color="auto" w:fill="auto"/>
            <w:vAlign w:val="center"/>
          </w:tcPr>
          <w:p>
            <w:pPr>
              <w:tabs>
                <w:tab w:val="left" w:pos="1980"/>
              </w:tabs>
              <w:spacing w:line="360" w:lineRule="exact"/>
              <w:jc w:val="center"/>
              <w:rPr>
                <w:color w:val="000000"/>
                <w:szCs w:val="21"/>
              </w:rPr>
            </w:pPr>
            <w:r>
              <w:rPr>
                <w:rFonts w:hint="eastAsia"/>
                <w:color w:val="000000"/>
                <w:szCs w:val="21"/>
              </w:rPr>
              <w:t>20</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continue"/>
            <w:tcBorders>
              <w:tl2br w:val="nil"/>
              <w:tr2bl w:val="nil"/>
            </w:tcBorders>
            <w:shd w:val="clear" w:color="auto" w:fill="auto"/>
            <w:vAlign w:val="center"/>
          </w:tcPr>
          <w:p>
            <w:pPr>
              <w:tabs>
                <w:tab w:val="left" w:pos="1980"/>
              </w:tabs>
              <w:spacing w:line="260" w:lineRule="exact"/>
              <w:jc w:val="center"/>
              <w:rPr>
                <w:b/>
                <w:bCs/>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碟管式膜柱</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支</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5</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210 39ABS1B，9.405 m</w:t>
            </w:r>
            <w:r>
              <w:rPr>
                <w:szCs w:val="21"/>
                <w:vertAlign w:val="superscript"/>
              </w:rPr>
              <w:t>2</w:t>
            </w:r>
          </w:p>
        </w:tc>
        <w:tc>
          <w:tcPr>
            <w:tcW w:w="402" w:type="pct"/>
            <w:tcBorders>
              <w:tl2br w:val="nil"/>
              <w:tr2bl w:val="nil"/>
            </w:tcBorders>
            <w:shd w:val="clear" w:color="auto" w:fill="auto"/>
            <w:vAlign w:val="center"/>
          </w:tcPr>
          <w:p>
            <w:pPr>
              <w:tabs>
                <w:tab w:val="left" w:pos="1980"/>
              </w:tabs>
              <w:spacing w:line="360" w:lineRule="exac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21</w:t>
            </w:r>
          </w:p>
        </w:tc>
        <w:tc>
          <w:tcPr>
            <w:tcW w:w="369" w:type="pct"/>
            <w:vMerge w:val="continue"/>
            <w:tcBorders>
              <w:tl2br w:val="nil"/>
              <w:tr2bl w:val="nil"/>
            </w:tcBorders>
            <w:shd w:val="clear" w:color="auto" w:fill="auto"/>
            <w:vAlign w:val="center"/>
          </w:tcPr>
          <w:p>
            <w:pPr>
              <w:tabs>
                <w:tab w:val="left" w:pos="1980"/>
              </w:tabs>
              <w:spacing w:line="360" w:lineRule="exact"/>
              <w:jc w:val="center"/>
              <w:rPr>
                <w:b/>
                <w:bCs/>
                <w:color w:val="000000"/>
                <w:szCs w:val="21"/>
              </w:rPr>
            </w:pPr>
          </w:p>
        </w:tc>
        <w:tc>
          <w:tcPr>
            <w:tcW w:w="556" w:type="pct"/>
            <w:vMerge w:val="restart"/>
            <w:tcBorders>
              <w:tl2br w:val="nil"/>
              <w:tr2bl w:val="nil"/>
            </w:tcBorders>
            <w:shd w:val="clear" w:color="auto" w:fill="auto"/>
            <w:vAlign w:val="center"/>
          </w:tcPr>
          <w:p>
            <w:pPr>
              <w:tabs>
                <w:tab w:val="left" w:pos="1980"/>
              </w:tabs>
              <w:spacing w:line="260" w:lineRule="exact"/>
              <w:jc w:val="center"/>
              <w:rPr>
                <w:b/>
                <w:bCs/>
                <w:color w:val="000000"/>
                <w:szCs w:val="21"/>
              </w:rPr>
            </w:pPr>
            <w:r>
              <w:rPr>
                <w:rFonts w:hint="eastAsia"/>
                <w:b/>
                <w:bCs/>
                <w:color w:val="000000"/>
                <w:szCs w:val="21"/>
              </w:rPr>
              <w:t>储罐及化学剂添加系统</w:t>
            </w: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原水提升泵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SP3A-9，0.55KW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22</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加酸搅拌离心泵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CRN5-5，0.75KW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szCs w:val="21"/>
              </w:rPr>
              <w:t>23</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清水输送离心泵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CRN5-5，0.75KW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24</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酸添加计量泵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套</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GALa0420TTT200UA</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25</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碱添加计量泵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套</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CONC0806PP</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26</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阻垢剂计量泵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套</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DME 2-18AP-PP</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27</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清洗剂桶泵</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台</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4</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PFP-27PK/M5，0.37KW</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28</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渗沥液原水储罐</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V=3000L，材质PE</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29</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净水储罐+脱气塔</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套</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Q=2 m</w:t>
            </w:r>
            <w:r>
              <w:rPr>
                <w:szCs w:val="21"/>
                <w:vertAlign w:val="superscript"/>
              </w:rPr>
              <w:t>3</w:t>
            </w:r>
            <w:r>
              <w:rPr>
                <w:szCs w:val="21"/>
                <w:lang w:val="en-GB"/>
              </w:rPr>
              <w:t>/h ,2000L</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30</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硫酸罐</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V=3000L，材质Q235</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31</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清洗剂储罐</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2</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V=200L，材质PE</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32</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氢氧化钠储罐</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V=200L，材质PE</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szCs w:val="21"/>
              </w:rPr>
              <w:t>33</w:t>
            </w:r>
          </w:p>
        </w:tc>
        <w:tc>
          <w:tcPr>
            <w:tcW w:w="369"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556" w:type="pct"/>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阻垢剂储罐</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rPr>
            </w:pPr>
            <w:r>
              <w:rPr>
                <w:szCs w:val="21"/>
                <w:lang w:val="en-GB"/>
              </w:rPr>
              <w:t>1</w:t>
            </w:r>
          </w:p>
        </w:tc>
        <w:tc>
          <w:tcPr>
            <w:tcW w:w="137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lang w:val="en-GB"/>
              </w:rPr>
              <w:t>V=100L，材质PE</w:t>
            </w: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已购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szCs w:val="21"/>
              </w:rPr>
            </w:pPr>
            <w:r>
              <w:rPr>
                <w:rFonts w:hint="eastAsia"/>
                <w:szCs w:val="21"/>
              </w:rPr>
              <w:t>34</w:t>
            </w:r>
          </w:p>
        </w:tc>
        <w:tc>
          <w:tcPr>
            <w:tcW w:w="925" w:type="pct"/>
            <w:gridSpan w:val="2"/>
            <w:vMerge w:val="restart"/>
            <w:tcBorders>
              <w:tl2br w:val="nil"/>
              <w:tr2bl w:val="nil"/>
            </w:tcBorders>
            <w:shd w:val="clear" w:color="auto" w:fill="auto"/>
            <w:vAlign w:val="center"/>
          </w:tcPr>
          <w:p>
            <w:pPr>
              <w:tabs>
                <w:tab w:val="left" w:pos="1980"/>
              </w:tabs>
              <w:spacing w:line="360" w:lineRule="exact"/>
              <w:jc w:val="center"/>
              <w:rPr>
                <w:color w:val="000000"/>
                <w:szCs w:val="21"/>
              </w:rPr>
            </w:pPr>
            <w:r>
              <w:rPr>
                <w:rFonts w:hint="eastAsia"/>
                <w:b/>
                <w:bCs/>
                <w:color w:val="000000"/>
                <w:szCs w:val="21"/>
              </w:rPr>
              <w:t>填埋气处理</w:t>
            </w: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rFonts w:hint="eastAsia"/>
                <w:szCs w:val="21"/>
              </w:rPr>
              <w:t>火炬</w:t>
            </w:r>
            <w:r>
              <w:rPr>
                <w:color w:val="000000"/>
                <w:szCs w:val="21"/>
              </w:rPr>
              <w:t>式</w:t>
            </w:r>
            <w:r>
              <w:rPr>
                <w:szCs w:val="21"/>
              </w:rPr>
              <w:t>燃烧器</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color w:val="000000"/>
                <w:szCs w:val="21"/>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rFonts w:hint="eastAsia"/>
                <w:color w:val="000000"/>
                <w:szCs w:val="21"/>
              </w:rPr>
              <w:t>1</w:t>
            </w:r>
          </w:p>
        </w:tc>
        <w:tc>
          <w:tcPr>
            <w:tcW w:w="1377" w:type="pct"/>
            <w:tcBorders>
              <w:tl2br w:val="nil"/>
              <w:tr2bl w:val="nil"/>
            </w:tcBorders>
            <w:shd w:val="clear" w:color="auto" w:fill="auto"/>
            <w:vAlign w:val="center"/>
          </w:tcPr>
          <w:p>
            <w:pPr>
              <w:tabs>
                <w:tab w:val="left" w:pos="1980"/>
              </w:tabs>
              <w:spacing w:line="360" w:lineRule="exact"/>
              <w:jc w:val="center"/>
              <w:rPr>
                <w:szCs w:val="21"/>
                <w:lang w:val="en-GB"/>
              </w:rPr>
            </w:pP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未购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374" w:type="pct"/>
            <w:tcBorders>
              <w:tl2br w:val="nil"/>
              <w:tr2bl w:val="nil"/>
            </w:tcBorders>
            <w:shd w:val="clear" w:color="auto" w:fill="auto"/>
            <w:vAlign w:val="center"/>
          </w:tcPr>
          <w:p>
            <w:pPr>
              <w:tabs>
                <w:tab w:val="left" w:pos="640"/>
              </w:tabs>
              <w:snapToGrid w:val="0"/>
              <w:spacing w:line="24" w:lineRule="atLeast"/>
              <w:jc w:val="center"/>
              <w:rPr>
                <w:szCs w:val="21"/>
              </w:rPr>
            </w:pPr>
            <w:r>
              <w:rPr>
                <w:rFonts w:hint="eastAsia"/>
                <w:szCs w:val="21"/>
              </w:rPr>
              <w:t>35</w:t>
            </w:r>
          </w:p>
        </w:tc>
        <w:tc>
          <w:tcPr>
            <w:tcW w:w="925" w:type="pct"/>
            <w:gridSpan w:val="2"/>
            <w:vMerge w:val="continue"/>
            <w:tcBorders>
              <w:tl2br w:val="nil"/>
              <w:tr2bl w:val="nil"/>
            </w:tcBorders>
            <w:shd w:val="clear" w:color="auto" w:fill="auto"/>
            <w:vAlign w:val="center"/>
          </w:tcPr>
          <w:p>
            <w:pPr>
              <w:tabs>
                <w:tab w:val="left" w:pos="1980"/>
              </w:tabs>
              <w:spacing w:line="360" w:lineRule="exact"/>
              <w:jc w:val="center"/>
              <w:rPr>
                <w:color w:val="000000"/>
                <w:szCs w:val="21"/>
              </w:rPr>
            </w:pPr>
          </w:p>
        </w:tc>
        <w:tc>
          <w:tcPr>
            <w:tcW w:w="1133"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szCs w:val="21"/>
              </w:rPr>
              <w:t>气体报警装置</w:t>
            </w:r>
          </w:p>
        </w:tc>
        <w:tc>
          <w:tcPr>
            <w:tcW w:w="379"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color w:val="000000"/>
                <w:szCs w:val="21"/>
              </w:rPr>
              <w:t>个</w:t>
            </w:r>
          </w:p>
        </w:tc>
        <w:tc>
          <w:tcPr>
            <w:tcW w:w="407" w:type="pct"/>
            <w:tcBorders>
              <w:tl2br w:val="nil"/>
              <w:tr2bl w:val="nil"/>
            </w:tcBorders>
            <w:shd w:val="clear" w:color="auto" w:fill="auto"/>
            <w:vAlign w:val="center"/>
          </w:tcPr>
          <w:p>
            <w:pPr>
              <w:tabs>
                <w:tab w:val="left" w:pos="640"/>
              </w:tabs>
              <w:snapToGrid w:val="0"/>
              <w:spacing w:line="24" w:lineRule="atLeast"/>
              <w:jc w:val="center"/>
              <w:rPr>
                <w:szCs w:val="21"/>
                <w:lang w:val="en-GB"/>
              </w:rPr>
            </w:pPr>
            <w:r>
              <w:rPr>
                <w:color w:val="000000"/>
                <w:szCs w:val="21"/>
              </w:rPr>
              <w:t>5</w:t>
            </w:r>
          </w:p>
        </w:tc>
        <w:tc>
          <w:tcPr>
            <w:tcW w:w="1377" w:type="pct"/>
            <w:tcBorders>
              <w:tl2br w:val="nil"/>
              <w:tr2bl w:val="nil"/>
            </w:tcBorders>
            <w:shd w:val="clear" w:color="auto" w:fill="auto"/>
            <w:vAlign w:val="center"/>
          </w:tcPr>
          <w:p>
            <w:pPr>
              <w:tabs>
                <w:tab w:val="left" w:pos="1980"/>
              </w:tabs>
              <w:spacing w:line="360" w:lineRule="exact"/>
              <w:jc w:val="center"/>
              <w:rPr>
                <w:szCs w:val="21"/>
                <w:lang w:val="en-GB"/>
              </w:rPr>
            </w:pPr>
          </w:p>
        </w:tc>
        <w:tc>
          <w:tcPr>
            <w:tcW w:w="402" w:type="pct"/>
            <w:tcBorders>
              <w:tl2br w:val="nil"/>
              <w:tr2bl w:val="nil"/>
            </w:tcBorders>
            <w:shd w:val="clear" w:color="auto" w:fill="auto"/>
            <w:vAlign w:val="center"/>
          </w:tcPr>
          <w:p>
            <w:pPr>
              <w:tabs>
                <w:tab w:val="left" w:pos="640"/>
              </w:tabs>
              <w:snapToGrid w:val="0"/>
              <w:spacing w:line="24" w:lineRule="atLeast"/>
              <w:jc w:val="center"/>
              <w:rPr>
                <w:color w:val="000000"/>
                <w:szCs w:val="21"/>
              </w:rPr>
            </w:pPr>
            <w:r>
              <w:rPr>
                <w:rFonts w:hint="eastAsia"/>
                <w:color w:val="000000"/>
                <w:szCs w:val="21"/>
              </w:rPr>
              <w:t>未购</w:t>
            </w:r>
          </w:p>
        </w:tc>
      </w:tr>
    </w:tbl>
    <w:p>
      <w:pPr>
        <w:spacing w:line="500" w:lineRule="exact"/>
        <w:ind w:firstLine="482" w:firstLineChars="200"/>
        <w:rPr>
          <w:b/>
          <w:bCs/>
          <w:sz w:val="24"/>
        </w:rPr>
      </w:pPr>
      <w:r>
        <w:rPr>
          <w:rFonts w:hint="eastAsia"/>
          <w:b/>
          <w:bCs/>
          <w:sz w:val="24"/>
        </w:rPr>
        <w:t>2、主要构筑物</w:t>
      </w:r>
    </w:p>
    <w:p>
      <w:pPr>
        <w:spacing w:line="500" w:lineRule="exact"/>
        <w:ind w:firstLine="480" w:firstLineChars="200"/>
        <w:rPr>
          <w:sz w:val="24"/>
        </w:rPr>
      </w:pPr>
      <w:r>
        <w:rPr>
          <w:rFonts w:hint="eastAsia"/>
          <w:sz w:val="24"/>
        </w:rPr>
        <w:t>项目构建筑物主要为渗滤液处理车间、渗滤液调节池、填埋气抽气机房以及管理区附属用房等，具体详见下表。</w:t>
      </w:r>
    </w:p>
    <w:p>
      <w:pPr>
        <w:snapToGrid w:val="0"/>
        <w:spacing w:line="500" w:lineRule="atLeast"/>
        <w:jc w:val="center"/>
        <w:rPr>
          <w:b/>
          <w:spacing w:val="4"/>
          <w:sz w:val="24"/>
        </w:rPr>
      </w:pPr>
      <w:r>
        <w:rPr>
          <w:rFonts w:hint="eastAsia"/>
          <w:b/>
          <w:spacing w:val="4"/>
          <w:sz w:val="24"/>
        </w:rPr>
        <w:t>表3.2-7  项目主要构建筑物一览表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859"/>
        <w:gridCol w:w="2171"/>
        <w:gridCol w:w="2461"/>
        <w:gridCol w:w="709"/>
        <w:gridCol w:w="8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vMerge w:val="restart"/>
            <w:tcBorders>
              <w:tl2br w:val="nil"/>
              <w:tr2bl w:val="nil"/>
            </w:tcBorders>
            <w:vAlign w:val="center"/>
          </w:tcPr>
          <w:p>
            <w:pPr>
              <w:spacing w:line="240" w:lineRule="exact"/>
              <w:jc w:val="center"/>
              <w:rPr>
                <w:szCs w:val="21"/>
              </w:rPr>
            </w:pPr>
            <w:r>
              <w:rPr>
                <w:szCs w:val="21"/>
              </w:rPr>
              <w:t>序号</w:t>
            </w:r>
          </w:p>
        </w:tc>
        <w:tc>
          <w:tcPr>
            <w:tcW w:w="1091" w:type="pct"/>
            <w:vMerge w:val="restart"/>
            <w:tcBorders>
              <w:tl2br w:val="nil"/>
              <w:tr2bl w:val="nil"/>
            </w:tcBorders>
            <w:vAlign w:val="center"/>
          </w:tcPr>
          <w:p>
            <w:pPr>
              <w:spacing w:line="240" w:lineRule="exact"/>
              <w:jc w:val="center"/>
              <w:rPr>
                <w:szCs w:val="21"/>
              </w:rPr>
            </w:pPr>
            <w:r>
              <w:rPr>
                <w:szCs w:val="21"/>
              </w:rPr>
              <w:t>名称</w:t>
            </w:r>
          </w:p>
        </w:tc>
        <w:tc>
          <w:tcPr>
            <w:tcW w:w="3134" w:type="pct"/>
            <w:gridSpan w:val="3"/>
            <w:tcBorders>
              <w:tl2br w:val="nil"/>
              <w:tr2bl w:val="nil"/>
            </w:tcBorders>
            <w:vAlign w:val="center"/>
          </w:tcPr>
          <w:p>
            <w:pPr>
              <w:spacing w:line="240" w:lineRule="exact"/>
              <w:jc w:val="center"/>
              <w:rPr>
                <w:szCs w:val="21"/>
              </w:rPr>
            </w:pPr>
            <w:r>
              <w:rPr>
                <w:szCs w:val="21"/>
              </w:rPr>
              <w:t>建设情况</w:t>
            </w:r>
          </w:p>
        </w:tc>
        <w:tc>
          <w:tcPr>
            <w:tcW w:w="524" w:type="pct"/>
            <w:vMerge w:val="restart"/>
            <w:tcBorders>
              <w:tl2br w:val="nil"/>
              <w:tr2bl w:val="nil"/>
            </w:tcBorders>
            <w:vAlign w:val="center"/>
          </w:tcPr>
          <w:p>
            <w:pPr>
              <w:spacing w:line="240" w:lineRule="exact"/>
              <w:jc w:val="center"/>
              <w:rPr>
                <w:szCs w:val="21"/>
              </w:rPr>
            </w:pPr>
            <w:r>
              <w:rPr>
                <w:rFonts w:hint="eastAsia"/>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vMerge w:val="continue"/>
            <w:tcBorders>
              <w:tl2br w:val="nil"/>
              <w:tr2bl w:val="nil"/>
            </w:tcBorders>
            <w:vAlign w:val="center"/>
          </w:tcPr>
          <w:p>
            <w:pPr>
              <w:widowControl/>
              <w:spacing w:line="240" w:lineRule="exact"/>
              <w:jc w:val="center"/>
              <w:rPr>
                <w:szCs w:val="21"/>
              </w:rPr>
            </w:pPr>
          </w:p>
        </w:tc>
        <w:tc>
          <w:tcPr>
            <w:tcW w:w="1091" w:type="pct"/>
            <w:vMerge w:val="continue"/>
            <w:tcBorders>
              <w:tl2br w:val="nil"/>
              <w:tr2bl w:val="nil"/>
            </w:tcBorders>
            <w:vAlign w:val="center"/>
          </w:tcPr>
          <w:p>
            <w:pPr>
              <w:widowControl/>
              <w:spacing w:line="240" w:lineRule="exact"/>
              <w:jc w:val="center"/>
              <w:rPr>
                <w:szCs w:val="21"/>
              </w:rPr>
            </w:pPr>
          </w:p>
        </w:tc>
        <w:tc>
          <w:tcPr>
            <w:tcW w:w="1274" w:type="pct"/>
            <w:tcBorders>
              <w:tl2br w:val="nil"/>
              <w:tr2bl w:val="nil"/>
            </w:tcBorders>
            <w:vAlign w:val="center"/>
          </w:tcPr>
          <w:p>
            <w:pPr>
              <w:spacing w:line="240" w:lineRule="exact"/>
              <w:jc w:val="center"/>
              <w:rPr>
                <w:szCs w:val="21"/>
              </w:rPr>
            </w:pPr>
            <w:r>
              <w:rPr>
                <w:rFonts w:hint="eastAsia"/>
                <w:szCs w:val="21"/>
              </w:rPr>
              <w:t>规格</w:t>
            </w:r>
          </w:p>
        </w:tc>
        <w:tc>
          <w:tcPr>
            <w:tcW w:w="1444" w:type="pct"/>
            <w:tcBorders>
              <w:tl2br w:val="nil"/>
              <w:tr2bl w:val="nil"/>
            </w:tcBorders>
            <w:vAlign w:val="center"/>
          </w:tcPr>
          <w:p>
            <w:pPr>
              <w:spacing w:line="240" w:lineRule="exact"/>
              <w:jc w:val="center"/>
              <w:rPr>
                <w:szCs w:val="21"/>
              </w:rPr>
            </w:pPr>
            <w:r>
              <w:rPr>
                <w:szCs w:val="21"/>
              </w:rPr>
              <w:t>结构形式</w:t>
            </w:r>
          </w:p>
        </w:tc>
        <w:tc>
          <w:tcPr>
            <w:tcW w:w="414" w:type="pct"/>
            <w:tcBorders>
              <w:tl2br w:val="nil"/>
              <w:tr2bl w:val="nil"/>
            </w:tcBorders>
            <w:vAlign w:val="center"/>
          </w:tcPr>
          <w:p>
            <w:pPr>
              <w:spacing w:line="240" w:lineRule="exact"/>
              <w:jc w:val="center"/>
              <w:rPr>
                <w:szCs w:val="21"/>
              </w:rPr>
            </w:pPr>
            <w:r>
              <w:rPr>
                <w:szCs w:val="21"/>
              </w:rPr>
              <w:t>数量</w:t>
            </w:r>
          </w:p>
        </w:tc>
        <w:tc>
          <w:tcPr>
            <w:tcW w:w="524" w:type="pct"/>
            <w:vMerge w:val="continue"/>
            <w:tcBorders>
              <w:tl2br w:val="nil"/>
              <w:tr2bl w:val="nil"/>
            </w:tcBorders>
            <w:vAlign w:val="center"/>
          </w:tcPr>
          <w:p>
            <w:pPr>
              <w:spacing w:line="24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1</w:t>
            </w:r>
          </w:p>
        </w:tc>
        <w:tc>
          <w:tcPr>
            <w:tcW w:w="1091" w:type="pct"/>
            <w:tcBorders>
              <w:tl2br w:val="nil"/>
              <w:tr2bl w:val="nil"/>
            </w:tcBorders>
            <w:vAlign w:val="center"/>
          </w:tcPr>
          <w:p>
            <w:pPr>
              <w:spacing w:line="240" w:lineRule="exact"/>
              <w:jc w:val="center"/>
              <w:rPr>
                <w:szCs w:val="21"/>
              </w:rPr>
            </w:pPr>
            <w:r>
              <w:rPr>
                <w:szCs w:val="21"/>
              </w:rPr>
              <w:t>渗滤液</w:t>
            </w:r>
            <w:r>
              <w:rPr>
                <w:rFonts w:hint="eastAsia"/>
                <w:szCs w:val="21"/>
              </w:rPr>
              <w:t>提升井</w:t>
            </w:r>
          </w:p>
        </w:tc>
        <w:tc>
          <w:tcPr>
            <w:tcW w:w="1274" w:type="pct"/>
            <w:tcBorders>
              <w:tl2br w:val="nil"/>
              <w:tr2bl w:val="nil"/>
            </w:tcBorders>
            <w:vAlign w:val="center"/>
          </w:tcPr>
          <w:p>
            <w:pPr>
              <w:spacing w:line="240" w:lineRule="exact"/>
              <w:jc w:val="center"/>
              <w:rPr>
                <w:szCs w:val="21"/>
              </w:rPr>
            </w:pPr>
          </w:p>
        </w:tc>
        <w:tc>
          <w:tcPr>
            <w:tcW w:w="1444" w:type="pct"/>
            <w:tcBorders>
              <w:tl2br w:val="nil"/>
              <w:tr2bl w:val="nil"/>
            </w:tcBorders>
            <w:vAlign w:val="center"/>
          </w:tcPr>
          <w:p>
            <w:pPr>
              <w:spacing w:line="240" w:lineRule="exact"/>
              <w:jc w:val="center"/>
              <w:rPr>
                <w:szCs w:val="21"/>
              </w:rPr>
            </w:pPr>
            <w:r>
              <w:rPr>
                <w:rFonts w:hint="eastAsia"/>
                <w:szCs w:val="21"/>
              </w:rPr>
              <w:t>埋地</w:t>
            </w:r>
            <w:r>
              <w:rPr>
                <w:szCs w:val="21"/>
              </w:rPr>
              <w:t>钢混</w:t>
            </w:r>
            <w:r>
              <w:rPr>
                <w:rFonts w:hint="eastAsia"/>
                <w:szCs w:val="21"/>
              </w:rPr>
              <w:t>，全封闭</w:t>
            </w:r>
          </w:p>
        </w:tc>
        <w:tc>
          <w:tcPr>
            <w:tcW w:w="414" w:type="pct"/>
            <w:tcBorders>
              <w:tl2br w:val="nil"/>
              <w:tr2bl w:val="nil"/>
            </w:tcBorders>
            <w:vAlign w:val="center"/>
          </w:tcPr>
          <w:p>
            <w:pPr>
              <w:spacing w:line="240" w:lineRule="exact"/>
              <w:jc w:val="center"/>
              <w:rPr>
                <w:szCs w:val="21"/>
              </w:rPr>
            </w:pPr>
            <w:r>
              <w:rPr>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exact"/>
          <w:jc w:val="center"/>
        </w:trPr>
        <w:tc>
          <w:tcPr>
            <w:tcW w:w="250" w:type="pct"/>
            <w:tcBorders>
              <w:tl2br w:val="nil"/>
              <w:tr2bl w:val="nil"/>
            </w:tcBorders>
            <w:vAlign w:val="center"/>
          </w:tcPr>
          <w:p>
            <w:pPr>
              <w:spacing w:line="240" w:lineRule="exact"/>
              <w:jc w:val="center"/>
              <w:rPr>
                <w:szCs w:val="21"/>
              </w:rPr>
            </w:pPr>
            <w:r>
              <w:rPr>
                <w:rFonts w:hint="eastAsia"/>
                <w:szCs w:val="21"/>
              </w:rPr>
              <w:t>2</w:t>
            </w:r>
          </w:p>
        </w:tc>
        <w:tc>
          <w:tcPr>
            <w:tcW w:w="1091" w:type="pct"/>
            <w:tcBorders>
              <w:tl2br w:val="nil"/>
              <w:tr2bl w:val="nil"/>
            </w:tcBorders>
            <w:vAlign w:val="center"/>
          </w:tcPr>
          <w:p>
            <w:pPr>
              <w:spacing w:line="240" w:lineRule="exact"/>
              <w:jc w:val="center"/>
              <w:rPr>
                <w:szCs w:val="21"/>
              </w:rPr>
            </w:pPr>
            <w:r>
              <w:rPr>
                <w:szCs w:val="21"/>
              </w:rPr>
              <w:t>渗滤液收集池</w:t>
            </w:r>
          </w:p>
        </w:tc>
        <w:tc>
          <w:tcPr>
            <w:tcW w:w="1274" w:type="pct"/>
            <w:tcBorders>
              <w:tl2br w:val="nil"/>
              <w:tr2bl w:val="nil"/>
            </w:tcBorders>
            <w:vAlign w:val="center"/>
          </w:tcPr>
          <w:p>
            <w:pPr>
              <w:spacing w:line="260" w:lineRule="exact"/>
              <w:jc w:val="center"/>
              <w:rPr>
                <w:szCs w:val="21"/>
              </w:rPr>
            </w:pPr>
            <w:r>
              <w:rPr>
                <w:rFonts w:hint="eastAsia"/>
                <w:szCs w:val="21"/>
              </w:rPr>
              <w:t>20m</w:t>
            </w:r>
            <w:r>
              <w:rPr>
                <w:szCs w:val="21"/>
              </w:rPr>
              <w:t>×</w:t>
            </w:r>
            <w:r>
              <w:rPr>
                <w:rFonts w:hint="eastAsia"/>
                <w:szCs w:val="21"/>
              </w:rPr>
              <w:t>8m</w:t>
            </w:r>
            <w:r>
              <w:rPr>
                <w:szCs w:val="21"/>
              </w:rPr>
              <w:t>×</w:t>
            </w:r>
            <w:r>
              <w:rPr>
                <w:rFonts w:hint="eastAsia"/>
                <w:szCs w:val="21"/>
              </w:rPr>
              <w:t>4.0</w:t>
            </w:r>
            <w:r>
              <w:rPr>
                <w:szCs w:val="21"/>
              </w:rPr>
              <w:t>m</w:t>
            </w:r>
            <w:r>
              <w:rPr>
                <w:rFonts w:hint="eastAsia"/>
                <w:szCs w:val="21"/>
              </w:rPr>
              <w:t>（h），</w:t>
            </w:r>
          </w:p>
          <w:p>
            <w:pPr>
              <w:spacing w:line="260" w:lineRule="exact"/>
              <w:jc w:val="center"/>
              <w:rPr>
                <w:szCs w:val="21"/>
              </w:rPr>
            </w:pPr>
            <w:r>
              <w:rPr>
                <w:rFonts w:hint="eastAsia"/>
                <w:szCs w:val="21"/>
              </w:rPr>
              <w:t>容积约640m</w:t>
            </w:r>
            <w:r>
              <w:rPr>
                <w:rFonts w:hint="eastAsia"/>
                <w:szCs w:val="21"/>
                <w:vertAlign w:val="superscript"/>
              </w:rPr>
              <w:t>3</w:t>
            </w:r>
          </w:p>
        </w:tc>
        <w:tc>
          <w:tcPr>
            <w:tcW w:w="1444" w:type="pct"/>
            <w:tcBorders>
              <w:tl2br w:val="nil"/>
              <w:tr2bl w:val="nil"/>
            </w:tcBorders>
            <w:vAlign w:val="center"/>
          </w:tcPr>
          <w:p>
            <w:pPr>
              <w:spacing w:line="240" w:lineRule="exact"/>
              <w:jc w:val="center"/>
              <w:rPr>
                <w:szCs w:val="21"/>
              </w:rPr>
            </w:pPr>
            <w:r>
              <w:rPr>
                <w:rFonts w:hint="eastAsia"/>
                <w:szCs w:val="21"/>
              </w:rPr>
              <w:t>埋地</w:t>
            </w:r>
            <w:r>
              <w:rPr>
                <w:szCs w:val="21"/>
              </w:rPr>
              <w:t>钢混</w:t>
            </w:r>
            <w:r>
              <w:rPr>
                <w:rFonts w:hint="eastAsia"/>
                <w:szCs w:val="21"/>
              </w:rPr>
              <w:t>，全封闭</w:t>
            </w:r>
          </w:p>
        </w:tc>
        <w:tc>
          <w:tcPr>
            <w:tcW w:w="414" w:type="pct"/>
            <w:tcBorders>
              <w:tl2br w:val="nil"/>
              <w:tr2bl w:val="nil"/>
            </w:tcBorders>
            <w:vAlign w:val="center"/>
          </w:tcPr>
          <w:p>
            <w:pPr>
              <w:spacing w:line="240" w:lineRule="exact"/>
              <w:jc w:val="center"/>
              <w:rPr>
                <w:szCs w:val="21"/>
              </w:rPr>
            </w:pPr>
            <w:r>
              <w:rPr>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3</w:t>
            </w:r>
          </w:p>
        </w:tc>
        <w:tc>
          <w:tcPr>
            <w:tcW w:w="1091" w:type="pct"/>
            <w:tcBorders>
              <w:tl2br w:val="nil"/>
              <w:tr2bl w:val="nil"/>
            </w:tcBorders>
            <w:vAlign w:val="center"/>
          </w:tcPr>
          <w:p>
            <w:pPr>
              <w:pStyle w:val="24"/>
              <w:widowControl w:val="0"/>
              <w:spacing w:line="320" w:lineRule="exact"/>
              <w:jc w:val="center"/>
              <w:rPr>
                <w:rFonts w:ascii="Times New Roman" w:hAnsi="Times New Roman"/>
                <w:sz w:val="21"/>
                <w:szCs w:val="21"/>
                <w:lang w:eastAsia="zh-CN"/>
              </w:rPr>
            </w:pPr>
            <w:r>
              <w:rPr>
                <w:rFonts w:ascii="Times New Roman" w:hAnsi="Times New Roman"/>
                <w:sz w:val="21"/>
                <w:szCs w:val="21"/>
                <w:lang w:eastAsia="zh-CN"/>
              </w:rPr>
              <w:t>渗滤液处理车间</w:t>
            </w:r>
          </w:p>
        </w:tc>
        <w:tc>
          <w:tcPr>
            <w:tcW w:w="1274" w:type="pct"/>
            <w:tcBorders>
              <w:tl2br w:val="nil"/>
              <w:tr2bl w:val="nil"/>
            </w:tcBorders>
            <w:vAlign w:val="center"/>
          </w:tcPr>
          <w:p>
            <w:pPr>
              <w:spacing w:line="260" w:lineRule="exact"/>
              <w:jc w:val="center"/>
              <w:rPr>
                <w:szCs w:val="21"/>
              </w:rPr>
            </w:pPr>
            <w:r>
              <w:rPr>
                <w:szCs w:val="21"/>
              </w:rPr>
              <w:t>面积约</w:t>
            </w:r>
            <w:r>
              <w:rPr>
                <w:rFonts w:hint="eastAsia"/>
                <w:szCs w:val="21"/>
              </w:rPr>
              <w:t>150</w:t>
            </w:r>
            <w:r>
              <w:rPr>
                <w:szCs w:val="21"/>
              </w:rPr>
              <w:t>m</w:t>
            </w:r>
            <w:r>
              <w:rPr>
                <w:szCs w:val="21"/>
                <w:vertAlign w:val="superscript"/>
              </w:rPr>
              <w:t>2</w:t>
            </w:r>
          </w:p>
        </w:tc>
        <w:tc>
          <w:tcPr>
            <w:tcW w:w="1444" w:type="pct"/>
            <w:tcBorders>
              <w:tl2br w:val="nil"/>
              <w:tr2bl w:val="nil"/>
            </w:tcBorders>
            <w:vAlign w:val="center"/>
          </w:tcPr>
          <w:p>
            <w:pPr>
              <w:spacing w:line="240" w:lineRule="exact"/>
              <w:jc w:val="center"/>
              <w:rPr>
                <w:szCs w:val="21"/>
              </w:rPr>
            </w:pPr>
            <w:r>
              <w:rPr>
                <w:szCs w:val="21"/>
              </w:rPr>
              <w:t>1F砖混</w:t>
            </w:r>
          </w:p>
        </w:tc>
        <w:tc>
          <w:tcPr>
            <w:tcW w:w="414" w:type="pct"/>
            <w:tcBorders>
              <w:tl2br w:val="nil"/>
              <w:tr2bl w:val="nil"/>
            </w:tcBorders>
            <w:vAlign w:val="center"/>
          </w:tcPr>
          <w:p>
            <w:pPr>
              <w:spacing w:line="240" w:lineRule="exact"/>
              <w:jc w:val="center"/>
              <w:rPr>
                <w:szCs w:val="21"/>
              </w:rPr>
            </w:pPr>
            <w:r>
              <w:rPr>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1" w:hRule="exact"/>
          <w:jc w:val="center"/>
        </w:trPr>
        <w:tc>
          <w:tcPr>
            <w:tcW w:w="250" w:type="pct"/>
            <w:tcBorders>
              <w:tl2br w:val="nil"/>
              <w:tr2bl w:val="nil"/>
            </w:tcBorders>
            <w:vAlign w:val="center"/>
          </w:tcPr>
          <w:p>
            <w:pPr>
              <w:spacing w:line="240" w:lineRule="exact"/>
              <w:jc w:val="center"/>
              <w:rPr>
                <w:szCs w:val="21"/>
              </w:rPr>
            </w:pPr>
            <w:r>
              <w:rPr>
                <w:rFonts w:hint="eastAsia"/>
                <w:szCs w:val="21"/>
              </w:rPr>
              <w:t>4</w:t>
            </w:r>
          </w:p>
        </w:tc>
        <w:tc>
          <w:tcPr>
            <w:tcW w:w="1091" w:type="pct"/>
            <w:tcBorders>
              <w:tl2br w:val="nil"/>
              <w:tr2bl w:val="nil"/>
            </w:tcBorders>
            <w:vAlign w:val="center"/>
          </w:tcPr>
          <w:p>
            <w:pPr>
              <w:pStyle w:val="24"/>
              <w:widowControl w:val="0"/>
              <w:spacing w:line="240" w:lineRule="exact"/>
              <w:jc w:val="center"/>
              <w:rPr>
                <w:rFonts w:ascii="Times New Roman" w:hAnsi="Times New Roman"/>
                <w:sz w:val="21"/>
                <w:szCs w:val="21"/>
                <w:lang w:eastAsia="zh-CN"/>
              </w:rPr>
            </w:pPr>
            <w:r>
              <w:rPr>
                <w:rFonts w:ascii="Times New Roman" w:hAnsi="Times New Roman"/>
                <w:sz w:val="21"/>
                <w:szCs w:val="21"/>
                <w:lang w:eastAsia="zh-CN"/>
              </w:rPr>
              <w:t>清水池/浓缩液池</w:t>
            </w:r>
          </w:p>
        </w:tc>
        <w:tc>
          <w:tcPr>
            <w:tcW w:w="1274" w:type="pct"/>
            <w:tcBorders>
              <w:tl2br w:val="nil"/>
              <w:tr2bl w:val="nil"/>
            </w:tcBorders>
            <w:vAlign w:val="center"/>
          </w:tcPr>
          <w:p>
            <w:pPr>
              <w:spacing w:line="260" w:lineRule="exact"/>
              <w:jc w:val="center"/>
              <w:rPr>
                <w:szCs w:val="21"/>
              </w:rPr>
            </w:pPr>
            <w:r>
              <w:rPr>
                <w:szCs w:val="21"/>
              </w:rPr>
              <w:t>9.</w:t>
            </w:r>
            <w:r>
              <w:rPr>
                <w:rFonts w:hint="eastAsia"/>
                <w:szCs w:val="21"/>
              </w:rPr>
              <w:t>6m</w:t>
            </w:r>
            <w:r>
              <w:rPr>
                <w:szCs w:val="21"/>
              </w:rPr>
              <w:t>×</w:t>
            </w:r>
            <w:r>
              <w:rPr>
                <w:rFonts w:hint="eastAsia"/>
                <w:szCs w:val="21"/>
              </w:rPr>
              <w:t>6.3m</w:t>
            </w:r>
            <w:r>
              <w:rPr>
                <w:szCs w:val="21"/>
              </w:rPr>
              <w:t>×</w:t>
            </w:r>
            <w:r>
              <w:rPr>
                <w:rFonts w:hint="eastAsia"/>
                <w:szCs w:val="21"/>
              </w:rPr>
              <w:t>3.5</w:t>
            </w:r>
            <w:r>
              <w:rPr>
                <w:szCs w:val="21"/>
              </w:rPr>
              <w:t>m</w:t>
            </w:r>
            <w:r>
              <w:rPr>
                <w:rFonts w:hint="eastAsia"/>
                <w:szCs w:val="21"/>
              </w:rPr>
              <w:t>（h），总容积约200m</w:t>
            </w:r>
            <w:r>
              <w:rPr>
                <w:rFonts w:hint="eastAsia"/>
                <w:szCs w:val="21"/>
                <w:vertAlign w:val="superscript"/>
              </w:rPr>
              <w:t>3</w:t>
            </w:r>
          </w:p>
        </w:tc>
        <w:tc>
          <w:tcPr>
            <w:tcW w:w="1444" w:type="pct"/>
            <w:tcBorders>
              <w:tl2br w:val="nil"/>
              <w:tr2bl w:val="nil"/>
            </w:tcBorders>
            <w:vAlign w:val="center"/>
          </w:tcPr>
          <w:p>
            <w:pPr>
              <w:spacing w:line="240" w:lineRule="exact"/>
              <w:jc w:val="center"/>
              <w:rPr>
                <w:szCs w:val="21"/>
              </w:rPr>
            </w:pPr>
            <w:r>
              <w:rPr>
                <w:rFonts w:hint="eastAsia"/>
                <w:szCs w:val="21"/>
              </w:rPr>
              <w:t>埋地钢混，全封闭，池内中间设隔断，其中</w:t>
            </w:r>
            <w:r>
              <w:rPr>
                <w:szCs w:val="21"/>
              </w:rPr>
              <w:t>清水池</w:t>
            </w:r>
            <w:r>
              <w:rPr>
                <w:rFonts w:hint="eastAsia"/>
                <w:szCs w:val="21"/>
              </w:rPr>
              <w:t>120m</w:t>
            </w:r>
            <w:r>
              <w:rPr>
                <w:rFonts w:hint="eastAsia"/>
                <w:szCs w:val="21"/>
                <w:vertAlign w:val="superscript"/>
              </w:rPr>
              <w:t>3</w:t>
            </w:r>
            <w:r>
              <w:rPr>
                <w:rFonts w:hint="eastAsia"/>
                <w:szCs w:val="21"/>
              </w:rPr>
              <w:t>，浓缩液池80m</w:t>
            </w:r>
            <w:r>
              <w:rPr>
                <w:rFonts w:hint="eastAsia"/>
                <w:szCs w:val="21"/>
                <w:vertAlign w:val="superscript"/>
              </w:rPr>
              <w:t>3</w:t>
            </w:r>
          </w:p>
        </w:tc>
        <w:tc>
          <w:tcPr>
            <w:tcW w:w="414" w:type="pct"/>
            <w:tcBorders>
              <w:tl2br w:val="nil"/>
              <w:tr2bl w:val="nil"/>
            </w:tcBorders>
            <w:vAlign w:val="center"/>
          </w:tcPr>
          <w:p>
            <w:pPr>
              <w:spacing w:line="240" w:lineRule="exact"/>
              <w:jc w:val="center"/>
              <w:rPr>
                <w:szCs w:val="21"/>
              </w:rPr>
            </w:pPr>
            <w:r>
              <w:rPr>
                <w:rFonts w:hint="eastAsia"/>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5</w:t>
            </w:r>
          </w:p>
        </w:tc>
        <w:tc>
          <w:tcPr>
            <w:tcW w:w="1091" w:type="pct"/>
            <w:tcBorders>
              <w:tl2br w:val="nil"/>
              <w:tr2bl w:val="nil"/>
            </w:tcBorders>
            <w:vAlign w:val="center"/>
          </w:tcPr>
          <w:p>
            <w:pPr>
              <w:pStyle w:val="24"/>
              <w:widowControl w:val="0"/>
              <w:spacing w:line="320" w:lineRule="exact"/>
              <w:jc w:val="center"/>
              <w:rPr>
                <w:rFonts w:ascii="Times New Roman" w:hAnsi="Times New Roman"/>
                <w:sz w:val="21"/>
                <w:szCs w:val="21"/>
                <w:lang w:eastAsia="zh-CN"/>
              </w:rPr>
            </w:pPr>
            <w:r>
              <w:rPr>
                <w:rFonts w:ascii="Times New Roman" w:hAnsi="Times New Roman"/>
                <w:sz w:val="21"/>
                <w:szCs w:val="21"/>
                <w:lang w:eastAsia="zh-CN"/>
              </w:rPr>
              <w:t>填埋气抽气机房</w:t>
            </w:r>
          </w:p>
        </w:tc>
        <w:tc>
          <w:tcPr>
            <w:tcW w:w="1274" w:type="pct"/>
            <w:tcBorders>
              <w:tl2br w:val="nil"/>
              <w:tr2bl w:val="nil"/>
            </w:tcBorders>
            <w:vAlign w:val="center"/>
          </w:tcPr>
          <w:p>
            <w:pPr>
              <w:spacing w:line="240" w:lineRule="exact"/>
              <w:jc w:val="center"/>
              <w:rPr>
                <w:szCs w:val="21"/>
              </w:rPr>
            </w:pPr>
            <w:r>
              <w:rPr>
                <w:szCs w:val="21"/>
              </w:rPr>
              <w:t>面积约</w:t>
            </w:r>
            <w:r>
              <w:rPr>
                <w:rFonts w:hint="eastAsia"/>
                <w:szCs w:val="21"/>
              </w:rPr>
              <w:t>55</w:t>
            </w:r>
            <w:r>
              <w:rPr>
                <w:szCs w:val="21"/>
              </w:rPr>
              <w:t>m</w:t>
            </w:r>
            <w:r>
              <w:rPr>
                <w:szCs w:val="21"/>
                <w:vertAlign w:val="superscript"/>
              </w:rPr>
              <w:t>2</w:t>
            </w:r>
          </w:p>
        </w:tc>
        <w:tc>
          <w:tcPr>
            <w:tcW w:w="1444" w:type="pct"/>
            <w:tcBorders>
              <w:tl2br w:val="nil"/>
              <w:tr2bl w:val="nil"/>
            </w:tcBorders>
            <w:vAlign w:val="center"/>
          </w:tcPr>
          <w:p>
            <w:pPr>
              <w:spacing w:line="240" w:lineRule="exact"/>
              <w:jc w:val="center"/>
              <w:rPr>
                <w:szCs w:val="21"/>
              </w:rPr>
            </w:pPr>
            <w:r>
              <w:rPr>
                <w:szCs w:val="21"/>
              </w:rPr>
              <w:t>1F砖混</w:t>
            </w:r>
          </w:p>
        </w:tc>
        <w:tc>
          <w:tcPr>
            <w:tcW w:w="414" w:type="pct"/>
            <w:tcBorders>
              <w:tl2br w:val="nil"/>
              <w:tr2bl w:val="nil"/>
            </w:tcBorders>
            <w:vAlign w:val="center"/>
          </w:tcPr>
          <w:p>
            <w:pPr>
              <w:spacing w:line="240" w:lineRule="exact"/>
              <w:jc w:val="center"/>
              <w:rPr>
                <w:szCs w:val="21"/>
              </w:rPr>
            </w:pPr>
            <w:r>
              <w:rPr>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6</w:t>
            </w:r>
          </w:p>
        </w:tc>
        <w:tc>
          <w:tcPr>
            <w:tcW w:w="1091" w:type="pct"/>
            <w:tcBorders>
              <w:tl2br w:val="nil"/>
              <w:tr2bl w:val="nil"/>
            </w:tcBorders>
            <w:vAlign w:val="center"/>
          </w:tcPr>
          <w:p>
            <w:pPr>
              <w:spacing w:line="240" w:lineRule="exact"/>
              <w:jc w:val="center"/>
              <w:rPr>
                <w:szCs w:val="21"/>
              </w:rPr>
            </w:pPr>
            <w:r>
              <w:rPr>
                <w:rFonts w:hint="eastAsia"/>
                <w:szCs w:val="21"/>
              </w:rPr>
              <w:t>综合房</w:t>
            </w:r>
          </w:p>
        </w:tc>
        <w:tc>
          <w:tcPr>
            <w:tcW w:w="1274" w:type="pct"/>
            <w:tcBorders>
              <w:tl2br w:val="nil"/>
              <w:tr2bl w:val="nil"/>
            </w:tcBorders>
            <w:vAlign w:val="center"/>
          </w:tcPr>
          <w:p>
            <w:pPr>
              <w:spacing w:line="240" w:lineRule="exact"/>
              <w:jc w:val="center"/>
              <w:rPr>
                <w:szCs w:val="21"/>
              </w:rPr>
            </w:pPr>
            <w:r>
              <w:rPr>
                <w:szCs w:val="21"/>
              </w:rPr>
              <w:t>面积约</w:t>
            </w:r>
            <w:r>
              <w:rPr>
                <w:rFonts w:hint="eastAsia"/>
                <w:szCs w:val="21"/>
              </w:rPr>
              <w:t>73</w:t>
            </w:r>
            <w:r>
              <w:rPr>
                <w:szCs w:val="21"/>
              </w:rPr>
              <w:t>m</w:t>
            </w:r>
            <w:r>
              <w:rPr>
                <w:szCs w:val="21"/>
                <w:vertAlign w:val="superscript"/>
              </w:rPr>
              <w:t>2</w:t>
            </w:r>
          </w:p>
        </w:tc>
        <w:tc>
          <w:tcPr>
            <w:tcW w:w="1444" w:type="pct"/>
            <w:tcBorders>
              <w:tl2br w:val="nil"/>
              <w:tr2bl w:val="nil"/>
            </w:tcBorders>
            <w:vAlign w:val="center"/>
          </w:tcPr>
          <w:p>
            <w:pPr>
              <w:spacing w:line="240" w:lineRule="exact"/>
              <w:jc w:val="center"/>
              <w:rPr>
                <w:szCs w:val="21"/>
              </w:rPr>
            </w:pPr>
            <w:r>
              <w:rPr>
                <w:szCs w:val="21"/>
              </w:rPr>
              <w:t>1F砖混</w:t>
            </w:r>
          </w:p>
        </w:tc>
        <w:tc>
          <w:tcPr>
            <w:tcW w:w="414" w:type="pct"/>
            <w:tcBorders>
              <w:tl2br w:val="nil"/>
              <w:tr2bl w:val="nil"/>
            </w:tcBorders>
            <w:vAlign w:val="center"/>
          </w:tcPr>
          <w:p>
            <w:pPr>
              <w:spacing w:line="240" w:lineRule="exact"/>
              <w:jc w:val="center"/>
              <w:rPr>
                <w:szCs w:val="21"/>
              </w:rPr>
            </w:pPr>
            <w:r>
              <w:rPr>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7</w:t>
            </w:r>
          </w:p>
        </w:tc>
        <w:tc>
          <w:tcPr>
            <w:tcW w:w="1091" w:type="pct"/>
            <w:tcBorders>
              <w:tl2br w:val="nil"/>
              <w:tr2bl w:val="nil"/>
            </w:tcBorders>
            <w:vAlign w:val="center"/>
          </w:tcPr>
          <w:p>
            <w:pPr>
              <w:spacing w:line="240" w:lineRule="exact"/>
              <w:jc w:val="center"/>
              <w:rPr>
                <w:szCs w:val="21"/>
              </w:rPr>
            </w:pPr>
            <w:r>
              <w:rPr>
                <w:rFonts w:hint="eastAsia"/>
                <w:szCs w:val="21"/>
              </w:rPr>
              <w:t>办公房</w:t>
            </w:r>
          </w:p>
        </w:tc>
        <w:tc>
          <w:tcPr>
            <w:tcW w:w="1274" w:type="pct"/>
            <w:tcBorders>
              <w:tl2br w:val="nil"/>
              <w:tr2bl w:val="nil"/>
            </w:tcBorders>
            <w:vAlign w:val="center"/>
          </w:tcPr>
          <w:p>
            <w:pPr>
              <w:spacing w:line="240" w:lineRule="exact"/>
              <w:jc w:val="center"/>
              <w:rPr>
                <w:szCs w:val="21"/>
              </w:rPr>
            </w:pPr>
            <w:r>
              <w:rPr>
                <w:szCs w:val="21"/>
              </w:rPr>
              <w:t>面积约</w:t>
            </w:r>
            <w:r>
              <w:rPr>
                <w:rFonts w:hint="eastAsia"/>
                <w:szCs w:val="21"/>
              </w:rPr>
              <w:t>151</w:t>
            </w:r>
            <w:r>
              <w:rPr>
                <w:szCs w:val="21"/>
              </w:rPr>
              <w:t>m</w:t>
            </w:r>
            <w:r>
              <w:rPr>
                <w:szCs w:val="21"/>
                <w:vertAlign w:val="superscript"/>
              </w:rPr>
              <w:t>2</w:t>
            </w:r>
          </w:p>
        </w:tc>
        <w:tc>
          <w:tcPr>
            <w:tcW w:w="1444" w:type="pct"/>
            <w:tcBorders>
              <w:tl2br w:val="nil"/>
              <w:tr2bl w:val="nil"/>
            </w:tcBorders>
            <w:vAlign w:val="center"/>
          </w:tcPr>
          <w:p>
            <w:pPr>
              <w:spacing w:line="240" w:lineRule="exact"/>
              <w:jc w:val="center"/>
              <w:rPr>
                <w:szCs w:val="21"/>
              </w:rPr>
            </w:pPr>
            <w:r>
              <w:rPr>
                <w:szCs w:val="21"/>
              </w:rPr>
              <w:t>1F砖混</w:t>
            </w:r>
          </w:p>
        </w:tc>
        <w:tc>
          <w:tcPr>
            <w:tcW w:w="414" w:type="pct"/>
            <w:tcBorders>
              <w:tl2br w:val="nil"/>
              <w:tr2bl w:val="nil"/>
            </w:tcBorders>
            <w:vAlign w:val="center"/>
          </w:tcPr>
          <w:p>
            <w:pPr>
              <w:spacing w:line="240" w:lineRule="exact"/>
              <w:jc w:val="center"/>
              <w:rPr>
                <w:szCs w:val="21"/>
              </w:rPr>
            </w:pPr>
            <w:r>
              <w:rPr>
                <w:szCs w:val="21"/>
              </w:rPr>
              <w:t>1座</w:t>
            </w:r>
          </w:p>
        </w:tc>
        <w:tc>
          <w:tcPr>
            <w:tcW w:w="524" w:type="pct"/>
            <w:tcBorders>
              <w:tl2br w:val="nil"/>
              <w:tr2bl w:val="nil"/>
            </w:tcBorders>
            <w:vAlign w:val="center"/>
          </w:tcPr>
          <w:p>
            <w:pPr>
              <w:spacing w:line="240" w:lineRule="exact"/>
              <w:jc w:val="center"/>
              <w:rPr>
                <w:szCs w:val="21"/>
              </w:rPr>
            </w:pPr>
            <w:r>
              <w:rPr>
                <w:rFonts w:hint="eastAsia"/>
                <w:szCs w:val="21"/>
              </w:rPr>
              <w:t>已建</w:t>
            </w:r>
          </w:p>
        </w:tc>
      </w:tr>
    </w:tbl>
    <w:p/>
    <w:p>
      <w:pPr>
        <w:pStyle w:val="6"/>
        <w:spacing w:line="480" w:lineRule="exact"/>
      </w:pPr>
      <w:r>
        <w:rPr>
          <w:rFonts w:hint="eastAsia"/>
        </w:rPr>
        <w:t>3</w:t>
      </w:r>
      <w:r>
        <w:t>.</w:t>
      </w:r>
      <w:r>
        <w:rPr>
          <w:rFonts w:hint="eastAsia"/>
        </w:rPr>
        <w:t>2</w:t>
      </w:r>
      <w:r>
        <w:t>.</w:t>
      </w:r>
      <w:r>
        <w:rPr>
          <w:rFonts w:hint="eastAsia"/>
        </w:rPr>
        <w:t>14公用工程</w:t>
      </w:r>
    </w:p>
    <w:p>
      <w:pPr>
        <w:spacing w:line="500" w:lineRule="exact"/>
        <w:ind w:firstLine="482" w:firstLineChars="200"/>
        <w:rPr>
          <w:sz w:val="24"/>
        </w:rPr>
      </w:pPr>
      <w:r>
        <w:rPr>
          <w:rFonts w:hint="eastAsia"/>
          <w:b/>
          <w:bCs/>
          <w:sz w:val="24"/>
        </w:rPr>
        <w:t>1、</w:t>
      </w:r>
      <w:r>
        <w:rPr>
          <w:b/>
          <w:bCs/>
          <w:sz w:val="24"/>
        </w:rPr>
        <w:t>给水：</w:t>
      </w:r>
      <w:r>
        <w:rPr>
          <w:sz w:val="24"/>
        </w:rPr>
        <w:t>项目用水主要为</w:t>
      </w:r>
      <w:r>
        <w:rPr>
          <w:rFonts w:hint="eastAsia"/>
          <w:sz w:val="24"/>
        </w:rPr>
        <w:t>场内职工生活用水</w:t>
      </w:r>
      <w:r>
        <w:rPr>
          <w:sz w:val="24"/>
        </w:rPr>
        <w:t>、</w:t>
      </w:r>
      <w:r>
        <w:rPr>
          <w:rFonts w:hint="eastAsia"/>
          <w:sz w:val="24"/>
        </w:rPr>
        <w:t>垃圾运输车辆冲洗用水及场地道路抑尘和绿化用水，水源接自辛村自来水管网。</w:t>
      </w:r>
    </w:p>
    <w:p>
      <w:pPr>
        <w:spacing w:line="500" w:lineRule="exact"/>
        <w:ind w:firstLine="480" w:firstLineChars="200"/>
        <w:rPr>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sz w:val="24"/>
        </w:rPr>
        <w:t>职工</w:t>
      </w:r>
      <w:r>
        <w:rPr>
          <w:sz w:val="24"/>
        </w:rPr>
        <w:t>生活用水：场内劳动定员1</w:t>
      </w:r>
      <w:r>
        <w:rPr>
          <w:rFonts w:hint="eastAsia"/>
          <w:sz w:val="24"/>
        </w:rPr>
        <w:t>1</w:t>
      </w:r>
      <w:r>
        <w:rPr>
          <w:sz w:val="24"/>
        </w:rPr>
        <w:t>人，生活用水按100L/人·d计，生活用水量约为1.</w:t>
      </w:r>
      <w:r>
        <w:rPr>
          <w:rFonts w:hint="eastAsia"/>
          <w:sz w:val="24"/>
        </w:rPr>
        <w:t>1</w:t>
      </w:r>
      <w:r>
        <w:rPr>
          <w:sz w:val="24"/>
        </w:rPr>
        <w:t>m</w:t>
      </w:r>
      <w:r>
        <w:rPr>
          <w:sz w:val="24"/>
          <w:vertAlign w:val="superscript"/>
        </w:rPr>
        <w:t>3</w:t>
      </w:r>
      <w:r>
        <w:rPr>
          <w:sz w:val="24"/>
        </w:rPr>
        <w:t>/d。</w:t>
      </w:r>
    </w:p>
    <w:p>
      <w:pPr>
        <w:spacing w:line="50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垃圾运输车辆冲洗用水：</w:t>
      </w:r>
      <w:r>
        <w:rPr>
          <w:rFonts w:hint="eastAsia"/>
          <w:sz w:val="24"/>
        </w:rPr>
        <w:t>垃圾压缩车</w:t>
      </w:r>
      <w:r>
        <w:rPr>
          <w:sz w:val="24"/>
        </w:rPr>
        <w:t>冲洗用水按80L/辆·次</w:t>
      </w:r>
      <w:r>
        <w:rPr>
          <w:rFonts w:hint="eastAsia"/>
          <w:sz w:val="24"/>
        </w:rPr>
        <w:t>计</w:t>
      </w:r>
      <w:r>
        <w:rPr>
          <w:sz w:val="24"/>
        </w:rPr>
        <w:t>，</w:t>
      </w:r>
      <w:r>
        <w:rPr>
          <w:rFonts w:hint="eastAsia"/>
          <w:sz w:val="24"/>
        </w:rPr>
        <w:t>车</w:t>
      </w:r>
      <w:r>
        <w:rPr>
          <w:sz w:val="24"/>
        </w:rPr>
        <w:t>次约为</w:t>
      </w:r>
      <w:r>
        <w:rPr>
          <w:rFonts w:hint="eastAsia"/>
          <w:sz w:val="24"/>
        </w:rPr>
        <w:t>10</w:t>
      </w:r>
      <w:r>
        <w:rPr>
          <w:sz w:val="24"/>
        </w:rPr>
        <w:t>车</w:t>
      </w:r>
      <w:r>
        <w:rPr>
          <w:rFonts w:hint="eastAsia"/>
          <w:sz w:val="24"/>
        </w:rPr>
        <w:t>次</w:t>
      </w:r>
      <w:r>
        <w:rPr>
          <w:sz w:val="24"/>
        </w:rPr>
        <w:t>/d，车辆冲洗用水量</w:t>
      </w:r>
      <w:r>
        <w:rPr>
          <w:rFonts w:hint="eastAsia"/>
          <w:sz w:val="24"/>
        </w:rPr>
        <w:t>约</w:t>
      </w:r>
      <w:r>
        <w:rPr>
          <w:sz w:val="24"/>
        </w:rPr>
        <w:t>为</w:t>
      </w:r>
      <w:r>
        <w:rPr>
          <w:rFonts w:hint="eastAsia"/>
          <w:sz w:val="24"/>
        </w:rPr>
        <w:t>0.8</w:t>
      </w:r>
      <w:r>
        <w:rPr>
          <w:sz w:val="24"/>
        </w:rPr>
        <w:t>m</w:t>
      </w:r>
      <w:r>
        <w:rPr>
          <w:sz w:val="24"/>
          <w:vertAlign w:val="superscript"/>
        </w:rPr>
        <w:t>3</w:t>
      </w:r>
      <w:r>
        <w:rPr>
          <w:sz w:val="24"/>
        </w:rPr>
        <w:t>/d。</w:t>
      </w:r>
    </w:p>
    <w:p>
      <w:pPr>
        <w:spacing w:line="50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道路抑尘和绿化用水：</w:t>
      </w:r>
      <w:r>
        <w:rPr>
          <w:rFonts w:hint="eastAsia"/>
          <w:sz w:val="24"/>
        </w:rPr>
        <w:t>项目</w:t>
      </w:r>
      <w:r>
        <w:rPr>
          <w:sz w:val="24"/>
        </w:rPr>
        <w:t>进场</w:t>
      </w:r>
      <w:r>
        <w:rPr>
          <w:rFonts w:hint="eastAsia"/>
          <w:sz w:val="24"/>
        </w:rPr>
        <w:t>及场内</w:t>
      </w:r>
      <w:r>
        <w:rPr>
          <w:sz w:val="24"/>
        </w:rPr>
        <w:t>道路面积约8000m</w:t>
      </w:r>
      <w:r>
        <w:rPr>
          <w:sz w:val="24"/>
          <w:vertAlign w:val="superscript"/>
        </w:rPr>
        <w:t>2</w:t>
      </w:r>
      <w:r>
        <w:rPr>
          <w:sz w:val="24"/>
        </w:rPr>
        <w:t>，用水量按0.5L/m</w:t>
      </w:r>
      <w:r>
        <w:rPr>
          <w:sz w:val="24"/>
          <w:vertAlign w:val="superscript"/>
        </w:rPr>
        <w:t>2</w:t>
      </w:r>
      <w:r>
        <w:rPr>
          <w:sz w:val="24"/>
        </w:rPr>
        <w:t>•次</w:t>
      </w:r>
      <w:r>
        <w:rPr>
          <w:rFonts w:hint="eastAsia"/>
          <w:sz w:val="24"/>
        </w:rPr>
        <w:t>、</w:t>
      </w:r>
      <w:r>
        <w:rPr>
          <w:sz w:val="24"/>
        </w:rPr>
        <w:t>2次/d计，道路</w:t>
      </w:r>
      <w:r>
        <w:rPr>
          <w:rFonts w:hint="eastAsia"/>
          <w:sz w:val="24"/>
        </w:rPr>
        <w:t>抑尘</w:t>
      </w:r>
      <w:r>
        <w:rPr>
          <w:sz w:val="24"/>
        </w:rPr>
        <w:t>用水量</w:t>
      </w:r>
      <w:r>
        <w:rPr>
          <w:rFonts w:hint="eastAsia"/>
          <w:sz w:val="24"/>
        </w:rPr>
        <w:t>约</w:t>
      </w:r>
      <w:r>
        <w:rPr>
          <w:sz w:val="24"/>
        </w:rPr>
        <w:t>8m</w:t>
      </w:r>
      <w:r>
        <w:rPr>
          <w:sz w:val="24"/>
          <w:vertAlign w:val="superscript"/>
        </w:rPr>
        <w:t>3</w:t>
      </w:r>
      <w:r>
        <w:rPr>
          <w:sz w:val="24"/>
        </w:rPr>
        <w:t>/d</w:t>
      </w:r>
      <w:r>
        <w:rPr>
          <w:rFonts w:hint="eastAsia"/>
          <w:sz w:val="24"/>
        </w:rPr>
        <w:t>；</w:t>
      </w:r>
      <w:r>
        <w:rPr>
          <w:sz w:val="24"/>
        </w:rPr>
        <w:t>场地绿化面积</w:t>
      </w:r>
      <w:r>
        <w:rPr>
          <w:rFonts w:hint="eastAsia"/>
          <w:sz w:val="24"/>
        </w:rPr>
        <w:t>约</w:t>
      </w:r>
      <w:r>
        <w:rPr>
          <w:sz w:val="24"/>
        </w:rPr>
        <w:t>840m</w:t>
      </w:r>
      <w:r>
        <w:rPr>
          <w:sz w:val="24"/>
          <w:vertAlign w:val="superscript"/>
        </w:rPr>
        <w:t>2</w:t>
      </w:r>
      <w:r>
        <w:rPr>
          <w:sz w:val="24"/>
        </w:rPr>
        <w:t>，用水量按1.0L/m</w:t>
      </w:r>
      <w:r>
        <w:rPr>
          <w:sz w:val="24"/>
          <w:vertAlign w:val="superscript"/>
        </w:rPr>
        <w:t>2</w:t>
      </w:r>
      <w:r>
        <w:rPr>
          <w:sz w:val="24"/>
        </w:rPr>
        <w:t>•次</w:t>
      </w:r>
      <w:r>
        <w:rPr>
          <w:rFonts w:hint="eastAsia"/>
          <w:sz w:val="24"/>
        </w:rPr>
        <w:t>、</w:t>
      </w:r>
      <w:r>
        <w:rPr>
          <w:sz w:val="24"/>
        </w:rPr>
        <w:t>2次/d计，绿化用水量约1.68m</w:t>
      </w:r>
      <w:r>
        <w:rPr>
          <w:sz w:val="24"/>
          <w:vertAlign w:val="superscript"/>
        </w:rPr>
        <w:t>3</w:t>
      </w:r>
      <w:r>
        <w:rPr>
          <w:sz w:val="24"/>
        </w:rPr>
        <w:t>/d</w:t>
      </w:r>
      <w:r>
        <w:rPr>
          <w:rFonts w:hint="eastAsia"/>
          <w:sz w:val="24"/>
        </w:rPr>
        <w:t>，项目</w:t>
      </w:r>
      <w:r>
        <w:rPr>
          <w:sz w:val="24"/>
        </w:rPr>
        <w:t>道路抑尘和绿化用水合计约9.68m</w:t>
      </w:r>
      <w:r>
        <w:rPr>
          <w:sz w:val="24"/>
          <w:vertAlign w:val="superscript"/>
        </w:rPr>
        <w:t>3</w:t>
      </w:r>
      <w:r>
        <w:rPr>
          <w:sz w:val="24"/>
        </w:rPr>
        <w:t>/d。</w:t>
      </w:r>
    </w:p>
    <w:p>
      <w:pPr>
        <w:spacing w:line="500" w:lineRule="exact"/>
        <w:ind w:firstLine="482" w:firstLineChars="200"/>
        <w:rPr>
          <w:sz w:val="24"/>
        </w:rPr>
      </w:pPr>
      <w:r>
        <w:rPr>
          <w:rFonts w:hint="eastAsia"/>
          <w:b/>
          <w:bCs/>
          <w:sz w:val="24"/>
        </w:rPr>
        <w:t>2、</w:t>
      </w:r>
      <w:r>
        <w:rPr>
          <w:b/>
          <w:bCs/>
          <w:sz w:val="24"/>
        </w:rPr>
        <w:t>排水：</w:t>
      </w:r>
      <w:r>
        <w:rPr>
          <w:rFonts w:hint="eastAsia"/>
          <w:sz w:val="24"/>
        </w:rPr>
        <w:t>项目排水主要为垃圾填埋渗滤液及职工生活废水、洗车废水，上述废水全部进入渗滤液处理车间进行处理，出水满足《城市污水再生利用城市杂用水水质》(GB/T18920­2020)要求后全部回用于场地及县城绿化、道路清扫，项目无外排废水。</w:t>
      </w:r>
    </w:p>
    <w:p>
      <w:pPr>
        <w:spacing w:line="500" w:lineRule="exact"/>
        <w:ind w:firstLine="480" w:firstLineChars="200"/>
        <w:rPr>
          <w:sz w:val="24"/>
        </w:rPr>
      </w:pPr>
      <w:r>
        <w:rPr>
          <w:rFonts w:hint="eastAsia"/>
          <w:sz w:val="24"/>
        </w:rPr>
        <w:t>项目用排水情况详见下表3.2-7和水平衡图。</w:t>
      </w:r>
    </w:p>
    <w:p>
      <w:pPr>
        <w:spacing w:line="500" w:lineRule="exact"/>
        <w:ind w:firstLine="482" w:firstLineChars="200"/>
        <w:rPr>
          <w:sz w:val="24"/>
        </w:rPr>
      </w:pPr>
      <w:r>
        <w:rPr>
          <w:b/>
          <w:bCs/>
          <w:sz w:val="24"/>
        </w:rPr>
        <w:t>3、供电：</w:t>
      </w:r>
      <w:r>
        <w:rPr>
          <w:sz w:val="24"/>
        </w:rPr>
        <w:t>由辛村110KV变电站接入，场内设变压器。</w:t>
      </w:r>
    </w:p>
    <w:p>
      <w:pPr>
        <w:spacing w:line="500" w:lineRule="exact"/>
        <w:ind w:firstLine="482" w:firstLineChars="200"/>
        <w:rPr>
          <w:sz w:val="24"/>
        </w:rPr>
      </w:pPr>
      <w:r>
        <w:rPr>
          <w:b/>
          <w:bCs/>
          <w:sz w:val="24"/>
        </w:rPr>
        <w:t>4、供热：</w:t>
      </w:r>
      <w:r>
        <w:rPr>
          <w:sz w:val="24"/>
        </w:rPr>
        <w:t>管理区冬季采用空调取暖，场内不设锅炉等供热设施</w:t>
      </w:r>
      <w:r>
        <w:rPr>
          <w:rFonts w:hint="eastAsia"/>
          <w:sz w:val="24"/>
        </w:rPr>
        <w:t>。</w:t>
      </w:r>
    </w:p>
    <w:p>
      <w:pPr>
        <w:snapToGrid w:val="0"/>
        <w:spacing w:line="500" w:lineRule="atLeast"/>
        <w:jc w:val="center"/>
        <w:rPr>
          <w:b/>
          <w:spacing w:val="4"/>
          <w:sz w:val="24"/>
        </w:rPr>
      </w:pPr>
      <w:r>
        <w:rPr>
          <w:rFonts w:hint="eastAsia"/>
          <w:b/>
          <w:spacing w:val="4"/>
          <w:sz w:val="24"/>
        </w:rPr>
        <w:t>表3.2-8  项目用、排水情况一览表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7"/>
        <w:gridCol w:w="1476"/>
        <w:gridCol w:w="947"/>
        <w:gridCol w:w="1319"/>
        <w:gridCol w:w="864"/>
        <w:gridCol w:w="864"/>
        <w:gridCol w:w="26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vMerge w:val="restart"/>
            <w:tcBorders>
              <w:tl2br w:val="nil"/>
              <w:tr2bl w:val="nil"/>
            </w:tcBorders>
            <w:vAlign w:val="center"/>
          </w:tcPr>
          <w:p>
            <w:pPr>
              <w:widowControl/>
              <w:spacing w:line="240" w:lineRule="exact"/>
              <w:jc w:val="center"/>
              <w:rPr>
                <w:szCs w:val="21"/>
              </w:rPr>
            </w:pPr>
            <w:r>
              <w:rPr>
                <w:rFonts w:hint="eastAsia"/>
                <w:szCs w:val="21"/>
              </w:rPr>
              <w:t>序号</w:t>
            </w:r>
          </w:p>
        </w:tc>
        <w:tc>
          <w:tcPr>
            <w:tcW w:w="866" w:type="pct"/>
            <w:vMerge w:val="restart"/>
            <w:tcBorders>
              <w:tl2br w:val="nil"/>
              <w:tr2bl w:val="nil"/>
            </w:tcBorders>
            <w:vAlign w:val="center"/>
          </w:tcPr>
          <w:p>
            <w:pPr>
              <w:widowControl/>
              <w:spacing w:line="240" w:lineRule="exact"/>
              <w:jc w:val="center"/>
              <w:rPr>
                <w:szCs w:val="21"/>
              </w:rPr>
            </w:pPr>
            <w:r>
              <w:rPr>
                <w:rFonts w:hint="eastAsia"/>
                <w:szCs w:val="21"/>
              </w:rPr>
              <w:t>产排环节</w:t>
            </w:r>
          </w:p>
        </w:tc>
        <w:tc>
          <w:tcPr>
            <w:tcW w:w="556" w:type="pct"/>
            <w:vMerge w:val="restart"/>
            <w:tcBorders>
              <w:tl2br w:val="nil"/>
              <w:tr2bl w:val="nil"/>
            </w:tcBorders>
            <w:vAlign w:val="center"/>
          </w:tcPr>
          <w:p>
            <w:pPr>
              <w:widowControl/>
              <w:spacing w:line="240" w:lineRule="exact"/>
              <w:jc w:val="center"/>
              <w:rPr>
                <w:szCs w:val="21"/>
              </w:rPr>
            </w:pPr>
            <w:r>
              <w:rPr>
                <w:rFonts w:hint="eastAsia"/>
                <w:szCs w:val="21"/>
              </w:rPr>
              <w:t>数量</w:t>
            </w:r>
          </w:p>
        </w:tc>
        <w:tc>
          <w:tcPr>
            <w:tcW w:w="774" w:type="pct"/>
            <w:vMerge w:val="restart"/>
            <w:tcBorders>
              <w:tl2br w:val="nil"/>
              <w:tr2bl w:val="nil"/>
            </w:tcBorders>
            <w:vAlign w:val="center"/>
          </w:tcPr>
          <w:p>
            <w:pPr>
              <w:widowControl/>
              <w:spacing w:line="240" w:lineRule="exact"/>
              <w:jc w:val="center"/>
              <w:rPr>
                <w:szCs w:val="21"/>
              </w:rPr>
            </w:pPr>
            <w:r>
              <w:rPr>
                <w:rFonts w:hint="eastAsia"/>
                <w:szCs w:val="21"/>
              </w:rPr>
              <w:t>定额</w:t>
            </w:r>
          </w:p>
        </w:tc>
        <w:tc>
          <w:tcPr>
            <w:tcW w:w="507" w:type="pct"/>
            <w:tcBorders>
              <w:tl2br w:val="nil"/>
              <w:tr2bl w:val="nil"/>
            </w:tcBorders>
            <w:vAlign w:val="center"/>
          </w:tcPr>
          <w:p>
            <w:pPr>
              <w:spacing w:line="240" w:lineRule="exact"/>
              <w:jc w:val="center"/>
              <w:rPr>
                <w:szCs w:val="21"/>
              </w:rPr>
            </w:pPr>
            <w:r>
              <w:rPr>
                <w:rFonts w:hint="eastAsia"/>
                <w:szCs w:val="21"/>
              </w:rPr>
              <w:t>用水量</w:t>
            </w:r>
          </w:p>
        </w:tc>
        <w:tc>
          <w:tcPr>
            <w:tcW w:w="507" w:type="pct"/>
            <w:tcBorders>
              <w:tl2br w:val="nil"/>
              <w:tr2bl w:val="nil"/>
            </w:tcBorders>
            <w:vAlign w:val="center"/>
          </w:tcPr>
          <w:p>
            <w:pPr>
              <w:spacing w:line="240" w:lineRule="exact"/>
              <w:jc w:val="center"/>
              <w:rPr>
                <w:szCs w:val="21"/>
              </w:rPr>
            </w:pPr>
            <w:r>
              <w:rPr>
                <w:rFonts w:hint="eastAsia"/>
                <w:szCs w:val="21"/>
              </w:rPr>
              <w:t>排水量</w:t>
            </w:r>
          </w:p>
        </w:tc>
        <w:tc>
          <w:tcPr>
            <w:tcW w:w="1538" w:type="pct"/>
            <w:tcBorders>
              <w:tl2br w:val="nil"/>
              <w:tr2bl w:val="nil"/>
            </w:tcBorders>
            <w:vAlign w:val="center"/>
          </w:tcPr>
          <w:p>
            <w:pPr>
              <w:spacing w:line="240" w:lineRule="exact"/>
              <w:jc w:val="center"/>
              <w:rPr>
                <w:szCs w:val="21"/>
              </w:rPr>
            </w:pPr>
            <w:r>
              <w:rPr>
                <w:rFonts w:hint="eastAsia"/>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9" w:hRule="exact"/>
          <w:jc w:val="center"/>
        </w:trPr>
        <w:tc>
          <w:tcPr>
            <w:tcW w:w="250" w:type="pct"/>
            <w:vMerge w:val="continue"/>
            <w:tcBorders>
              <w:tl2br w:val="nil"/>
              <w:tr2bl w:val="nil"/>
            </w:tcBorders>
            <w:vAlign w:val="center"/>
          </w:tcPr>
          <w:p>
            <w:pPr>
              <w:widowControl/>
              <w:spacing w:line="240" w:lineRule="exact"/>
              <w:jc w:val="center"/>
              <w:rPr>
                <w:szCs w:val="21"/>
              </w:rPr>
            </w:pPr>
          </w:p>
        </w:tc>
        <w:tc>
          <w:tcPr>
            <w:tcW w:w="866" w:type="pct"/>
            <w:vMerge w:val="continue"/>
            <w:tcBorders>
              <w:tl2br w:val="nil"/>
              <w:tr2bl w:val="nil"/>
            </w:tcBorders>
            <w:vAlign w:val="center"/>
          </w:tcPr>
          <w:p>
            <w:pPr>
              <w:widowControl/>
              <w:spacing w:line="240" w:lineRule="exact"/>
              <w:jc w:val="center"/>
              <w:rPr>
                <w:szCs w:val="21"/>
              </w:rPr>
            </w:pPr>
          </w:p>
        </w:tc>
        <w:tc>
          <w:tcPr>
            <w:tcW w:w="556" w:type="pct"/>
            <w:vMerge w:val="continue"/>
            <w:tcBorders>
              <w:tl2br w:val="nil"/>
              <w:tr2bl w:val="nil"/>
            </w:tcBorders>
            <w:vAlign w:val="center"/>
          </w:tcPr>
          <w:p>
            <w:pPr>
              <w:widowControl/>
              <w:spacing w:line="240" w:lineRule="exact"/>
              <w:jc w:val="center"/>
              <w:rPr>
                <w:szCs w:val="21"/>
              </w:rPr>
            </w:pPr>
          </w:p>
        </w:tc>
        <w:tc>
          <w:tcPr>
            <w:tcW w:w="774" w:type="pct"/>
            <w:vMerge w:val="continue"/>
            <w:tcBorders>
              <w:tl2br w:val="nil"/>
              <w:tr2bl w:val="nil"/>
            </w:tcBorders>
            <w:vAlign w:val="center"/>
          </w:tcPr>
          <w:p>
            <w:pPr>
              <w:widowControl/>
              <w:spacing w:line="240" w:lineRule="exact"/>
              <w:jc w:val="center"/>
              <w:rPr>
                <w:szCs w:val="21"/>
              </w:rPr>
            </w:pPr>
          </w:p>
        </w:tc>
        <w:tc>
          <w:tcPr>
            <w:tcW w:w="1014" w:type="pct"/>
            <w:gridSpan w:val="2"/>
            <w:tcBorders>
              <w:tl2br w:val="nil"/>
              <w:tr2bl w:val="nil"/>
            </w:tcBorders>
            <w:vAlign w:val="center"/>
          </w:tcPr>
          <w:p>
            <w:pPr>
              <w:spacing w:line="240" w:lineRule="exact"/>
              <w:jc w:val="center"/>
              <w:rPr>
                <w:szCs w:val="21"/>
              </w:rPr>
            </w:pPr>
            <w:r>
              <w:rPr>
                <w:szCs w:val="21"/>
              </w:rPr>
              <w:t>（m</w:t>
            </w:r>
            <w:r>
              <w:rPr>
                <w:szCs w:val="21"/>
                <w:vertAlign w:val="superscript"/>
              </w:rPr>
              <w:t>3</w:t>
            </w:r>
            <w:r>
              <w:rPr>
                <w:szCs w:val="21"/>
              </w:rPr>
              <w:t>/d）</w:t>
            </w:r>
          </w:p>
        </w:tc>
        <w:tc>
          <w:tcPr>
            <w:tcW w:w="1538" w:type="pct"/>
            <w:tcBorders>
              <w:tl2br w:val="nil"/>
              <w:tr2bl w:val="nil"/>
            </w:tcBorders>
            <w:vAlign w:val="center"/>
          </w:tcPr>
          <w:p>
            <w:pPr>
              <w:spacing w:line="24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250" w:type="pct"/>
            <w:tcBorders>
              <w:tl2br w:val="nil"/>
              <w:tr2bl w:val="nil"/>
            </w:tcBorders>
            <w:vAlign w:val="center"/>
          </w:tcPr>
          <w:p>
            <w:pPr>
              <w:spacing w:line="240" w:lineRule="exact"/>
              <w:jc w:val="center"/>
              <w:rPr>
                <w:szCs w:val="21"/>
              </w:rPr>
            </w:pPr>
            <w:r>
              <w:rPr>
                <w:rFonts w:hint="eastAsia"/>
                <w:szCs w:val="21"/>
              </w:rPr>
              <w:t>1</w:t>
            </w:r>
          </w:p>
        </w:tc>
        <w:tc>
          <w:tcPr>
            <w:tcW w:w="866" w:type="pct"/>
            <w:tcBorders>
              <w:tl2br w:val="nil"/>
              <w:tr2bl w:val="nil"/>
            </w:tcBorders>
            <w:vAlign w:val="center"/>
          </w:tcPr>
          <w:p>
            <w:pPr>
              <w:spacing w:line="240" w:lineRule="exact"/>
              <w:jc w:val="center"/>
              <w:rPr>
                <w:szCs w:val="21"/>
              </w:rPr>
            </w:pPr>
            <w:r>
              <w:rPr>
                <w:rFonts w:hint="eastAsia"/>
                <w:szCs w:val="21"/>
              </w:rPr>
              <w:t>垃圾</w:t>
            </w:r>
            <w:r>
              <w:rPr>
                <w:szCs w:val="21"/>
              </w:rPr>
              <w:t>渗滤液</w:t>
            </w:r>
          </w:p>
        </w:tc>
        <w:tc>
          <w:tcPr>
            <w:tcW w:w="556" w:type="pct"/>
            <w:tcBorders>
              <w:tl2br w:val="nil"/>
              <w:tr2bl w:val="nil"/>
            </w:tcBorders>
            <w:vAlign w:val="center"/>
          </w:tcPr>
          <w:p>
            <w:pPr>
              <w:spacing w:line="240" w:lineRule="exact"/>
              <w:jc w:val="center"/>
              <w:rPr>
                <w:szCs w:val="21"/>
              </w:rPr>
            </w:pPr>
          </w:p>
        </w:tc>
        <w:tc>
          <w:tcPr>
            <w:tcW w:w="774" w:type="pct"/>
            <w:tcBorders>
              <w:tl2br w:val="nil"/>
              <w:tr2bl w:val="nil"/>
            </w:tcBorders>
            <w:vAlign w:val="center"/>
          </w:tcPr>
          <w:p>
            <w:pPr>
              <w:spacing w:line="240" w:lineRule="exact"/>
              <w:jc w:val="center"/>
              <w:rPr>
                <w:szCs w:val="21"/>
              </w:rPr>
            </w:pPr>
          </w:p>
        </w:tc>
        <w:tc>
          <w:tcPr>
            <w:tcW w:w="507" w:type="pct"/>
            <w:tcBorders>
              <w:tl2br w:val="nil"/>
              <w:tr2bl w:val="nil"/>
            </w:tcBorders>
            <w:vAlign w:val="center"/>
          </w:tcPr>
          <w:p>
            <w:pPr>
              <w:spacing w:line="240" w:lineRule="exact"/>
              <w:jc w:val="center"/>
              <w:rPr>
                <w:szCs w:val="21"/>
              </w:rPr>
            </w:pPr>
          </w:p>
        </w:tc>
        <w:tc>
          <w:tcPr>
            <w:tcW w:w="507" w:type="pct"/>
            <w:tcBorders>
              <w:tl2br w:val="nil"/>
              <w:tr2bl w:val="nil"/>
            </w:tcBorders>
            <w:vAlign w:val="center"/>
          </w:tcPr>
          <w:p>
            <w:pPr>
              <w:spacing w:line="240" w:lineRule="exact"/>
              <w:jc w:val="center"/>
              <w:rPr>
                <w:szCs w:val="21"/>
              </w:rPr>
            </w:pPr>
            <w:r>
              <w:rPr>
                <w:rFonts w:hint="eastAsia"/>
                <w:szCs w:val="21"/>
              </w:rPr>
              <w:t>20.24</w:t>
            </w:r>
          </w:p>
        </w:tc>
        <w:tc>
          <w:tcPr>
            <w:tcW w:w="1538" w:type="pct"/>
            <w:vMerge w:val="restart"/>
            <w:tcBorders>
              <w:tl2br w:val="nil"/>
              <w:tr2bl w:val="nil"/>
            </w:tcBorders>
            <w:vAlign w:val="center"/>
          </w:tcPr>
          <w:p>
            <w:pPr>
              <w:spacing w:line="240" w:lineRule="exact"/>
              <w:jc w:val="center"/>
              <w:rPr>
                <w:szCs w:val="21"/>
              </w:rPr>
            </w:pPr>
            <w:r>
              <w:rPr>
                <w:rFonts w:hint="eastAsia"/>
                <w:szCs w:val="21"/>
              </w:rPr>
              <w:t>经渗滤液收集池后一起进</w:t>
            </w:r>
            <w:r>
              <w:rPr>
                <w:szCs w:val="21"/>
              </w:rPr>
              <w:t>渗滤液处理车间进行</w:t>
            </w:r>
            <w:r>
              <w:rPr>
                <w:rFonts w:hint="eastAsia"/>
                <w:szCs w:val="21"/>
              </w:rPr>
              <w:t>处理，处理后（78%清净出水+22%反渗透浓水）清净出水全部回用于场地及县城绿化、道路清扫，反渗透浓水回喷库区，项目无外排废水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250" w:type="pct"/>
            <w:tcBorders>
              <w:tl2br w:val="nil"/>
              <w:tr2bl w:val="nil"/>
            </w:tcBorders>
            <w:vAlign w:val="center"/>
          </w:tcPr>
          <w:p>
            <w:pPr>
              <w:spacing w:line="240" w:lineRule="exact"/>
              <w:jc w:val="center"/>
              <w:rPr>
                <w:szCs w:val="21"/>
              </w:rPr>
            </w:pPr>
            <w:r>
              <w:rPr>
                <w:rFonts w:hint="eastAsia"/>
                <w:szCs w:val="21"/>
              </w:rPr>
              <w:t>2</w:t>
            </w:r>
          </w:p>
        </w:tc>
        <w:tc>
          <w:tcPr>
            <w:tcW w:w="866" w:type="pct"/>
            <w:tcBorders>
              <w:tl2br w:val="nil"/>
              <w:tr2bl w:val="nil"/>
            </w:tcBorders>
            <w:vAlign w:val="center"/>
          </w:tcPr>
          <w:p>
            <w:pPr>
              <w:spacing w:line="240" w:lineRule="exact"/>
              <w:jc w:val="center"/>
              <w:rPr>
                <w:szCs w:val="21"/>
              </w:rPr>
            </w:pPr>
            <w:r>
              <w:rPr>
                <w:szCs w:val="21"/>
              </w:rPr>
              <w:t>职工生活</w:t>
            </w:r>
          </w:p>
        </w:tc>
        <w:tc>
          <w:tcPr>
            <w:tcW w:w="556" w:type="pct"/>
            <w:tcBorders>
              <w:tl2br w:val="nil"/>
              <w:tr2bl w:val="nil"/>
            </w:tcBorders>
            <w:vAlign w:val="center"/>
          </w:tcPr>
          <w:p>
            <w:pPr>
              <w:spacing w:line="240" w:lineRule="exact"/>
              <w:jc w:val="center"/>
              <w:rPr>
                <w:szCs w:val="21"/>
              </w:rPr>
            </w:pPr>
            <w:r>
              <w:rPr>
                <w:szCs w:val="21"/>
              </w:rPr>
              <w:t>1</w:t>
            </w:r>
            <w:r>
              <w:rPr>
                <w:rFonts w:hint="eastAsia"/>
                <w:szCs w:val="21"/>
              </w:rPr>
              <w:t>1</w:t>
            </w:r>
            <w:r>
              <w:rPr>
                <w:szCs w:val="21"/>
              </w:rPr>
              <w:t>人</w:t>
            </w:r>
          </w:p>
        </w:tc>
        <w:tc>
          <w:tcPr>
            <w:tcW w:w="774" w:type="pct"/>
            <w:tcBorders>
              <w:tl2br w:val="nil"/>
              <w:tr2bl w:val="nil"/>
            </w:tcBorders>
            <w:vAlign w:val="center"/>
          </w:tcPr>
          <w:p>
            <w:pPr>
              <w:spacing w:line="240" w:lineRule="exact"/>
              <w:jc w:val="center"/>
              <w:rPr>
                <w:szCs w:val="21"/>
              </w:rPr>
            </w:pPr>
            <w:r>
              <w:rPr>
                <w:szCs w:val="21"/>
              </w:rPr>
              <w:t>100L/人·d</w:t>
            </w:r>
          </w:p>
        </w:tc>
        <w:tc>
          <w:tcPr>
            <w:tcW w:w="507" w:type="pct"/>
            <w:tcBorders>
              <w:tl2br w:val="nil"/>
              <w:tr2bl w:val="nil"/>
            </w:tcBorders>
            <w:vAlign w:val="center"/>
          </w:tcPr>
          <w:p>
            <w:pPr>
              <w:spacing w:line="240" w:lineRule="exact"/>
              <w:jc w:val="center"/>
              <w:rPr>
                <w:szCs w:val="21"/>
              </w:rPr>
            </w:pPr>
            <w:r>
              <w:rPr>
                <w:szCs w:val="21"/>
              </w:rPr>
              <w:t>1.</w:t>
            </w:r>
            <w:r>
              <w:rPr>
                <w:rFonts w:hint="eastAsia"/>
                <w:szCs w:val="21"/>
              </w:rPr>
              <w:t>1</w:t>
            </w:r>
          </w:p>
        </w:tc>
        <w:tc>
          <w:tcPr>
            <w:tcW w:w="507" w:type="pct"/>
            <w:tcBorders>
              <w:tl2br w:val="nil"/>
              <w:tr2bl w:val="nil"/>
            </w:tcBorders>
            <w:vAlign w:val="center"/>
          </w:tcPr>
          <w:p>
            <w:pPr>
              <w:spacing w:line="240" w:lineRule="exact"/>
              <w:jc w:val="center"/>
              <w:rPr>
                <w:szCs w:val="21"/>
              </w:rPr>
            </w:pPr>
            <w:r>
              <w:rPr>
                <w:szCs w:val="21"/>
              </w:rPr>
              <w:t>0.8</w:t>
            </w:r>
            <w:r>
              <w:rPr>
                <w:rFonts w:hint="eastAsia"/>
                <w:szCs w:val="21"/>
              </w:rPr>
              <w:t>8</w:t>
            </w:r>
          </w:p>
        </w:tc>
        <w:tc>
          <w:tcPr>
            <w:tcW w:w="1538" w:type="pct"/>
            <w:vMerge w:val="continue"/>
            <w:tcBorders>
              <w:tl2br w:val="nil"/>
              <w:tr2bl w:val="nil"/>
            </w:tcBorders>
            <w:vAlign w:val="center"/>
          </w:tcPr>
          <w:p>
            <w:pPr>
              <w:spacing w:line="24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47" w:hRule="atLeast"/>
          <w:jc w:val="center"/>
        </w:trPr>
        <w:tc>
          <w:tcPr>
            <w:tcW w:w="250" w:type="pct"/>
            <w:tcBorders>
              <w:tl2br w:val="nil"/>
              <w:tr2bl w:val="nil"/>
            </w:tcBorders>
            <w:vAlign w:val="center"/>
          </w:tcPr>
          <w:p>
            <w:pPr>
              <w:spacing w:line="240" w:lineRule="exact"/>
              <w:jc w:val="center"/>
              <w:rPr>
                <w:szCs w:val="21"/>
              </w:rPr>
            </w:pPr>
            <w:r>
              <w:rPr>
                <w:rFonts w:hint="eastAsia"/>
                <w:szCs w:val="21"/>
              </w:rPr>
              <w:t>3</w:t>
            </w:r>
          </w:p>
        </w:tc>
        <w:tc>
          <w:tcPr>
            <w:tcW w:w="866" w:type="pct"/>
            <w:tcBorders>
              <w:tl2br w:val="nil"/>
              <w:tr2bl w:val="nil"/>
            </w:tcBorders>
            <w:vAlign w:val="center"/>
          </w:tcPr>
          <w:p>
            <w:pPr>
              <w:spacing w:line="240" w:lineRule="exact"/>
              <w:jc w:val="center"/>
              <w:rPr>
                <w:kern w:val="0"/>
                <w:szCs w:val="21"/>
                <w:lang w:bidi="en-US"/>
              </w:rPr>
            </w:pPr>
            <w:r>
              <w:rPr>
                <w:szCs w:val="21"/>
              </w:rPr>
              <w:t>车辆冲洗</w:t>
            </w:r>
          </w:p>
        </w:tc>
        <w:tc>
          <w:tcPr>
            <w:tcW w:w="556" w:type="pct"/>
            <w:tcBorders>
              <w:tl2br w:val="nil"/>
              <w:tr2bl w:val="nil"/>
            </w:tcBorders>
            <w:vAlign w:val="center"/>
          </w:tcPr>
          <w:p>
            <w:pPr>
              <w:spacing w:line="240" w:lineRule="exact"/>
              <w:jc w:val="center"/>
              <w:rPr>
                <w:szCs w:val="21"/>
              </w:rPr>
            </w:pPr>
            <w:r>
              <w:rPr>
                <w:rFonts w:hint="eastAsia"/>
                <w:szCs w:val="21"/>
              </w:rPr>
              <w:t>10</w:t>
            </w:r>
            <w:r>
              <w:rPr>
                <w:szCs w:val="21"/>
              </w:rPr>
              <w:t>车次</w:t>
            </w:r>
          </w:p>
        </w:tc>
        <w:tc>
          <w:tcPr>
            <w:tcW w:w="774" w:type="pct"/>
            <w:tcBorders>
              <w:tl2br w:val="nil"/>
              <w:tr2bl w:val="nil"/>
            </w:tcBorders>
            <w:vAlign w:val="center"/>
          </w:tcPr>
          <w:p>
            <w:pPr>
              <w:spacing w:line="240" w:lineRule="exact"/>
              <w:jc w:val="center"/>
              <w:rPr>
                <w:szCs w:val="21"/>
              </w:rPr>
            </w:pPr>
            <w:r>
              <w:rPr>
                <w:szCs w:val="21"/>
              </w:rPr>
              <w:t>80L/车次</w:t>
            </w:r>
          </w:p>
        </w:tc>
        <w:tc>
          <w:tcPr>
            <w:tcW w:w="507" w:type="pct"/>
            <w:tcBorders>
              <w:tl2br w:val="nil"/>
              <w:tr2bl w:val="nil"/>
            </w:tcBorders>
            <w:vAlign w:val="center"/>
          </w:tcPr>
          <w:p>
            <w:pPr>
              <w:spacing w:line="240" w:lineRule="exact"/>
              <w:jc w:val="center"/>
              <w:rPr>
                <w:szCs w:val="21"/>
              </w:rPr>
            </w:pPr>
            <w:r>
              <w:rPr>
                <w:rFonts w:hint="eastAsia"/>
                <w:szCs w:val="21"/>
              </w:rPr>
              <w:t>0.8</w:t>
            </w:r>
          </w:p>
        </w:tc>
        <w:tc>
          <w:tcPr>
            <w:tcW w:w="507" w:type="pct"/>
            <w:tcBorders>
              <w:tl2br w:val="nil"/>
              <w:tr2bl w:val="nil"/>
            </w:tcBorders>
            <w:vAlign w:val="center"/>
          </w:tcPr>
          <w:p>
            <w:pPr>
              <w:spacing w:line="240" w:lineRule="exact"/>
              <w:jc w:val="center"/>
              <w:rPr>
                <w:szCs w:val="21"/>
              </w:rPr>
            </w:pPr>
            <w:r>
              <w:rPr>
                <w:rFonts w:hint="eastAsia"/>
                <w:szCs w:val="21"/>
              </w:rPr>
              <w:t>0.68</w:t>
            </w:r>
          </w:p>
        </w:tc>
        <w:tc>
          <w:tcPr>
            <w:tcW w:w="1538" w:type="pct"/>
            <w:vMerge w:val="continue"/>
            <w:tcBorders>
              <w:tl2br w:val="nil"/>
              <w:tr2bl w:val="nil"/>
            </w:tcBorders>
            <w:vAlign w:val="center"/>
          </w:tcPr>
          <w:p>
            <w:pPr>
              <w:spacing w:line="24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4</w:t>
            </w:r>
          </w:p>
        </w:tc>
        <w:tc>
          <w:tcPr>
            <w:tcW w:w="866" w:type="pct"/>
            <w:tcBorders>
              <w:tl2br w:val="nil"/>
              <w:tr2bl w:val="nil"/>
            </w:tcBorders>
            <w:vAlign w:val="center"/>
          </w:tcPr>
          <w:p>
            <w:pPr>
              <w:spacing w:line="240" w:lineRule="exact"/>
              <w:jc w:val="center"/>
              <w:rPr>
                <w:szCs w:val="21"/>
              </w:rPr>
            </w:pPr>
            <w:r>
              <w:rPr>
                <w:szCs w:val="21"/>
              </w:rPr>
              <w:t>场地道路抑尘</w:t>
            </w:r>
          </w:p>
        </w:tc>
        <w:tc>
          <w:tcPr>
            <w:tcW w:w="556" w:type="pct"/>
            <w:tcBorders>
              <w:tl2br w:val="nil"/>
              <w:tr2bl w:val="nil"/>
            </w:tcBorders>
            <w:vAlign w:val="center"/>
          </w:tcPr>
          <w:p>
            <w:pPr>
              <w:spacing w:line="240" w:lineRule="exact"/>
              <w:jc w:val="center"/>
              <w:rPr>
                <w:szCs w:val="21"/>
              </w:rPr>
            </w:pPr>
            <w:r>
              <w:rPr>
                <w:szCs w:val="21"/>
              </w:rPr>
              <w:t>8000m</w:t>
            </w:r>
            <w:r>
              <w:rPr>
                <w:szCs w:val="21"/>
                <w:vertAlign w:val="superscript"/>
              </w:rPr>
              <w:t>2</w:t>
            </w:r>
          </w:p>
        </w:tc>
        <w:tc>
          <w:tcPr>
            <w:tcW w:w="774" w:type="pct"/>
            <w:tcBorders>
              <w:tl2br w:val="nil"/>
              <w:tr2bl w:val="nil"/>
            </w:tcBorders>
            <w:vAlign w:val="center"/>
          </w:tcPr>
          <w:p>
            <w:pPr>
              <w:spacing w:line="240" w:lineRule="exact"/>
              <w:jc w:val="center"/>
              <w:rPr>
                <w:szCs w:val="21"/>
              </w:rPr>
            </w:pPr>
            <w:r>
              <w:rPr>
                <w:szCs w:val="21"/>
              </w:rPr>
              <w:t>0.5L/m</w:t>
            </w:r>
            <w:r>
              <w:rPr>
                <w:szCs w:val="21"/>
                <w:vertAlign w:val="superscript"/>
              </w:rPr>
              <w:t>2</w:t>
            </w:r>
            <w:r>
              <w:rPr>
                <w:szCs w:val="21"/>
              </w:rPr>
              <w:t>·次</w:t>
            </w:r>
          </w:p>
        </w:tc>
        <w:tc>
          <w:tcPr>
            <w:tcW w:w="507" w:type="pct"/>
            <w:tcBorders>
              <w:tl2br w:val="nil"/>
              <w:tr2bl w:val="nil"/>
            </w:tcBorders>
            <w:vAlign w:val="center"/>
          </w:tcPr>
          <w:p>
            <w:pPr>
              <w:spacing w:line="240" w:lineRule="exact"/>
              <w:jc w:val="center"/>
              <w:rPr>
                <w:szCs w:val="21"/>
              </w:rPr>
            </w:pPr>
            <w:r>
              <w:rPr>
                <w:szCs w:val="21"/>
              </w:rPr>
              <w:t>8.0</w:t>
            </w:r>
          </w:p>
        </w:tc>
        <w:tc>
          <w:tcPr>
            <w:tcW w:w="507" w:type="pct"/>
            <w:tcBorders>
              <w:tl2br w:val="nil"/>
              <w:tr2bl w:val="nil"/>
            </w:tcBorders>
            <w:vAlign w:val="center"/>
          </w:tcPr>
          <w:p>
            <w:pPr>
              <w:spacing w:line="240" w:lineRule="exact"/>
              <w:jc w:val="center"/>
              <w:rPr>
                <w:szCs w:val="21"/>
              </w:rPr>
            </w:pPr>
            <w:r>
              <w:rPr>
                <w:szCs w:val="21"/>
              </w:rPr>
              <w:t>0</w:t>
            </w:r>
          </w:p>
        </w:tc>
        <w:tc>
          <w:tcPr>
            <w:tcW w:w="1538" w:type="pct"/>
            <w:tcBorders>
              <w:tl2br w:val="nil"/>
              <w:tr2bl w:val="nil"/>
            </w:tcBorders>
            <w:vAlign w:val="center"/>
          </w:tcPr>
          <w:p>
            <w:pPr>
              <w:spacing w:line="240" w:lineRule="exact"/>
              <w:jc w:val="center"/>
              <w:rPr>
                <w:szCs w:val="21"/>
              </w:rPr>
            </w:pPr>
            <w:r>
              <w:rPr>
                <w:szCs w:val="21"/>
              </w:rPr>
              <w:t>2次/d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250" w:type="pct"/>
            <w:tcBorders>
              <w:tl2br w:val="nil"/>
              <w:tr2bl w:val="nil"/>
            </w:tcBorders>
            <w:vAlign w:val="center"/>
          </w:tcPr>
          <w:p>
            <w:pPr>
              <w:spacing w:line="240" w:lineRule="exact"/>
              <w:jc w:val="center"/>
              <w:rPr>
                <w:szCs w:val="21"/>
              </w:rPr>
            </w:pPr>
            <w:r>
              <w:rPr>
                <w:rFonts w:hint="eastAsia"/>
                <w:szCs w:val="21"/>
              </w:rPr>
              <w:t>5</w:t>
            </w:r>
          </w:p>
        </w:tc>
        <w:tc>
          <w:tcPr>
            <w:tcW w:w="866" w:type="pct"/>
            <w:tcBorders>
              <w:tl2br w:val="nil"/>
              <w:tr2bl w:val="nil"/>
            </w:tcBorders>
            <w:vAlign w:val="center"/>
          </w:tcPr>
          <w:p>
            <w:pPr>
              <w:spacing w:line="240" w:lineRule="exact"/>
              <w:jc w:val="center"/>
              <w:rPr>
                <w:szCs w:val="21"/>
              </w:rPr>
            </w:pPr>
            <w:r>
              <w:rPr>
                <w:szCs w:val="21"/>
              </w:rPr>
              <w:t>场地绿化</w:t>
            </w:r>
          </w:p>
        </w:tc>
        <w:tc>
          <w:tcPr>
            <w:tcW w:w="556" w:type="pct"/>
            <w:tcBorders>
              <w:tl2br w:val="nil"/>
              <w:tr2bl w:val="nil"/>
            </w:tcBorders>
            <w:vAlign w:val="center"/>
          </w:tcPr>
          <w:p>
            <w:pPr>
              <w:spacing w:line="240" w:lineRule="exact"/>
              <w:jc w:val="center"/>
              <w:rPr>
                <w:szCs w:val="21"/>
              </w:rPr>
            </w:pPr>
            <w:r>
              <w:rPr>
                <w:szCs w:val="21"/>
              </w:rPr>
              <w:t>840m</w:t>
            </w:r>
            <w:r>
              <w:rPr>
                <w:szCs w:val="21"/>
                <w:vertAlign w:val="superscript"/>
              </w:rPr>
              <w:t>2</w:t>
            </w:r>
          </w:p>
        </w:tc>
        <w:tc>
          <w:tcPr>
            <w:tcW w:w="774" w:type="pct"/>
            <w:tcBorders>
              <w:tl2br w:val="nil"/>
              <w:tr2bl w:val="nil"/>
            </w:tcBorders>
            <w:vAlign w:val="center"/>
          </w:tcPr>
          <w:p>
            <w:pPr>
              <w:spacing w:line="240" w:lineRule="exact"/>
              <w:jc w:val="center"/>
              <w:rPr>
                <w:szCs w:val="21"/>
              </w:rPr>
            </w:pPr>
            <w:r>
              <w:rPr>
                <w:szCs w:val="21"/>
              </w:rPr>
              <w:t>1.0 L/m</w:t>
            </w:r>
            <w:r>
              <w:rPr>
                <w:szCs w:val="21"/>
                <w:vertAlign w:val="superscript"/>
              </w:rPr>
              <w:t>2</w:t>
            </w:r>
            <w:r>
              <w:rPr>
                <w:szCs w:val="21"/>
              </w:rPr>
              <w:t>·次,</w:t>
            </w:r>
          </w:p>
        </w:tc>
        <w:tc>
          <w:tcPr>
            <w:tcW w:w="507" w:type="pct"/>
            <w:tcBorders>
              <w:tl2br w:val="nil"/>
              <w:tr2bl w:val="nil"/>
            </w:tcBorders>
            <w:vAlign w:val="center"/>
          </w:tcPr>
          <w:p>
            <w:pPr>
              <w:spacing w:line="240" w:lineRule="exact"/>
              <w:jc w:val="center"/>
              <w:rPr>
                <w:szCs w:val="21"/>
              </w:rPr>
            </w:pPr>
            <w:r>
              <w:rPr>
                <w:szCs w:val="21"/>
              </w:rPr>
              <w:t>1.68</w:t>
            </w:r>
          </w:p>
        </w:tc>
        <w:tc>
          <w:tcPr>
            <w:tcW w:w="507" w:type="pct"/>
            <w:tcBorders>
              <w:tl2br w:val="nil"/>
              <w:tr2bl w:val="nil"/>
            </w:tcBorders>
            <w:vAlign w:val="center"/>
          </w:tcPr>
          <w:p>
            <w:pPr>
              <w:spacing w:line="240" w:lineRule="exact"/>
              <w:jc w:val="center"/>
              <w:rPr>
                <w:szCs w:val="21"/>
              </w:rPr>
            </w:pPr>
            <w:r>
              <w:rPr>
                <w:szCs w:val="21"/>
              </w:rPr>
              <w:t>0</w:t>
            </w:r>
          </w:p>
        </w:tc>
        <w:tc>
          <w:tcPr>
            <w:tcW w:w="1538" w:type="pct"/>
            <w:tcBorders>
              <w:tl2br w:val="nil"/>
              <w:tr2bl w:val="nil"/>
            </w:tcBorders>
            <w:vAlign w:val="center"/>
          </w:tcPr>
          <w:p>
            <w:pPr>
              <w:spacing w:line="240" w:lineRule="exact"/>
              <w:jc w:val="center"/>
              <w:rPr>
                <w:szCs w:val="21"/>
              </w:rPr>
            </w:pPr>
            <w:r>
              <w:rPr>
                <w:szCs w:val="21"/>
              </w:rPr>
              <w:t>仅非采暖期，2次/d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116" w:type="pct"/>
            <w:gridSpan w:val="2"/>
            <w:vMerge w:val="restart"/>
            <w:tcBorders>
              <w:tl2br w:val="nil"/>
              <w:tr2bl w:val="nil"/>
            </w:tcBorders>
            <w:vAlign w:val="center"/>
          </w:tcPr>
          <w:p>
            <w:pPr>
              <w:spacing w:line="240" w:lineRule="exact"/>
              <w:jc w:val="center"/>
              <w:rPr>
                <w:szCs w:val="21"/>
              </w:rPr>
            </w:pPr>
            <w:r>
              <w:rPr>
                <w:rFonts w:hint="eastAsia"/>
                <w:szCs w:val="21"/>
              </w:rPr>
              <w:t>合计</w:t>
            </w:r>
          </w:p>
        </w:tc>
        <w:tc>
          <w:tcPr>
            <w:tcW w:w="556" w:type="pct"/>
            <w:tcBorders>
              <w:tl2br w:val="nil"/>
              <w:tr2bl w:val="nil"/>
            </w:tcBorders>
            <w:vAlign w:val="center"/>
          </w:tcPr>
          <w:p>
            <w:pPr>
              <w:spacing w:line="240" w:lineRule="exact"/>
              <w:jc w:val="center"/>
              <w:rPr>
                <w:szCs w:val="21"/>
              </w:rPr>
            </w:pPr>
          </w:p>
        </w:tc>
        <w:tc>
          <w:tcPr>
            <w:tcW w:w="774" w:type="pct"/>
            <w:tcBorders>
              <w:tl2br w:val="nil"/>
              <w:tr2bl w:val="nil"/>
            </w:tcBorders>
            <w:vAlign w:val="center"/>
          </w:tcPr>
          <w:p>
            <w:pPr>
              <w:spacing w:line="240" w:lineRule="exact"/>
              <w:jc w:val="center"/>
              <w:rPr>
                <w:szCs w:val="21"/>
              </w:rPr>
            </w:pPr>
          </w:p>
        </w:tc>
        <w:tc>
          <w:tcPr>
            <w:tcW w:w="507" w:type="pct"/>
            <w:tcBorders>
              <w:tl2br w:val="nil"/>
              <w:tr2bl w:val="nil"/>
            </w:tcBorders>
            <w:vAlign w:val="center"/>
          </w:tcPr>
          <w:p>
            <w:pPr>
              <w:spacing w:line="240" w:lineRule="exact"/>
              <w:jc w:val="center"/>
              <w:rPr>
                <w:szCs w:val="21"/>
              </w:rPr>
            </w:pPr>
            <w:r>
              <w:rPr>
                <w:rFonts w:hint="eastAsia"/>
                <w:szCs w:val="21"/>
              </w:rPr>
              <w:t>11.58</w:t>
            </w:r>
          </w:p>
        </w:tc>
        <w:tc>
          <w:tcPr>
            <w:tcW w:w="507" w:type="pct"/>
            <w:vMerge w:val="restart"/>
            <w:tcBorders>
              <w:tl2br w:val="nil"/>
              <w:tr2bl w:val="nil"/>
            </w:tcBorders>
            <w:vAlign w:val="center"/>
          </w:tcPr>
          <w:p>
            <w:pPr>
              <w:spacing w:line="240" w:lineRule="exact"/>
              <w:jc w:val="center"/>
              <w:rPr>
                <w:szCs w:val="21"/>
              </w:rPr>
            </w:pPr>
            <w:r>
              <w:rPr>
                <w:rFonts w:hint="eastAsia"/>
                <w:szCs w:val="21"/>
              </w:rPr>
              <w:t>综合利用不外排</w:t>
            </w:r>
          </w:p>
        </w:tc>
        <w:tc>
          <w:tcPr>
            <w:tcW w:w="1538" w:type="pct"/>
            <w:tcBorders>
              <w:tl2br w:val="nil"/>
              <w:tr2bl w:val="nil"/>
            </w:tcBorders>
            <w:vAlign w:val="center"/>
          </w:tcPr>
          <w:p>
            <w:pPr>
              <w:spacing w:line="240" w:lineRule="exact"/>
              <w:jc w:val="center"/>
              <w:rPr>
                <w:szCs w:val="21"/>
              </w:rPr>
            </w:pPr>
            <w:r>
              <w:rPr>
                <w:szCs w:val="21"/>
              </w:rPr>
              <w:t>非采暖期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116" w:type="pct"/>
            <w:gridSpan w:val="2"/>
            <w:vMerge w:val="continue"/>
            <w:tcBorders>
              <w:tl2br w:val="nil"/>
              <w:tr2bl w:val="nil"/>
            </w:tcBorders>
            <w:vAlign w:val="center"/>
          </w:tcPr>
          <w:p>
            <w:pPr>
              <w:spacing w:line="240" w:lineRule="exact"/>
              <w:jc w:val="center"/>
              <w:rPr>
                <w:szCs w:val="21"/>
              </w:rPr>
            </w:pPr>
          </w:p>
        </w:tc>
        <w:tc>
          <w:tcPr>
            <w:tcW w:w="556" w:type="pct"/>
            <w:tcBorders>
              <w:tl2br w:val="nil"/>
              <w:tr2bl w:val="nil"/>
            </w:tcBorders>
            <w:vAlign w:val="center"/>
          </w:tcPr>
          <w:p>
            <w:pPr>
              <w:spacing w:line="240" w:lineRule="exact"/>
              <w:jc w:val="center"/>
              <w:rPr>
                <w:szCs w:val="21"/>
              </w:rPr>
            </w:pPr>
          </w:p>
        </w:tc>
        <w:tc>
          <w:tcPr>
            <w:tcW w:w="774" w:type="pct"/>
            <w:tcBorders>
              <w:tl2br w:val="nil"/>
              <w:tr2bl w:val="nil"/>
            </w:tcBorders>
            <w:vAlign w:val="center"/>
          </w:tcPr>
          <w:p>
            <w:pPr>
              <w:spacing w:line="240" w:lineRule="exact"/>
              <w:jc w:val="center"/>
              <w:rPr>
                <w:szCs w:val="21"/>
              </w:rPr>
            </w:pPr>
          </w:p>
        </w:tc>
        <w:tc>
          <w:tcPr>
            <w:tcW w:w="507" w:type="pct"/>
            <w:tcBorders>
              <w:tl2br w:val="nil"/>
              <w:tr2bl w:val="nil"/>
            </w:tcBorders>
            <w:vAlign w:val="center"/>
          </w:tcPr>
          <w:p>
            <w:pPr>
              <w:spacing w:line="240" w:lineRule="exact"/>
              <w:jc w:val="center"/>
              <w:rPr>
                <w:szCs w:val="21"/>
              </w:rPr>
            </w:pPr>
            <w:r>
              <w:rPr>
                <w:rFonts w:hint="eastAsia"/>
                <w:szCs w:val="21"/>
              </w:rPr>
              <w:t>9.9</w:t>
            </w:r>
          </w:p>
        </w:tc>
        <w:tc>
          <w:tcPr>
            <w:tcW w:w="507" w:type="pct"/>
            <w:vMerge w:val="continue"/>
            <w:tcBorders>
              <w:tl2br w:val="nil"/>
              <w:tr2bl w:val="nil"/>
            </w:tcBorders>
            <w:vAlign w:val="center"/>
          </w:tcPr>
          <w:p>
            <w:pPr>
              <w:spacing w:line="240" w:lineRule="exact"/>
              <w:jc w:val="center"/>
              <w:rPr>
                <w:szCs w:val="21"/>
              </w:rPr>
            </w:pPr>
          </w:p>
        </w:tc>
        <w:tc>
          <w:tcPr>
            <w:tcW w:w="1538" w:type="pct"/>
            <w:tcBorders>
              <w:tl2br w:val="nil"/>
              <w:tr2bl w:val="nil"/>
            </w:tcBorders>
            <w:vAlign w:val="center"/>
          </w:tcPr>
          <w:p>
            <w:pPr>
              <w:spacing w:line="240" w:lineRule="exact"/>
              <w:jc w:val="center"/>
              <w:rPr>
                <w:szCs w:val="21"/>
              </w:rPr>
            </w:pPr>
            <w:r>
              <w:rPr>
                <w:szCs w:val="21"/>
              </w:rPr>
              <w:t>采暖期</w:t>
            </w:r>
          </w:p>
        </w:tc>
      </w:tr>
    </w:tbl>
    <w:p>
      <w:pPr>
        <w:pStyle w:val="38"/>
        <w:ind w:left="420" w:leftChars="200" w:firstLine="0" w:firstLineChars="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项目水平衡图（单位：m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w:t>
      </w:r>
    </w:p>
    <w:p>
      <w:pPr>
        <w:pStyle w:val="38"/>
        <w:spacing w:line="240" w:lineRule="auto"/>
        <w:ind w:firstLine="0" w:firstLineChars="0"/>
        <w:jc w:val="center"/>
        <w:rPr>
          <w:rFonts w:ascii="Times New Roman" w:hAnsi="Times New Roman" w:eastAsia="宋体" w:cs="Times New Roman"/>
          <w:b w:val="0"/>
          <w:bCs w:val="0"/>
          <w:color w:val="auto"/>
          <w:szCs w:val="21"/>
        </w:rPr>
      </w:pPr>
      <w:r>
        <w:rPr>
          <w:rFonts w:ascii="Times New Roman" w:hAnsi="Times New Roman" w:eastAsia="宋体" w:cs="Times New Roman"/>
          <w:b w:val="0"/>
          <w:bCs w:val="0"/>
          <w:color w:val="auto"/>
          <w:szCs w:val="21"/>
        </w:rPr>
        <w:pict>
          <v:shape id="_x0000_s1052" o:spid="_x0000_s1052" o:spt="75" type="#_x0000_t75" style="position:absolute;left:0pt;margin-left:-3pt;margin-top:-3.3pt;height:232.15pt;width:414.9pt;mso-wrap-distance-bottom:0pt;mso-wrap-distance-left:9pt;mso-wrap-distance-right:9pt;mso-wrap-distance-top:0pt;z-index:251664384;mso-width-relative:page;mso-height-relative:page;" o:ole="t" filled="f" o:preferrelative="t" stroked="f" coordsize="21600,21600">
            <v:path/>
            <v:fill on="f" focussize="0,0"/>
            <v:stroke on="f" joinstyle="miter"/>
            <v:imagedata r:id="rId51" o:title=""/>
            <o:lock v:ext="edit" aspectratio="f"/>
            <w10:wrap type="square"/>
          </v:shape>
          <o:OLEObject Type="Embed" ProgID="Visio.Drawing.11" ShapeID="_x0000_s1052" DrawAspect="Content" ObjectID="_1468075725" r:id="rId50">
            <o:LockedField>false</o:LockedField>
          </o:OLEObject>
        </w:pict>
      </w:r>
    </w:p>
    <w:p>
      <w:pPr>
        <w:pStyle w:val="5"/>
        <w:spacing w:beforeLines="0" w:after="120" w:line="500" w:lineRule="exact"/>
        <w:rPr>
          <w:rFonts w:eastAsia="宋体"/>
          <w:b/>
          <w:bCs w:val="0"/>
          <w:color w:val="auto"/>
          <w:szCs w:val="30"/>
          <w:lang w:val="zh-CN"/>
        </w:rPr>
      </w:pPr>
      <w:bookmarkStart w:id="106" w:name="_Toc5364"/>
      <w:bookmarkStart w:id="107" w:name="_Toc2136282297"/>
      <w:r>
        <w:rPr>
          <w:rFonts w:eastAsia="宋体"/>
          <w:b/>
          <w:bCs w:val="0"/>
          <w:color w:val="auto"/>
          <w:szCs w:val="30"/>
        </w:rPr>
        <w:t>3</w:t>
      </w:r>
      <w:r>
        <w:rPr>
          <w:rFonts w:eastAsia="宋体"/>
          <w:b/>
          <w:bCs w:val="0"/>
          <w:color w:val="auto"/>
          <w:szCs w:val="30"/>
          <w:lang w:val="zh-CN"/>
        </w:rPr>
        <w:t>.</w:t>
      </w:r>
      <w:r>
        <w:rPr>
          <w:rFonts w:hint="eastAsia" w:eastAsia="宋体"/>
          <w:b/>
          <w:bCs w:val="0"/>
          <w:color w:val="auto"/>
          <w:szCs w:val="30"/>
        </w:rPr>
        <w:t>3</w:t>
      </w:r>
      <w:bookmarkEnd w:id="106"/>
      <w:r>
        <w:rPr>
          <w:rFonts w:hint="eastAsia" w:eastAsia="宋体"/>
          <w:b/>
          <w:bCs w:val="0"/>
          <w:color w:val="auto"/>
          <w:szCs w:val="30"/>
          <w:lang w:val="zh-CN"/>
        </w:rPr>
        <w:t>垃圾填埋工艺流程</w:t>
      </w:r>
      <w:bookmarkEnd w:id="107"/>
    </w:p>
    <w:p>
      <w:pPr>
        <w:pStyle w:val="38"/>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项目生活垃圾卫生填埋工艺应严格按照《生活垃圾卫生填埋处理技术规范》(GB50869-2013)等国家有关标准和规范进行。</w:t>
      </w:r>
    </w:p>
    <w:p>
      <w:pPr>
        <w:pStyle w:val="38"/>
        <w:ind w:firstLine="482"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1、垃圾填埋工艺流程</w:t>
      </w:r>
    </w:p>
    <w:p>
      <w:pPr>
        <w:pStyle w:val="38"/>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生活垃圾经收集后，由厢式垃圾压缩车（运载量12～15t）运至垃圾填埋场，在现场人员的指挥下按倾倒、摊铺、压实、覆土和撒药顺序进行作业，填埋场采用分层摊铺、分层碾压、分单元逐日覆土的填埋作业方式。从库区的西侧开始实施填埋，逐渐向东向上堆填，填埋成梯形斜坡体。填埋过程中产生的填埋气运行初期利用导气石笼直接放空，中后期根据产气量、CH</w:t>
      </w:r>
      <w:r>
        <w:rPr>
          <w:rFonts w:hint="eastAsia" w:ascii="Times New Roman" w:hAnsi="Times New Roman" w:eastAsia="宋体" w:cs="Times New Roman"/>
          <w:b w:val="0"/>
          <w:bCs w:val="0"/>
          <w:color w:val="auto"/>
          <w:sz w:val="24"/>
          <w:vertAlign w:val="subscript"/>
          <w:lang w:val="zh-CN"/>
        </w:rPr>
        <w:t>4</w:t>
      </w:r>
      <w:r>
        <w:rPr>
          <w:rFonts w:hint="eastAsia" w:ascii="Times New Roman" w:hAnsi="Times New Roman" w:eastAsia="宋体" w:cs="Times New Roman"/>
          <w:b w:val="0"/>
          <w:bCs w:val="0"/>
          <w:color w:val="auto"/>
          <w:sz w:val="24"/>
          <w:lang w:val="zh-CN"/>
        </w:rPr>
        <w:t>浓度等因素考虑将填埋气利用抽气机房进行收集后进行焚烧处理，垃圾渗滤液由渗滤液导排收集系统收集后采用“预处理+两级DTRO反渗透”设施进行处理，出水达标后全部回用于场地及县城绿化、道路清扫，处理过程中的反渗透浓水回喷库区。</w:t>
      </w:r>
    </w:p>
    <w:p>
      <w:pPr>
        <w:pStyle w:val="38"/>
        <w:spacing w:line="160" w:lineRule="exact"/>
        <w:ind w:firstLine="480" w:firstLineChars="200"/>
        <w:rPr>
          <w:rFonts w:ascii="Times New Roman" w:hAnsi="Times New Roman" w:eastAsia="宋体" w:cs="Times New Roman"/>
          <w:b w:val="0"/>
          <w:bCs w:val="0"/>
          <w:color w:val="auto"/>
          <w:sz w:val="24"/>
        </w:rPr>
      </w:pPr>
    </w:p>
    <w:p>
      <w:pPr>
        <w:pStyle w:val="38"/>
        <w:spacing w:line="240" w:lineRule="auto"/>
        <w:ind w:firstLine="0" w:firstLineChars="0"/>
        <w:rPr>
          <w:rFonts w:ascii="Times New Roman" w:hAnsi="Times New Roman" w:eastAsia="宋体" w:cs="Times New Roman"/>
          <w:b w:val="0"/>
          <w:bCs w:val="0"/>
          <w:color w:val="auto"/>
          <w:szCs w:val="21"/>
        </w:rPr>
      </w:pPr>
      <w:r>
        <w:rPr>
          <w:rFonts w:ascii="Times New Roman" w:hAnsi="Times New Roman" w:eastAsia="宋体" w:cs="Times New Roman"/>
          <w:b w:val="0"/>
          <w:bCs w:val="0"/>
          <w:color w:val="auto"/>
          <w:szCs w:val="21"/>
        </w:rPr>
        <w:drawing>
          <wp:inline distT="0" distB="0" distL="114300" distR="114300">
            <wp:extent cx="5264150" cy="2298065"/>
            <wp:effectExtent l="0" t="0" r="12700" b="6985"/>
            <wp:docPr id="61"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
                    <pic:cNvPicPr>
                      <a:picLocks noChangeAspect="1"/>
                    </pic:cNvPicPr>
                  </pic:nvPicPr>
                  <pic:blipFill>
                    <a:blip r:embed="rId52" cstate="print"/>
                    <a:stretch>
                      <a:fillRect/>
                    </a:stretch>
                  </pic:blipFill>
                  <pic:spPr>
                    <a:xfrm>
                      <a:off x="0" y="0"/>
                      <a:ext cx="5264150" cy="2298065"/>
                    </a:xfrm>
                    <a:prstGeom prst="rect">
                      <a:avLst/>
                    </a:prstGeom>
                  </pic:spPr>
                </pic:pic>
              </a:graphicData>
            </a:graphic>
          </wp:inline>
        </w:drawing>
      </w:r>
    </w:p>
    <w:p>
      <w:pPr>
        <w:pStyle w:val="38"/>
        <w:ind w:firstLine="0" w:firstLineChars="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项目</w:t>
      </w:r>
      <w:r>
        <w:rPr>
          <w:rFonts w:ascii="Times New Roman" w:hAnsi="Times New Roman" w:eastAsia="宋体" w:cs="Times New Roman"/>
          <w:color w:val="auto"/>
          <w:sz w:val="24"/>
        </w:rPr>
        <w:t>垃圾填埋工艺流程图</w:t>
      </w:r>
    </w:p>
    <w:p>
      <w:pPr>
        <w:pStyle w:val="38"/>
        <w:ind w:firstLine="482"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2、垃圾填埋作业方式</w:t>
      </w:r>
    </w:p>
    <w:p>
      <w:pPr>
        <w:pStyle w:val="38"/>
        <w:ind w:firstLine="480" w:firstLineChars="200"/>
        <w:jc w:val="left"/>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场地采用分区作业方案，利用场内临时作业道路将库区平均分为西区、东区进行分区填埋，其中西区先期填埋作业。</w:t>
      </w:r>
    </w:p>
    <w:p>
      <w:pPr>
        <w:pStyle w:val="38"/>
        <w:ind w:firstLine="480" w:firstLineChars="200"/>
        <w:jc w:val="left"/>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日常填埋过程中采用分层摊铺、分层碾压、分单元逐日覆土的作业方式，以每天的填埋作业为一个填埋单元，填埋单元面积按当天入场垃圾量确定，每一单元的高度宜为2m～4m，最高不得超过6m，单元作业宽度按填埋作业设备的宽度及高峰期同时进行作业的车辆数确定，最小宽度不宜小于6m，单元的坡度不宜大于</w:t>
      </w:r>
      <w:r>
        <w:rPr>
          <w:rFonts w:hint="eastAsia" w:ascii="Times New Roman" w:hAnsi="Times New Roman" w:eastAsia="宋体" w:cs="Times New Roman"/>
          <w:b w:val="0"/>
          <w:bCs w:val="0"/>
          <w:color w:val="auto"/>
          <w:sz w:val="24"/>
        </w:rPr>
        <w:t>1：</w:t>
      </w:r>
      <w:r>
        <w:rPr>
          <w:rFonts w:hint="eastAsia" w:ascii="Times New Roman" w:hAnsi="Times New Roman" w:eastAsia="宋体" w:cs="Times New Roman"/>
          <w:b w:val="0"/>
          <w:bCs w:val="0"/>
          <w:color w:val="auto"/>
          <w:sz w:val="24"/>
          <w:lang w:val="zh-CN"/>
        </w:rPr>
        <w:t>3。</w:t>
      </w:r>
    </w:p>
    <w:p>
      <w:pPr>
        <w:pStyle w:val="38"/>
        <w:ind w:firstLine="480" w:firstLineChars="200"/>
        <w:jc w:val="left"/>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val="zh-CN"/>
        </w:rPr>
        <w:t>垃圾运输车辆经场地西北入出口处的地磅称重记录后驶入填埋区，在现场工作人员的指挥下在指定填埋单元内倾倒垃圾，推土机对倾倒后的垃圾布料、推平，每层垃圾摊铺厚度应根据填埋作业设备的压实性能、压实次数及生活垃圾的可压压缩性确定，厚度不宜超过60cm，且宜从作业单元的边坡底部到顶部摊铺，压实机对摊铺后的垃圾进行压实作业，压实密度应大于</w:t>
      </w:r>
      <w:r>
        <w:rPr>
          <w:rFonts w:hint="eastAsia" w:ascii="Times New Roman" w:hAnsi="Times New Roman" w:eastAsia="宋体" w:cs="Times New Roman"/>
          <w:b w:val="0"/>
          <w:bCs w:val="0"/>
          <w:color w:val="auto"/>
          <w:sz w:val="24"/>
        </w:rPr>
        <w:t>0.60t/m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，一般应达到0.85t/m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然后按上述程序从压实表面再填埋等二层、第三层……，在垃圾填埋层厚度达到2.0m（压实后的厚度）时，即在垃圾表面覆盖0.3m厚土方并压实，上述操作完成后，即进行下一单元的的填埋，直到填埋区场底全部都填高2.3m后，再在此层上进行第二个2.3m后厚的垃圾填埋，依次类推直至达到最终填埋标高（设计封场高程+1023m），其中当填埋高度与围合坝持平之后，需后退起坡，保证坝顶以上堆体边坡满足设计坡度1:2要求。</w:t>
      </w:r>
    </w:p>
    <w:p>
      <w:pPr>
        <w:pStyle w:val="38"/>
        <w:ind w:firstLine="480" w:firstLineChars="200"/>
        <w:jc w:val="left"/>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在整个填埋过程中必须随时进行填埋区道路的清扫及场区的洒水、撒药、灭蝇等工作，使填埋作业正常运行。当</w:t>
      </w:r>
      <w:r>
        <w:rPr>
          <w:rFonts w:hint="eastAsia" w:ascii="Times New Roman" w:hAnsi="Times New Roman" w:eastAsia="宋体" w:cs="Times New Roman"/>
          <w:b w:val="0"/>
          <w:bCs w:val="0"/>
          <w:color w:val="auto"/>
          <w:sz w:val="24"/>
        </w:rPr>
        <w:t>场地达到最终填埋标高（设计封场高程+1023m）时，应及时进行堆体整形、封场覆盖、生态绿化恢复等。</w:t>
      </w:r>
    </w:p>
    <w:p>
      <w:pPr>
        <w:pStyle w:val="5"/>
        <w:spacing w:beforeLines="0" w:after="120"/>
        <w:rPr>
          <w:rFonts w:eastAsia="宋体"/>
          <w:b/>
          <w:bCs w:val="0"/>
          <w:color w:val="auto"/>
          <w:szCs w:val="30"/>
          <w:lang w:val="zh-CN"/>
        </w:rPr>
      </w:pPr>
      <w:bookmarkStart w:id="108" w:name="_Toc2473"/>
      <w:bookmarkStart w:id="109" w:name="_Toc1885663388"/>
      <w:r>
        <w:rPr>
          <w:rFonts w:eastAsia="宋体"/>
          <w:b/>
          <w:bCs w:val="0"/>
          <w:color w:val="auto"/>
          <w:szCs w:val="30"/>
        </w:rPr>
        <w:t>3</w:t>
      </w:r>
      <w:r>
        <w:rPr>
          <w:rFonts w:eastAsia="宋体"/>
          <w:b/>
          <w:bCs w:val="0"/>
          <w:color w:val="auto"/>
          <w:szCs w:val="30"/>
          <w:lang w:val="zh-CN"/>
        </w:rPr>
        <w:t>.</w:t>
      </w:r>
      <w:r>
        <w:rPr>
          <w:rFonts w:hint="eastAsia" w:eastAsia="宋体"/>
          <w:b/>
          <w:bCs w:val="0"/>
          <w:color w:val="auto"/>
          <w:szCs w:val="30"/>
        </w:rPr>
        <w:t>4</w:t>
      </w:r>
      <w:bookmarkEnd w:id="108"/>
      <w:r>
        <w:rPr>
          <w:rFonts w:eastAsia="宋体"/>
          <w:b/>
          <w:bCs w:val="0"/>
          <w:color w:val="auto"/>
          <w:szCs w:val="30"/>
          <w:lang w:val="zh-CN"/>
        </w:rPr>
        <w:t>工程污染源排放情况及防治措施</w:t>
      </w:r>
      <w:bookmarkEnd w:id="109"/>
    </w:p>
    <w:p>
      <w:pPr>
        <w:pStyle w:val="6"/>
        <w:spacing w:line="480" w:lineRule="exact"/>
      </w:pPr>
      <w:r>
        <w:t>3.</w:t>
      </w:r>
      <w:r>
        <w:rPr>
          <w:rFonts w:hint="eastAsia"/>
        </w:rPr>
        <w:t>4</w:t>
      </w:r>
      <w:r>
        <w:t>.</w:t>
      </w:r>
      <w:r>
        <w:rPr>
          <w:rFonts w:hint="eastAsia"/>
        </w:rPr>
        <w:t>1施工期污染源排放情况及防治措施</w:t>
      </w:r>
    </w:p>
    <w:p>
      <w:pPr>
        <w:spacing w:line="500" w:lineRule="exact"/>
        <w:ind w:firstLine="480" w:firstLineChars="200"/>
        <w:rPr>
          <w:sz w:val="24"/>
        </w:rPr>
      </w:pPr>
      <w:r>
        <w:rPr>
          <w:rFonts w:hint="eastAsia"/>
          <w:sz w:val="24"/>
        </w:rPr>
        <w:t>项目占地面积</w:t>
      </w:r>
      <w:r>
        <w:rPr>
          <w:sz w:val="24"/>
        </w:rPr>
        <w:t>53397.44</w:t>
      </w:r>
      <w:r>
        <w:rPr>
          <w:rFonts w:hint="eastAsia"/>
          <w:sz w:val="24"/>
        </w:rPr>
        <w:t>m</w:t>
      </w:r>
      <w:r>
        <w:rPr>
          <w:rFonts w:hint="eastAsia"/>
          <w:sz w:val="24"/>
          <w:vertAlign w:val="superscript"/>
        </w:rPr>
        <w:t>2</w:t>
      </w:r>
      <w:r>
        <w:rPr>
          <w:rFonts w:hint="eastAsia"/>
          <w:sz w:val="24"/>
        </w:rPr>
        <w:t>，施工内容主要为场地整治和清库工程、围合坝体工程、场内外道路工程、调节池和提升井开挖工程及渗滤液处理车间、填埋气抽气机房、管理区办公生活用房等。</w:t>
      </w:r>
    </w:p>
    <w:p>
      <w:pPr>
        <w:spacing w:line="500" w:lineRule="exact"/>
        <w:ind w:firstLine="480" w:firstLineChars="200"/>
        <w:rPr>
          <w:sz w:val="24"/>
        </w:rPr>
      </w:pPr>
      <w:r>
        <w:rPr>
          <w:rFonts w:hint="eastAsia"/>
          <w:sz w:val="24"/>
        </w:rPr>
        <w:t>本项目已于2020年9月建成投用，施工建设及其环境影响已基本结束，项目施工过程遗留的环境问题主要为因场地平整及清库等产生的多余弃土，约22万m</w:t>
      </w:r>
      <w:r>
        <w:rPr>
          <w:rFonts w:hint="eastAsia"/>
          <w:sz w:val="24"/>
          <w:vertAlign w:val="superscript"/>
        </w:rPr>
        <w:t>3</w:t>
      </w:r>
      <w:r>
        <w:rPr>
          <w:rFonts w:hint="eastAsia"/>
          <w:sz w:val="24"/>
        </w:rPr>
        <w:t>，因需综合利用于后期场地填埋及封场覆土，上述弃土均在场内西南角空地进行临时堆存，其堆存过程中可能会产生大风扬尘、压覆土地、增加水土流失等。</w:t>
      </w:r>
    </w:p>
    <w:p>
      <w:pPr>
        <w:spacing w:line="500" w:lineRule="exact"/>
        <w:ind w:firstLine="480" w:firstLineChars="200"/>
        <w:rPr>
          <w:sz w:val="24"/>
        </w:rPr>
      </w:pPr>
      <w:r>
        <w:rPr>
          <w:rFonts w:hint="eastAsia"/>
          <w:sz w:val="24"/>
        </w:rPr>
        <w:t>针对上述弃土及堆土场，评价提出以下要求：全部在场内合理堆存，严禁乱堆乱弃，土堆应按要求进行整形，对边坡及坡脚进行防护，周边设临时截排水沟，土堆表面进行覆盖或播撒草籽等。</w:t>
      </w:r>
    </w:p>
    <w:p>
      <w:pPr>
        <w:pStyle w:val="6"/>
        <w:spacing w:line="480" w:lineRule="exact"/>
      </w:pPr>
      <w:r>
        <w:t>3.</w:t>
      </w:r>
      <w:r>
        <w:rPr>
          <w:rFonts w:hint="eastAsia"/>
        </w:rPr>
        <w:t>4</w:t>
      </w:r>
      <w:r>
        <w:t>.</w:t>
      </w:r>
      <w:r>
        <w:rPr>
          <w:rFonts w:hint="eastAsia"/>
        </w:rPr>
        <w:t>2运营期污染源排放情况及防治措施</w:t>
      </w:r>
    </w:p>
    <w:p>
      <w:pPr>
        <w:pStyle w:val="8"/>
        <w:spacing w:line="480" w:lineRule="exact"/>
        <w:rPr>
          <w:rFonts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lang w:eastAsia="zh-CN"/>
        </w:rPr>
        <w:t>3.4.2.1 废气污染源</w:t>
      </w:r>
    </w:p>
    <w:p>
      <w:pPr>
        <w:pStyle w:val="10"/>
        <w:spacing w:line="480" w:lineRule="exact"/>
        <w:ind w:firstLine="482"/>
        <w:rPr>
          <w:b/>
          <w:bCs/>
          <w:sz w:val="24"/>
          <w:szCs w:val="24"/>
        </w:rPr>
      </w:pPr>
      <w:r>
        <w:rPr>
          <w:rFonts w:hint="eastAsia"/>
          <w:b/>
          <w:bCs/>
          <w:sz w:val="24"/>
          <w:szCs w:val="24"/>
        </w:rPr>
        <w:t>1、垃圾填埋气</w:t>
      </w:r>
    </w:p>
    <w:p>
      <w:pPr>
        <w:pStyle w:val="10"/>
        <w:spacing w:line="500" w:lineRule="exact"/>
        <w:ind w:firstLine="480"/>
      </w:pPr>
      <w:r>
        <w:rPr>
          <w:rFonts w:hint="eastAsia"/>
          <w:sz w:val="24"/>
          <w:szCs w:val="24"/>
        </w:rPr>
        <w:t>垃圾填埋气是指填入填埋场的城市生活垃圾中有机物经微生物分解产生的气体，填埋气的产量和组成与被分解的量及微生物种类有关。好氧分解一般产生</w:t>
      </w:r>
      <w:r>
        <w:rPr>
          <w:sz w:val="24"/>
          <w:szCs w:val="24"/>
          <w:lang w:val="zh-CN"/>
        </w:rPr>
        <w:t>CO</w:t>
      </w:r>
      <w:r>
        <w:rPr>
          <w:sz w:val="24"/>
          <w:szCs w:val="24"/>
          <w:vertAlign w:val="subscript"/>
          <w:lang w:val="zh-CN"/>
        </w:rPr>
        <w:t>2</w:t>
      </w:r>
      <w:r>
        <w:rPr>
          <w:rFonts w:hint="eastAsia"/>
          <w:sz w:val="24"/>
          <w:szCs w:val="24"/>
          <w:lang w:val="zh-CN"/>
        </w:rPr>
        <w:t>和</w:t>
      </w:r>
      <w:r>
        <w:rPr>
          <w:rFonts w:hint="eastAsia"/>
          <w:sz w:val="24"/>
          <w:szCs w:val="24"/>
        </w:rPr>
        <w:t>NH</w:t>
      </w:r>
      <w:r>
        <w:rPr>
          <w:rFonts w:hint="eastAsia"/>
          <w:sz w:val="24"/>
          <w:szCs w:val="24"/>
          <w:vertAlign w:val="subscript"/>
        </w:rPr>
        <w:t>3</w:t>
      </w:r>
      <w:r>
        <w:rPr>
          <w:sz w:val="24"/>
          <w:szCs w:val="24"/>
          <w:lang w:val="zh-CN"/>
        </w:rPr>
        <w:t>等，</w:t>
      </w:r>
      <w:r>
        <w:rPr>
          <w:rFonts w:hint="eastAsia"/>
          <w:sz w:val="24"/>
          <w:szCs w:val="24"/>
          <w:lang w:val="zh-CN"/>
        </w:rPr>
        <w:t>厌氧条件下的分解产物是</w:t>
      </w:r>
      <w:r>
        <w:rPr>
          <w:sz w:val="24"/>
          <w:szCs w:val="24"/>
          <w:lang w:val="zh-CN"/>
        </w:rPr>
        <w:t>CH</w:t>
      </w:r>
      <w:r>
        <w:rPr>
          <w:sz w:val="24"/>
          <w:szCs w:val="24"/>
          <w:vertAlign w:val="subscript"/>
          <w:lang w:val="zh-CN"/>
        </w:rPr>
        <w:t>4</w:t>
      </w:r>
      <w:r>
        <w:rPr>
          <w:sz w:val="24"/>
          <w:szCs w:val="24"/>
          <w:lang w:val="zh-CN"/>
        </w:rPr>
        <w:t>、CO</w:t>
      </w:r>
      <w:r>
        <w:rPr>
          <w:sz w:val="24"/>
          <w:szCs w:val="24"/>
          <w:vertAlign w:val="subscript"/>
          <w:lang w:val="zh-CN"/>
        </w:rPr>
        <w:t>2</w:t>
      </w:r>
      <w:r>
        <w:rPr>
          <w:sz w:val="24"/>
          <w:szCs w:val="24"/>
          <w:lang w:val="zh-CN"/>
        </w:rPr>
        <w:t>、H</w:t>
      </w:r>
      <w:r>
        <w:rPr>
          <w:sz w:val="24"/>
          <w:szCs w:val="24"/>
          <w:vertAlign w:val="subscript"/>
          <w:lang w:val="zh-CN"/>
        </w:rPr>
        <w:t>2</w:t>
      </w:r>
      <w:r>
        <w:rPr>
          <w:sz w:val="24"/>
          <w:szCs w:val="24"/>
          <w:lang w:val="zh-CN"/>
        </w:rPr>
        <w:t>S</w:t>
      </w:r>
      <w:r>
        <w:rPr>
          <w:rFonts w:hint="eastAsia"/>
          <w:sz w:val="24"/>
          <w:szCs w:val="24"/>
          <w:lang w:val="zh-CN"/>
        </w:rPr>
        <w:t>等气体，由于</w:t>
      </w:r>
      <w:r>
        <w:rPr>
          <w:sz w:val="24"/>
          <w:szCs w:val="24"/>
          <w:lang w:val="zh-CN"/>
        </w:rPr>
        <w:t>CH</w:t>
      </w:r>
      <w:r>
        <w:rPr>
          <w:sz w:val="24"/>
          <w:szCs w:val="24"/>
          <w:vertAlign w:val="subscript"/>
          <w:lang w:val="zh-CN"/>
        </w:rPr>
        <w:t>4</w:t>
      </w:r>
      <w:r>
        <w:rPr>
          <w:rFonts w:hint="eastAsia"/>
          <w:sz w:val="24"/>
          <w:szCs w:val="24"/>
          <w:lang w:val="zh-CN"/>
        </w:rPr>
        <w:t>是易燃易爆气体，当聚集在场内引起燃烧时，会点着垃圾中的可燃物而引起污染，而</w:t>
      </w:r>
      <w:r>
        <w:rPr>
          <w:rFonts w:hint="eastAsia"/>
          <w:sz w:val="24"/>
          <w:szCs w:val="24"/>
        </w:rPr>
        <w:t>NH</w:t>
      </w:r>
      <w:r>
        <w:rPr>
          <w:rFonts w:hint="eastAsia"/>
          <w:sz w:val="24"/>
          <w:szCs w:val="24"/>
          <w:vertAlign w:val="subscript"/>
        </w:rPr>
        <w:t>3</w:t>
      </w:r>
      <w:r>
        <w:rPr>
          <w:sz w:val="24"/>
          <w:szCs w:val="24"/>
          <w:lang w:val="zh-CN"/>
        </w:rPr>
        <w:t>、H</w:t>
      </w:r>
      <w:r>
        <w:rPr>
          <w:sz w:val="24"/>
          <w:szCs w:val="24"/>
          <w:vertAlign w:val="subscript"/>
          <w:lang w:val="zh-CN"/>
        </w:rPr>
        <w:t>2</w:t>
      </w:r>
      <w:r>
        <w:rPr>
          <w:sz w:val="24"/>
          <w:szCs w:val="24"/>
          <w:lang w:val="zh-CN"/>
        </w:rPr>
        <w:t>S</w:t>
      </w:r>
      <w:r>
        <w:rPr>
          <w:rFonts w:hint="eastAsia"/>
          <w:sz w:val="24"/>
          <w:szCs w:val="24"/>
          <w:lang w:val="zh-CN"/>
        </w:rPr>
        <w:t>不仅是有害物质，而且是恶臭物质，故填埋气是卫生填埋场应加强管理和严格控制的主要大气污染因子。</w:t>
      </w:r>
    </w:p>
    <w:p>
      <w:pPr>
        <w:pStyle w:val="38"/>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fldChar w:fldCharType="begin"/>
      </w:r>
      <w:r>
        <w:rPr>
          <w:rFonts w:ascii="Times New Roman" w:hAnsi="Times New Roman" w:eastAsia="宋体" w:cs="Times New Roman"/>
          <w:color w:val="auto"/>
          <w:sz w:val="24"/>
          <w:lang w:val="zh-CN"/>
        </w:rPr>
        <w:instrText xml:space="preserve"> </w:instrText>
      </w:r>
      <w:r>
        <w:rPr>
          <w:rFonts w:hint="eastAsia" w:ascii="Times New Roman" w:hAnsi="Times New Roman" w:eastAsia="宋体" w:cs="Times New Roman"/>
          <w:color w:val="auto"/>
          <w:sz w:val="24"/>
          <w:lang w:val="zh-CN"/>
        </w:rPr>
        <w:instrText xml:space="preserve">= 1 \* GB3</w:instrText>
      </w:r>
      <w:r>
        <w:rPr>
          <w:rFonts w:ascii="Times New Roman" w:hAnsi="Times New Roman" w:eastAsia="宋体" w:cs="Times New Roman"/>
          <w:color w:val="auto"/>
          <w:sz w:val="24"/>
          <w:lang w:val="zh-CN"/>
        </w:rPr>
        <w:instrText xml:space="preserve"> </w:instrText>
      </w:r>
      <w:r>
        <w:rPr>
          <w:rFonts w:ascii="Times New Roman" w:hAnsi="Times New Roman" w:eastAsia="宋体" w:cs="Times New Roman"/>
          <w:color w:val="auto"/>
          <w:sz w:val="24"/>
          <w:lang w:val="zh-CN"/>
        </w:rPr>
        <w:fldChar w:fldCharType="separate"/>
      </w:r>
      <w:r>
        <w:rPr>
          <w:rFonts w:hint="eastAsia" w:ascii="Times New Roman" w:hAnsi="Times New Roman" w:eastAsia="宋体" w:cs="Times New Roman"/>
          <w:color w:val="auto"/>
          <w:sz w:val="24"/>
          <w:lang w:val="zh-CN"/>
        </w:rPr>
        <w:t>①</w:t>
      </w:r>
      <w:r>
        <w:rPr>
          <w:rFonts w:ascii="Times New Roman" w:hAnsi="Times New Roman" w:eastAsia="宋体" w:cs="Times New Roman"/>
          <w:color w:val="auto"/>
          <w:sz w:val="24"/>
          <w:lang w:val="zh-CN"/>
        </w:rPr>
        <w:fldChar w:fldCharType="end"/>
      </w:r>
      <w:r>
        <w:rPr>
          <w:rFonts w:ascii="Times New Roman" w:hAnsi="Times New Roman" w:eastAsia="宋体" w:cs="Times New Roman"/>
          <w:color w:val="auto"/>
          <w:sz w:val="24"/>
          <w:lang w:val="zh-CN"/>
        </w:rPr>
        <w:t>填埋气</w:t>
      </w:r>
      <w:r>
        <w:rPr>
          <w:rFonts w:hint="eastAsia" w:ascii="Times New Roman" w:hAnsi="Times New Roman" w:eastAsia="宋体" w:cs="Times New Roman"/>
          <w:color w:val="auto"/>
          <w:sz w:val="24"/>
          <w:lang w:val="zh-CN"/>
        </w:rPr>
        <w:t>产气</w:t>
      </w:r>
      <w:r>
        <w:rPr>
          <w:rFonts w:ascii="Times New Roman" w:hAnsi="Times New Roman" w:eastAsia="宋体" w:cs="Times New Roman"/>
          <w:color w:val="auto"/>
          <w:sz w:val="24"/>
          <w:lang w:val="zh-CN"/>
        </w:rPr>
        <w:t>量预测</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val="zh-CN"/>
        </w:rPr>
        <w:t>填埋气</w:t>
      </w:r>
      <w:r>
        <w:rPr>
          <w:rFonts w:ascii="Times New Roman" w:hAnsi="Times New Roman" w:eastAsia="宋体" w:cs="Times New Roman"/>
          <w:b w:val="0"/>
          <w:bCs w:val="0"/>
          <w:color w:val="auto"/>
          <w:sz w:val="24"/>
          <w:lang w:val="zh-CN"/>
        </w:rPr>
        <w:t>产生量与垃圾填埋量、垃圾中有机物含量、有机物可降解程度、含水量、温度、PH值、垃圾填埋年龄和垃圾分解速率等</w:t>
      </w:r>
      <w:r>
        <w:rPr>
          <w:rFonts w:hint="eastAsia" w:ascii="Times New Roman" w:hAnsi="Times New Roman" w:eastAsia="宋体" w:cs="Times New Roman"/>
          <w:b w:val="0"/>
          <w:bCs w:val="0"/>
          <w:color w:val="auto"/>
          <w:sz w:val="24"/>
          <w:lang w:val="zh-CN"/>
        </w:rPr>
        <w:t>多种</w:t>
      </w:r>
      <w:r>
        <w:rPr>
          <w:rFonts w:ascii="Times New Roman" w:hAnsi="Times New Roman" w:eastAsia="宋体" w:cs="Times New Roman"/>
          <w:b w:val="0"/>
          <w:bCs w:val="0"/>
          <w:color w:val="auto"/>
          <w:sz w:val="24"/>
          <w:lang w:val="zh-CN"/>
        </w:rPr>
        <w:t>因素有关</w:t>
      </w:r>
      <w:r>
        <w:rPr>
          <w:rFonts w:hint="eastAsia" w:ascii="Times New Roman" w:hAnsi="Times New Roman" w:eastAsia="宋体" w:cs="Times New Roman"/>
          <w:b w:val="0"/>
          <w:bCs w:val="0"/>
          <w:color w:val="auto"/>
          <w:sz w:val="24"/>
          <w:lang w:val="zh-CN"/>
        </w:rPr>
        <w:t>，本次评价参照</w:t>
      </w:r>
      <w:r>
        <w:rPr>
          <w:rFonts w:hint="eastAsia" w:ascii="Times New Roman" w:hAnsi="Times New Roman" w:eastAsia="宋体" w:cs="Times New Roman"/>
          <w:b w:val="0"/>
          <w:bCs w:val="0"/>
          <w:color w:val="auto"/>
          <w:sz w:val="24"/>
        </w:rPr>
        <w:t>《生活垃圾填埋场填埋气体收集处理及利用工程技术规范》(CJJ133-2009)中的产气量公式进行估算。</w:t>
      </w:r>
    </w:p>
    <w:p>
      <w:pPr>
        <w:jc w:val="center"/>
        <w:rPr>
          <w:sz w:val="24"/>
        </w:rPr>
      </w:pPr>
      <w:r>
        <w:rPr>
          <w:sz w:val="24"/>
        </w:rPr>
        <w:t>G</w:t>
      </w:r>
      <w:r>
        <w:rPr>
          <w:sz w:val="24"/>
          <w:vertAlign w:val="subscript"/>
        </w:rPr>
        <w:t>N</w:t>
      </w:r>
      <w:r>
        <w:rPr>
          <w:sz w:val="24"/>
        </w:rPr>
        <w:t>=</w:t>
      </w:r>
      <w:r>
        <w:rPr>
          <w:position w:val="-28"/>
          <w:sz w:val="24"/>
        </w:rPr>
        <w:object>
          <v:shape id="_x0000_i1025" o:spt="75" type="#_x0000_t75" style="height:33.25pt;width:223.1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6" r:id="rId53">
            <o:LockedField>false</o:LockedField>
          </o:OLEObject>
        </w:object>
      </w:r>
    </w:p>
    <w:p>
      <w:pPr>
        <w:jc w:val="center"/>
        <w:rPr>
          <w:sz w:val="24"/>
        </w:rPr>
      </w:pPr>
      <w:r>
        <w:rPr>
          <w:sz w:val="24"/>
        </w:rPr>
        <w:t>G</w:t>
      </w:r>
      <w:r>
        <w:rPr>
          <w:sz w:val="24"/>
          <w:vertAlign w:val="subscript"/>
        </w:rPr>
        <w:t>N</w:t>
      </w:r>
      <w:r>
        <w:rPr>
          <w:sz w:val="24"/>
        </w:rPr>
        <w:t>=</w:t>
      </w:r>
      <w:r>
        <w:rPr>
          <w:position w:val="-28"/>
          <w:sz w:val="24"/>
        </w:rPr>
        <w:object>
          <v:shape id="_x0000_i1026" o:spt="75" type="#_x0000_t75" style="height:34pt;width:224.7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27" r:id="rId55">
            <o:LockedField>false</o:LockedField>
          </o:OLEObject>
        </w:object>
      </w:r>
    </w:p>
    <w:p>
      <w:pPr>
        <w:spacing w:beforeLines="50" w:line="480" w:lineRule="exact"/>
        <w:ind w:firstLine="1920" w:firstLineChars="800"/>
        <w:rPr>
          <w:sz w:val="24"/>
        </w:rPr>
      </w:pPr>
      <w:r>
        <w:rPr>
          <w:rStyle w:val="64"/>
          <w:rFonts w:ascii="Times New Roman" w:hAnsi="Times New Roman"/>
          <w:b w:val="0"/>
          <w:kern w:val="0"/>
          <w:sz w:val="24"/>
        </w:rPr>
        <w:t>L</w:t>
      </w:r>
      <w:r>
        <w:rPr>
          <w:rStyle w:val="64"/>
          <w:rFonts w:ascii="Times New Roman" w:hAnsi="Times New Roman"/>
          <w:b w:val="0"/>
          <w:kern w:val="0"/>
          <w:sz w:val="24"/>
          <w:vertAlign w:val="subscript"/>
        </w:rPr>
        <w:t>0</w:t>
      </w:r>
      <w:r>
        <w:rPr>
          <w:rStyle w:val="64"/>
          <w:rFonts w:ascii="Times New Roman" w:hAnsi="Times New Roman"/>
          <w:b w:val="0"/>
          <w:kern w:val="0"/>
          <w:sz w:val="24"/>
        </w:rPr>
        <w:t>=1.867C</w:t>
      </w:r>
      <w:r>
        <w:rPr>
          <w:rStyle w:val="64"/>
          <w:rFonts w:ascii="Times New Roman" w:hAnsi="Times New Roman"/>
          <w:b w:val="0"/>
          <w:kern w:val="0"/>
          <w:sz w:val="24"/>
          <w:vertAlign w:val="subscript"/>
        </w:rPr>
        <w:t>0</w:t>
      </w:r>
      <w:r>
        <w:rPr>
          <w:rStyle w:val="64"/>
          <w:rFonts w:ascii="Times New Roman" w:hAnsi="Times New Roman"/>
          <w:b w:val="0"/>
          <w:kern w:val="0"/>
          <w:sz w:val="24"/>
        </w:rPr>
        <w:t>∮</w:t>
      </w:r>
    </w:p>
    <w:p>
      <w:pPr>
        <w:spacing w:beforeLines="50" w:line="500" w:lineRule="exact"/>
        <w:ind w:firstLine="480" w:firstLineChars="200"/>
        <w:rPr>
          <w:sz w:val="24"/>
        </w:rPr>
      </w:pPr>
      <w:r>
        <w:rPr>
          <w:sz w:val="24"/>
        </w:rPr>
        <w:t>式中：G</w:t>
      </w:r>
      <w:r>
        <w:rPr>
          <w:sz w:val="24"/>
          <w:vertAlign w:val="subscript"/>
        </w:rPr>
        <w:t>N</w:t>
      </w:r>
      <w:r>
        <w:rPr>
          <w:rStyle w:val="64"/>
          <w:rFonts w:ascii="Times New Roman" w:hAnsi="Times New Roman"/>
          <w:b w:val="0"/>
          <w:kern w:val="0"/>
          <w:sz w:val="24"/>
        </w:rPr>
        <w:t>——填埋场在投运后第n年的填埋气体产气速率，</w:t>
      </w:r>
      <w:r>
        <w:rPr>
          <w:sz w:val="24"/>
        </w:rPr>
        <w:t>m</w:t>
      </w:r>
      <w:r>
        <w:rPr>
          <w:rStyle w:val="64"/>
          <w:rFonts w:ascii="Times New Roman" w:hAnsi="Times New Roman"/>
          <w:b w:val="0"/>
          <w:kern w:val="0"/>
          <w:sz w:val="24"/>
          <w:vertAlign w:val="superscript"/>
        </w:rPr>
        <w:t>3</w:t>
      </w:r>
      <w:r>
        <w:rPr>
          <w:rStyle w:val="64"/>
          <w:rFonts w:ascii="Times New Roman" w:hAnsi="Times New Roman"/>
          <w:b w:val="0"/>
          <w:kern w:val="0"/>
          <w:sz w:val="24"/>
        </w:rPr>
        <w:t>/a</w:t>
      </w:r>
      <w:r>
        <w:rPr>
          <w:sz w:val="24"/>
        </w:rPr>
        <w:t>；</w:t>
      </w:r>
    </w:p>
    <w:p>
      <w:pPr>
        <w:spacing w:line="500" w:lineRule="exact"/>
        <w:ind w:firstLine="480" w:firstLineChars="200"/>
        <w:rPr>
          <w:sz w:val="24"/>
        </w:rPr>
      </w:pPr>
      <w:r>
        <w:rPr>
          <w:rStyle w:val="64"/>
          <w:rFonts w:ascii="Times New Roman" w:hAnsi="Times New Roman"/>
          <w:b w:val="0"/>
          <w:kern w:val="0"/>
          <w:sz w:val="24"/>
        </w:rPr>
        <w:t>n——自填埋场投运年至计算年的年数，a</w:t>
      </w:r>
      <w:r>
        <w:rPr>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M</w:t>
      </w:r>
      <w:r>
        <w:rPr>
          <w:rStyle w:val="64"/>
          <w:rFonts w:ascii="Times New Roman" w:hAnsi="Times New Roman"/>
          <w:b w:val="0"/>
          <w:kern w:val="0"/>
          <w:sz w:val="24"/>
          <w:vertAlign w:val="subscript"/>
        </w:rPr>
        <w:t>t</w:t>
      </w:r>
      <w:r>
        <w:rPr>
          <w:rStyle w:val="64"/>
          <w:rFonts w:ascii="Times New Roman" w:hAnsi="Times New Roman"/>
          <w:b w:val="0"/>
          <w:kern w:val="0"/>
          <w:sz w:val="24"/>
        </w:rPr>
        <w:t>——填埋场在第t年填埋的垃圾量，t；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f——填埋场封场时的填埋年数，a</w:t>
      </w:r>
      <w:r>
        <w:rPr>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k——垃圾的产气速率常数，1/a;</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L</w:t>
      </w:r>
      <w:r>
        <w:rPr>
          <w:rStyle w:val="64"/>
          <w:rFonts w:ascii="Times New Roman" w:hAnsi="Times New Roman"/>
          <w:b w:val="0"/>
          <w:kern w:val="0"/>
          <w:sz w:val="24"/>
          <w:vertAlign w:val="subscript"/>
        </w:rPr>
        <w:t>0</w:t>
      </w:r>
      <w:r>
        <w:rPr>
          <w:rStyle w:val="64"/>
          <w:rFonts w:ascii="Times New Roman" w:hAnsi="Times New Roman"/>
          <w:b w:val="0"/>
          <w:kern w:val="0"/>
          <w:sz w:val="24"/>
        </w:rPr>
        <w:t>——单位重量垃圾的填埋气体最大产气量，</w:t>
      </w:r>
      <w:r>
        <w:rPr>
          <w:sz w:val="24"/>
        </w:rPr>
        <w:t>m</w:t>
      </w:r>
      <w:r>
        <w:rPr>
          <w:rStyle w:val="64"/>
          <w:rFonts w:ascii="Times New Roman" w:hAnsi="Times New Roman"/>
          <w:b w:val="0"/>
          <w:kern w:val="0"/>
          <w:sz w:val="24"/>
          <w:vertAlign w:val="superscript"/>
        </w:rPr>
        <w:t>3</w:t>
      </w:r>
      <w:r>
        <w:rPr>
          <w:rStyle w:val="64"/>
          <w:rFonts w:ascii="Times New Roman" w:hAnsi="Times New Roman"/>
          <w:b w:val="0"/>
          <w:kern w:val="0"/>
          <w:sz w:val="24"/>
        </w:rPr>
        <w:t>/t；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ascii="Times New Roman" w:hAnsi="Times New Roman"/>
          <w:b w:val="0"/>
          <w:kern w:val="0"/>
          <w:sz w:val="24"/>
          <w:vertAlign w:val="subscript"/>
        </w:rPr>
        <w:t>0</w:t>
      </w:r>
      <w:r>
        <w:rPr>
          <w:rStyle w:val="64"/>
          <w:rFonts w:ascii="Times New Roman" w:hAnsi="Times New Roman"/>
          <w:b w:val="0"/>
          <w:kern w:val="0"/>
          <w:sz w:val="24"/>
        </w:rPr>
        <w:t>——垃圾中有机碳含量，%；</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∮——有机碳降解率，1/a。</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壶关区域属干燥气候，县城生活垃圾有机物组分含量约为42%，参照《生活垃圾卫生填埋处理技术规范》(GB50869-2013)附录E，项目</w:t>
      </w:r>
      <w:r>
        <w:rPr>
          <w:rStyle w:val="64"/>
          <w:rFonts w:hint="eastAsia" w:ascii="Times New Roman" w:hAnsi="Times New Roman" w:cs="Times New Roman"/>
          <w:b w:val="0"/>
          <w:kern w:val="0"/>
          <w:sz w:val="24"/>
        </w:rPr>
        <w:t>产气速率常数（k）按0.03进行取值，有机碳类比区域城市生活垃圾填埋场经验</w:t>
      </w:r>
      <w:r>
        <w:rPr>
          <w:rStyle w:val="64"/>
          <w:rFonts w:ascii="Times New Roman" w:hAnsi="Times New Roman" w:cs="Times New Roman"/>
          <w:b w:val="0"/>
          <w:kern w:val="0"/>
          <w:sz w:val="24"/>
        </w:rPr>
        <w:t>数据</w:t>
      </w:r>
      <w:r>
        <w:rPr>
          <w:rStyle w:val="64"/>
          <w:rFonts w:hint="eastAsia" w:ascii="Times New Roman" w:hAnsi="Times New Roman" w:cs="Times New Roman"/>
          <w:b w:val="0"/>
          <w:kern w:val="0"/>
          <w:sz w:val="24"/>
        </w:rPr>
        <w:t>，取0.088，项目单位重量垃圾的填埋气体最大产气量（L</w:t>
      </w:r>
      <w:r>
        <w:rPr>
          <w:rStyle w:val="64"/>
          <w:rFonts w:hint="eastAsia" w:ascii="Times New Roman" w:hAnsi="Times New Roman" w:cs="Times New Roman"/>
          <w:b w:val="0"/>
          <w:kern w:val="0"/>
          <w:sz w:val="24"/>
          <w:vertAlign w:val="subscript"/>
        </w:rPr>
        <w:t>0</w:t>
      </w:r>
      <w:r>
        <w:rPr>
          <w:rStyle w:val="64"/>
          <w:rFonts w:hint="eastAsia" w:ascii="Times New Roman" w:hAnsi="Times New Roman" w:cs="Times New Roman"/>
          <w:b w:val="0"/>
          <w:kern w:val="0"/>
          <w:sz w:val="24"/>
        </w:rPr>
        <w:t>）约为69</w:t>
      </w:r>
      <w:r>
        <w:rPr>
          <w:rFonts w:ascii="Times New Roman" w:hAnsi="Times New Roman" w:eastAsia="宋体" w:cs="Times New Roman"/>
          <w:sz w:val="24"/>
        </w:rPr>
        <w:t>m</w:t>
      </w:r>
      <w:r>
        <w:rPr>
          <w:rStyle w:val="64"/>
          <w:rFonts w:ascii="Times New Roman" w:hAnsi="Times New Roman" w:cs="Times New Roman"/>
          <w:b w:val="0"/>
          <w:kern w:val="0"/>
          <w:sz w:val="24"/>
          <w:vertAlign w:val="superscript"/>
        </w:rPr>
        <w:t>3</w:t>
      </w:r>
      <w:r>
        <w:rPr>
          <w:rStyle w:val="64"/>
          <w:rFonts w:ascii="Times New Roman" w:hAnsi="Times New Roman" w:cs="Times New Roman"/>
          <w:b w:val="0"/>
          <w:kern w:val="0"/>
          <w:sz w:val="24"/>
        </w:rPr>
        <w:t>/t</w:t>
      </w:r>
      <w:r>
        <w:rPr>
          <w:rStyle w:val="64"/>
          <w:rFonts w:hint="eastAsia" w:ascii="Times New Roman" w:hAnsi="Times New Roman" w:cs="Times New Roman"/>
          <w:b w:val="0"/>
          <w:kern w:val="0"/>
          <w:sz w:val="24"/>
        </w:rPr>
        <w:t>，经计算后，项目拟建场地填埋气产气量估算如下。</w:t>
      </w:r>
    </w:p>
    <w:p>
      <w:pPr>
        <w:snapToGrid w:val="0"/>
        <w:spacing w:line="500" w:lineRule="atLeast"/>
        <w:jc w:val="center"/>
        <w:rPr>
          <w:b/>
          <w:spacing w:val="4"/>
          <w:sz w:val="24"/>
        </w:rPr>
      </w:pPr>
      <w:r>
        <w:rPr>
          <w:rFonts w:hint="eastAsia"/>
          <w:b/>
          <w:spacing w:val="4"/>
          <w:sz w:val="24"/>
        </w:rPr>
        <w:t>表3.4-1  项目垃圾填埋气产气量预测一览表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6"/>
        <w:gridCol w:w="1860"/>
        <w:gridCol w:w="2881"/>
        <w:gridCol w:w="30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adjustRightInd w:val="0"/>
              <w:snapToGrid w:val="0"/>
              <w:spacing w:line="240" w:lineRule="exact"/>
              <w:jc w:val="center"/>
              <w:textAlignment w:val="center"/>
              <w:rPr>
                <w:b/>
                <w:bCs/>
                <w:szCs w:val="21"/>
              </w:rPr>
            </w:pPr>
            <w:r>
              <w:rPr>
                <w:rStyle w:val="47"/>
                <w:rFonts w:ascii="Times New Roman" w:hAnsi="Times New Roman" w:eastAsia="宋体" w:cs="Times New Roman"/>
                <w:b/>
                <w:bCs/>
                <w:sz w:val="21"/>
                <w:szCs w:val="21"/>
              </w:rPr>
              <w:t>序号</w:t>
            </w:r>
          </w:p>
        </w:tc>
        <w:tc>
          <w:tcPr>
            <w:tcW w:w="1860" w:type="dxa"/>
            <w:tcBorders>
              <w:tl2br w:val="nil"/>
              <w:tr2bl w:val="nil"/>
            </w:tcBorders>
            <w:vAlign w:val="center"/>
          </w:tcPr>
          <w:p>
            <w:pPr>
              <w:adjustRightInd w:val="0"/>
              <w:snapToGrid w:val="0"/>
              <w:spacing w:line="240" w:lineRule="exact"/>
              <w:jc w:val="center"/>
              <w:textAlignment w:val="center"/>
              <w:rPr>
                <w:b/>
                <w:bCs/>
                <w:szCs w:val="21"/>
              </w:rPr>
            </w:pPr>
            <w:r>
              <w:rPr>
                <w:rStyle w:val="47"/>
                <w:rFonts w:ascii="Times New Roman" w:hAnsi="Times New Roman" w:eastAsia="宋体" w:cs="Times New Roman"/>
                <w:b/>
                <w:bCs/>
                <w:sz w:val="21"/>
                <w:szCs w:val="21"/>
              </w:rPr>
              <w:t>年份</w:t>
            </w:r>
          </w:p>
        </w:tc>
        <w:tc>
          <w:tcPr>
            <w:tcW w:w="2881" w:type="dxa"/>
            <w:tcBorders>
              <w:tl2br w:val="nil"/>
              <w:tr2bl w:val="nil"/>
            </w:tcBorders>
            <w:vAlign w:val="center"/>
          </w:tcPr>
          <w:p>
            <w:pPr>
              <w:adjustRightInd w:val="0"/>
              <w:snapToGrid w:val="0"/>
              <w:spacing w:line="240" w:lineRule="exact"/>
              <w:jc w:val="center"/>
              <w:textAlignment w:val="center"/>
              <w:rPr>
                <w:b/>
                <w:bCs/>
                <w:szCs w:val="21"/>
              </w:rPr>
            </w:pPr>
            <w:r>
              <w:rPr>
                <w:rStyle w:val="47"/>
                <w:rFonts w:hint="eastAsia" w:ascii="Times New Roman" w:hAnsi="Times New Roman" w:eastAsia="宋体" w:cs="Times New Roman"/>
                <w:b/>
                <w:bCs/>
                <w:sz w:val="21"/>
                <w:szCs w:val="21"/>
              </w:rPr>
              <w:t>年</w:t>
            </w:r>
            <w:r>
              <w:rPr>
                <w:rStyle w:val="47"/>
                <w:rFonts w:ascii="Times New Roman" w:hAnsi="Times New Roman" w:eastAsia="宋体" w:cs="Times New Roman"/>
                <w:b/>
                <w:bCs/>
                <w:sz w:val="21"/>
                <w:szCs w:val="21"/>
              </w:rPr>
              <w:t>垃圾</w:t>
            </w:r>
            <w:r>
              <w:rPr>
                <w:rStyle w:val="47"/>
                <w:rFonts w:hint="eastAsia" w:ascii="Times New Roman" w:hAnsi="Times New Roman" w:eastAsia="宋体" w:cs="Times New Roman"/>
                <w:b/>
                <w:bCs/>
                <w:sz w:val="21"/>
                <w:szCs w:val="21"/>
              </w:rPr>
              <w:t>填埋</w:t>
            </w:r>
            <w:r>
              <w:rPr>
                <w:rStyle w:val="47"/>
                <w:rFonts w:ascii="Times New Roman" w:hAnsi="Times New Roman" w:eastAsia="宋体" w:cs="Times New Roman"/>
                <w:b/>
                <w:bCs/>
                <w:sz w:val="21"/>
                <w:szCs w:val="21"/>
              </w:rPr>
              <w:t>量</w:t>
            </w:r>
            <w:r>
              <w:rPr>
                <w:rStyle w:val="47"/>
                <w:rFonts w:hint="eastAsia" w:ascii="Times New Roman" w:hAnsi="Times New Roman" w:eastAsia="宋体" w:cs="Times New Roman"/>
                <w:b/>
                <w:bCs/>
                <w:sz w:val="21"/>
                <w:szCs w:val="21"/>
              </w:rPr>
              <w:t>（万t/a）</w:t>
            </w:r>
          </w:p>
        </w:tc>
        <w:tc>
          <w:tcPr>
            <w:tcW w:w="3042" w:type="dxa"/>
            <w:tcBorders>
              <w:tl2br w:val="nil"/>
              <w:tr2bl w:val="nil"/>
            </w:tcBorders>
            <w:vAlign w:val="center"/>
          </w:tcPr>
          <w:p>
            <w:pPr>
              <w:adjustRightInd w:val="0"/>
              <w:snapToGrid w:val="0"/>
              <w:spacing w:line="240" w:lineRule="exact"/>
              <w:jc w:val="center"/>
              <w:textAlignment w:val="center"/>
              <w:rPr>
                <w:b/>
                <w:bCs/>
                <w:szCs w:val="21"/>
              </w:rPr>
            </w:pPr>
            <w:r>
              <w:rPr>
                <w:rStyle w:val="47"/>
                <w:rFonts w:hint="eastAsia" w:ascii="Times New Roman" w:hAnsi="Times New Roman" w:eastAsia="宋体" w:cs="Times New Roman"/>
                <w:b/>
                <w:bCs/>
                <w:sz w:val="21"/>
                <w:szCs w:val="21"/>
              </w:rPr>
              <w:t>填埋气产生量（</w:t>
            </w:r>
            <w:r>
              <w:rPr>
                <w:rStyle w:val="47"/>
                <w:rFonts w:ascii="Times New Roman" w:hAnsi="Times New Roman" w:eastAsia="宋体" w:cs="Times New Roman"/>
                <w:b/>
                <w:bCs/>
                <w:sz w:val="21"/>
                <w:szCs w:val="21"/>
              </w:rPr>
              <w:t>万m</w:t>
            </w:r>
            <w:r>
              <w:rPr>
                <w:rStyle w:val="47"/>
                <w:rFonts w:ascii="Times New Roman" w:hAnsi="Times New Roman" w:eastAsia="宋体" w:cs="Times New Roman"/>
                <w:b/>
                <w:bCs/>
                <w:sz w:val="21"/>
                <w:szCs w:val="21"/>
                <w:vertAlign w:val="superscript"/>
              </w:rPr>
              <w:t>3</w:t>
            </w:r>
            <w:r>
              <w:rPr>
                <w:rStyle w:val="47"/>
                <w:rFonts w:ascii="Times New Roman" w:hAnsi="Times New Roman" w:eastAsia="宋体" w:cs="Times New Roman"/>
                <w:b/>
                <w:bCs/>
                <w:sz w:val="21"/>
                <w:szCs w:val="21"/>
              </w:rPr>
              <w:t>/a</w:t>
            </w:r>
            <w:r>
              <w:rPr>
                <w:rStyle w:val="47"/>
                <w:rFonts w:hint="eastAsia" w:ascii="Times New Roman" w:hAnsi="Times New Roman" w:eastAsia="宋体" w:cs="Times New Roman"/>
                <w:b/>
                <w:bCs/>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w:t>
            </w:r>
          </w:p>
        </w:tc>
        <w:tc>
          <w:tcPr>
            <w:tcW w:w="1860" w:type="dxa"/>
            <w:tcBorders>
              <w:tl2br w:val="nil"/>
              <w:tr2bl w:val="nil"/>
            </w:tcBorders>
            <w:vAlign w:val="center"/>
          </w:tcPr>
          <w:p>
            <w:pPr>
              <w:spacing w:line="240" w:lineRule="exact"/>
              <w:jc w:val="center"/>
              <w:rPr>
                <w:szCs w:val="21"/>
              </w:rPr>
            </w:pPr>
            <w:r>
              <w:rPr>
                <w:szCs w:val="21"/>
              </w:rPr>
              <w:t>2021</w:t>
            </w:r>
          </w:p>
        </w:tc>
        <w:tc>
          <w:tcPr>
            <w:tcW w:w="2881" w:type="dxa"/>
            <w:tcBorders>
              <w:tl2br w:val="nil"/>
              <w:tr2bl w:val="nil"/>
            </w:tcBorders>
            <w:vAlign w:val="center"/>
          </w:tcPr>
          <w:p>
            <w:pPr>
              <w:spacing w:line="240" w:lineRule="exact"/>
              <w:jc w:val="center"/>
              <w:rPr>
                <w:szCs w:val="21"/>
              </w:rPr>
            </w:pPr>
            <w:r>
              <w:rPr>
                <w:szCs w:val="21"/>
              </w:rPr>
              <w:t>4.33</w:t>
            </w:r>
          </w:p>
        </w:tc>
        <w:tc>
          <w:tcPr>
            <w:tcW w:w="3042" w:type="dxa"/>
            <w:tcBorders>
              <w:tl2br w:val="nil"/>
              <w:tr2bl w:val="nil"/>
            </w:tcBorders>
            <w:vAlign w:val="center"/>
          </w:tcPr>
          <w:p>
            <w:pPr>
              <w:spacing w:line="240" w:lineRule="exact"/>
              <w:jc w:val="center"/>
              <w:rPr>
                <w:szCs w:val="21"/>
              </w:rPr>
            </w:pPr>
            <w:r>
              <w:rPr>
                <w:rFonts w:hint="eastAsia"/>
                <w:szCs w:val="21"/>
              </w:rPr>
              <w:t>8.96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2</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2022</w:t>
            </w:r>
          </w:p>
        </w:tc>
        <w:tc>
          <w:tcPr>
            <w:tcW w:w="2881" w:type="dxa"/>
            <w:tcBorders>
              <w:tl2br w:val="nil"/>
              <w:tr2bl w:val="nil"/>
            </w:tcBorders>
            <w:vAlign w:val="center"/>
          </w:tcPr>
          <w:p>
            <w:pPr>
              <w:spacing w:line="240" w:lineRule="exact"/>
              <w:jc w:val="center"/>
              <w:rPr>
                <w:szCs w:val="21"/>
              </w:rPr>
            </w:pPr>
            <w:r>
              <w:rPr>
                <w:szCs w:val="21"/>
              </w:rPr>
              <w:t>4.36</w:t>
            </w:r>
          </w:p>
        </w:tc>
        <w:tc>
          <w:tcPr>
            <w:tcW w:w="3042" w:type="dxa"/>
            <w:tcBorders>
              <w:tl2br w:val="nil"/>
              <w:tr2bl w:val="nil"/>
            </w:tcBorders>
            <w:vAlign w:val="center"/>
          </w:tcPr>
          <w:p>
            <w:pPr>
              <w:spacing w:line="240" w:lineRule="exact"/>
              <w:jc w:val="center"/>
              <w:rPr>
                <w:szCs w:val="21"/>
              </w:rPr>
            </w:pPr>
            <w:r>
              <w:rPr>
                <w:rFonts w:hint="eastAsia"/>
                <w:szCs w:val="21"/>
              </w:rPr>
              <w:t>17.71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3</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2023</w:t>
            </w:r>
          </w:p>
        </w:tc>
        <w:tc>
          <w:tcPr>
            <w:tcW w:w="2881" w:type="dxa"/>
            <w:tcBorders>
              <w:tl2br w:val="nil"/>
              <w:tr2bl w:val="nil"/>
            </w:tcBorders>
            <w:vAlign w:val="center"/>
          </w:tcPr>
          <w:p>
            <w:pPr>
              <w:spacing w:line="240" w:lineRule="exact"/>
              <w:jc w:val="center"/>
              <w:rPr>
                <w:szCs w:val="21"/>
              </w:rPr>
            </w:pPr>
            <w:r>
              <w:rPr>
                <w:szCs w:val="21"/>
              </w:rPr>
              <w:t>4.38</w:t>
            </w:r>
          </w:p>
        </w:tc>
        <w:tc>
          <w:tcPr>
            <w:tcW w:w="3042" w:type="dxa"/>
            <w:tcBorders>
              <w:tl2br w:val="nil"/>
              <w:tr2bl w:val="nil"/>
            </w:tcBorders>
            <w:vAlign w:val="center"/>
          </w:tcPr>
          <w:p>
            <w:pPr>
              <w:spacing w:line="240" w:lineRule="exact"/>
              <w:jc w:val="center"/>
              <w:rPr>
                <w:szCs w:val="21"/>
              </w:rPr>
            </w:pPr>
            <w:r>
              <w:rPr>
                <w:rFonts w:hint="eastAsia"/>
                <w:szCs w:val="21"/>
              </w:rPr>
              <w:t>26.23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4</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2024</w:t>
            </w:r>
          </w:p>
        </w:tc>
        <w:tc>
          <w:tcPr>
            <w:tcW w:w="2881" w:type="dxa"/>
            <w:tcBorders>
              <w:tl2br w:val="nil"/>
              <w:tr2bl w:val="nil"/>
            </w:tcBorders>
            <w:vAlign w:val="center"/>
          </w:tcPr>
          <w:p>
            <w:pPr>
              <w:spacing w:line="240" w:lineRule="exact"/>
              <w:jc w:val="center"/>
              <w:rPr>
                <w:szCs w:val="21"/>
              </w:rPr>
            </w:pPr>
            <w:r>
              <w:rPr>
                <w:szCs w:val="21"/>
              </w:rPr>
              <w:t>4.40</w:t>
            </w:r>
          </w:p>
        </w:tc>
        <w:tc>
          <w:tcPr>
            <w:tcW w:w="3042" w:type="dxa"/>
            <w:tcBorders>
              <w:tl2br w:val="nil"/>
              <w:tr2bl w:val="nil"/>
            </w:tcBorders>
            <w:vAlign w:val="center"/>
          </w:tcPr>
          <w:p>
            <w:pPr>
              <w:spacing w:line="240" w:lineRule="exact"/>
              <w:jc w:val="center"/>
              <w:rPr>
                <w:szCs w:val="21"/>
              </w:rPr>
            </w:pPr>
            <w:r>
              <w:rPr>
                <w:rFonts w:hint="eastAsia"/>
                <w:szCs w:val="21"/>
              </w:rPr>
              <w:t>34.53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5</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2025</w:t>
            </w:r>
          </w:p>
        </w:tc>
        <w:tc>
          <w:tcPr>
            <w:tcW w:w="2881" w:type="dxa"/>
            <w:tcBorders>
              <w:tl2br w:val="nil"/>
              <w:tr2bl w:val="nil"/>
            </w:tcBorders>
            <w:vAlign w:val="center"/>
          </w:tcPr>
          <w:p>
            <w:pPr>
              <w:spacing w:line="240" w:lineRule="exact"/>
              <w:jc w:val="center"/>
              <w:rPr>
                <w:szCs w:val="21"/>
              </w:rPr>
            </w:pPr>
            <w:r>
              <w:rPr>
                <w:szCs w:val="21"/>
              </w:rPr>
              <w:t>4.43</w:t>
            </w:r>
          </w:p>
        </w:tc>
        <w:tc>
          <w:tcPr>
            <w:tcW w:w="3042" w:type="dxa"/>
            <w:tcBorders>
              <w:tl2br w:val="nil"/>
              <w:tr2bl w:val="nil"/>
            </w:tcBorders>
            <w:vAlign w:val="center"/>
          </w:tcPr>
          <w:p>
            <w:pPr>
              <w:spacing w:line="240" w:lineRule="exact"/>
              <w:jc w:val="center"/>
              <w:rPr>
                <w:szCs w:val="21"/>
              </w:rPr>
            </w:pPr>
            <w:r>
              <w:rPr>
                <w:rFonts w:hint="eastAsia"/>
                <w:szCs w:val="21"/>
              </w:rPr>
              <w:t>42.68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6</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2026</w:t>
            </w:r>
          </w:p>
        </w:tc>
        <w:tc>
          <w:tcPr>
            <w:tcW w:w="2881" w:type="dxa"/>
            <w:tcBorders>
              <w:tl2br w:val="nil"/>
              <w:tr2bl w:val="nil"/>
            </w:tcBorders>
            <w:vAlign w:val="center"/>
          </w:tcPr>
          <w:p>
            <w:pPr>
              <w:spacing w:line="240" w:lineRule="exact"/>
              <w:jc w:val="center"/>
              <w:rPr>
                <w:szCs w:val="21"/>
              </w:rPr>
            </w:pPr>
            <w:r>
              <w:rPr>
                <w:szCs w:val="21"/>
              </w:rPr>
              <w:t>4.45</w:t>
            </w:r>
          </w:p>
        </w:tc>
        <w:tc>
          <w:tcPr>
            <w:tcW w:w="3042" w:type="dxa"/>
            <w:tcBorders>
              <w:tl2br w:val="nil"/>
              <w:tr2bl w:val="nil"/>
            </w:tcBorders>
            <w:vAlign w:val="center"/>
          </w:tcPr>
          <w:p>
            <w:pPr>
              <w:spacing w:line="240" w:lineRule="exact"/>
              <w:jc w:val="center"/>
              <w:rPr>
                <w:szCs w:val="21"/>
              </w:rPr>
            </w:pPr>
            <w:r>
              <w:rPr>
                <w:rFonts w:hint="eastAsia"/>
                <w:szCs w:val="21"/>
              </w:rPr>
              <w:t>50.36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7</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2027</w:t>
            </w:r>
          </w:p>
        </w:tc>
        <w:tc>
          <w:tcPr>
            <w:tcW w:w="2881" w:type="dxa"/>
            <w:tcBorders>
              <w:tl2br w:val="nil"/>
              <w:tr2bl w:val="nil"/>
            </w:tcBorders>
            <w:vAlign w:val="center"/>
          </w:tcPr>
          <w:p>
            <w:pPr>
              <w:spacing w:line="240" w:lineRule="exact"/>
              <w:jc w:val="center"/>
              <w:rPr>
                <w:szCs w:val="21"/>
              </w:rPr>
            </w:pPr>
            <w:r>
              <w:rPr>
                <w:szCs w:val="21"/>
              </w:rPr>
              <w:t>4.48</w:t>
            </w:r>
          </w:p>
        </w:tc>
        <w:tc>
          <w:tcPr>
            <w:tcW w:w="3042" w:type="dxa"/>
            <w:tcBorders>
              <w:tl2br w:val="nil"/>
              <w:tr2bl w:val="nil"/>
            </w:tcBorders>
            <w:vAlign w:val="center"/>
          </w:tcPr>
          <w:p>
            <w:pPr>
              <w:spacing w:line="240" w:lineRule="exact"/>
              <w:jc w:val="center"/>
              <w:rPr>
                <w:szCs w:val="21"/>
              </w:rPr>
            </w:pPr>
            <w:r>
              <w:rPr>
                <w:rFonts w:hint="eastAsia"/>
                <w:szCs w:val="21"/>
              </w:rPr>
              <w:t>58.40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8</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2028</w:t>
            </w:r>
          </w:p>
        </w:tc>
        <w:tc>
          <w:tcPr>
            <w:tcW w:w="2881" w:type="dxa"/>
            <w:tcBorders>
              <w:tl2br w:val="nil"/>
              <w:tr2bl w:val="nil"/>
            </w:tcBorders>
            <w:vAlign w:val="center"/>
          </w:tcPr>
          <w:p>
            <w:pPr>
              <w:spacing w:line="240" w:lineRule="exact"/>
              <w:jc w:val="center"/>
              <w:rPr>
                <w:szCs w:val="21"/>
              </w:rPr>
            </w:pPr>
            <w:r>
              <w:rPr>
                <w:szCs w:val="21"/>
              </w:rPr>
              <w:t>4.50</w:t>
            </w:r>
          </w:p>
        </w:tc>
        <w:tc>
          <w:tcPr>
            <w:tcW w:w="3042" w:type="dxa"/>
            <w:tcBorders>
              <w:tl2br w:val="nil"/>
              <w:tr2bl w:val="nil"/>
            </w:tcBorders>
            <w:vAlign w:val="center"/>
          </w:tcPr>
          <w:p>
            <w:pPr>
              <w:spacing w:line="240" w:lineRule="exact"/>
              <w:jc w:val="center"/>
              <w:rPr>
                <w:szCs w:val="21"/>
              </w:rPr>
            </w:pPr>
            <w:r>
              <w:rPr>
                <w:rFonts w:hint="eastAsia"/>
                <w:szCs w:val="21"/>
              </w:rPr>
              <w:t>66.00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9</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2029</w:t>
            </w:r>
          </w:p>
        </w:tc>
        <w:tc>
          <w:tcPr>
            <w:tcW w:w="2881" w:type="dxa"/>
            <w:tcBorders>
              <w:tl2br w:val="nil"/>
              <w:tr2bl w:val="nil"/>
            </w:tcBorders>
            <w:vAlign w:val="center"/>
          </w:tcPr>
          <w:p>
            <w:pPr>
              <w:spacing w:line="240" w:lineRule="exact"/>
              <w:jc w:val="center"/>
              <w:rPr>
                <w:szCs w:val="21"/>
              </w:rPr>
            </w:pPr>
            <w:r>
              <w:rPr>
                <w:szCs w:val="21"/>
              </w:rPr>
              <w:t>4.53</w:t>
            </w:r>
          </w:p>
        </w:tc>
        <w:tc>
          <w:tcPr>
            <w:tcW w:w="3042" w:type="dxa"/>
            <w:tcBorders>
              <w:tl2br w:val="nil"/>
              <w:tr2bl w:val="nil"/>
            </w:tcBorders>
            <w:vAlign w:val="center"/>
          </w:tcPr>
          <w:p>
            <w:pPr>
              <w:spacing w:line="240" w:lineRule="exact"/>
              <w:jc w:val="center"/>
              <w:rPr>
                <w:szCs w:val="21"/>
              </w:rPr>
            </w:pPr>
            <w:r>
              <w:rPr>
                <w:rFonts w:hint="eastAsia"/>
                <w:szCs w:val="21"/>
              </w:rPr>
              <w:t>73.41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10</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2030</w:t>
            </w:r>
          </w:p>
        </w:tc>
        <w:tc>
          <w:tcPr>
            <w:tcW w:w="2881" w:type="dxa"/>
            <w:tcBorders>
              <w:tl2br w:val="nil"/>
              <w:tr2bl w:val="nil"/>
            </w:tcBorders>
            <w:vAlign w:val="center"/>
          </w:tcPr>
          <w:p>
            <w:pPr>
              <w:spacing w:line="240" w:lineRule="exact"/>
              <w:jc w:val="center"/>
              <w:rPr>
                <w:szCs w:val="21"/>
              </w:rPr>
            </w:pPr>
            <w:r>
              <w:rPr>
                <w:szCs w:val="21"/>
              </w:rPr>
              <w:t>4.55</w:t>
            </w:r>
          </w:p>
        </w:tc>
        <w:tc>
          <w:tcPr>
            <w:tcW w:w="3042" w:type="dxa"/>
            <w:tcBorders>
              <w:tl2br w:val="nil"/>
              <w:tr2bl w:val="nil"/>
            </w:tcBorders>
            <w:vAlign w:val="center"/>
          </w:tcPr>
          <w:p>
            <w:pPr>
              <w:spacing w:line="240" w:lineRule="exact"/>
              <w:jc w:val="center"/>
              <w:rPr>
                <w:szCs w:val="21"/>
              </w:rPr>
            </w:pPr>
            <w:r>
              <w:rPr>
                <w:rFonts w:hint="eastAsia"/>
                <w:szCs w:val="21"/>
              </w:rPr>
              <w:t>80.67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11</w:t>
            </w:r>
          </w:p>
        </w:tc>
        <w:tc>
          <w:tcPr>
            <w:tcW w:w="1860" w:type="dxa"/>
            <w:tcBorders>
              <w:tl2br w:val="nil"/>
              <w:tr2bl w:val="nil"/>
            </w:tcBorders>
            <w:vAlign w:val="center"/>
          </w:tcPr>
          <w:p>
            <w:pPr>
              <w:spacing w:line="240" w:lineRule="exact"/>
              <w:jc w:val="center"/>
              <w:rPr>
                <w:szCs w:val="21"/>
              </w:rPr>
            </w:pPr>
            <w:r>
              <w:rPr>
                <w:rStyle w:val="47"/>
                <w:rFonts w:hint="eastAsia" w:ascii="Times New Roman" w:hAnsi="Times New Roman" w:eastAsia="宋体" w:cs="Times New Roman"/>
                <w:sz w:val="21"/>
                <w:szCs w:val="21"/>
              </w:rPr>
              <w:t>2031</w:t>
            </w:r>
          </w:p>
        </w:tc>
        <w:tc>
          <w:tcPr>
            <w:tcW w:w="2881" w:type="dxa"/>
            <w:tcBorders>
              <w:tl2br w:val="nil"/>
              <w:tr2bl w:val="nil"/>
            </w:tcBorders>
            <w:vAlign w:val="center"/>
          </w:tcPr>
          <w:p>
            <w:pPr>
              <w:spacing w:line="240" w:lineRule="exact"/>
              <w:jc w:val="center"/>
              <w:rPr>
                <w:szCs w:val="21"/>
              </w:rPr>
            </w:pPr>
            <w:r>
              <w:rPr>
                <w:szCs w:val="21"/>
              </w:rPr>
              <w:t>4.58</w:t>
            </w:r>
          </w:p>
        </w:tc>
        <w:tc>
          <w:tcPr>
            <w:tcW w:w="3042" w:type="dxa"/>
            <w:tcBorders>
              <w:tl2br w:val="nil"/>
              <w:tr2bl w:val="nil"/>
            </w:tcBorders>
            <w:vAlign w:val="center"/>
          </w:tcPr>
          <w:p>
            <w:pPr>
              <w:spacing w:line="240" w:lineRule="exact"/>
              <w:jc w:val="center"/>
              <w:rPr>
                <w:szCs w:val="21"/>
              </w:rPr>
            </w:pPr>
            <w:r>
              <w:rPr>
                <w:rFonts w:hint="eastAsia"/>
                <w:szCs w:val="21"/>
              </w:rPr>
              <w:t>87.76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12</w:t>
            </w:r>
          </w:p>
        </w:tc>
        <w:tc>
          <w:tcPr>
            <w:tcW w:w="1860" w:type="dxa"/>
            <w:tcBorders>
              <w:tl2br w:val="nil"/>
              <w:tr2bl w:val="nil"/>
            </w:tcBorders>
            <w:vAlign w:val="center"/>
          </w:tcPr>
          <w:p>
            <w:pPr>
              <w:spacing w:line="240" w:lineRule="exact"/>
              <w:jc w:val="center"/>
              <w:rPr>
                <w:szCs w:val="21"/>
              </w:rPr>
            </w:pPr>
            <w:r>
              <w:rPr>
                <w:rFonts w:hint="eastAsia"/>
                <w:b/>
                <w:bCs/>
                <w:color w:val="000000"/>
                <w:szCs w:val="21"/>
              </w:rPr>
              <w:t>2032</w:t>
            </w:r>
          </w:p>
        </w:tc>
        <w:tc>
          <w:tcPr>
            <w:tcW w:w="2881" w:type="dxa"/>
            <w:tcBorders>
              <w:tl2br w:val="nil"/>
              <w:tr2bl w:val="nil"/>
            </w:tcBorders>
            <w:vAlign w:val="center"/>
          </w:tcPr>
          <w:p>
            <w:pPr>
              <w:spacing w:line="240" w:lineRule="exact"/>
              <w:jc w:val="center"/>
              <w:rPr>
                <w:szCs w:val="21"/>
              </w:rPr>
            </w:pPr>
            <w:r>
              <w:rPr>
                <w:b/>
                <w:bCs/>
                <w:szCs w:val="21"/>
              </w:rPr>
              <w:t>4.60</w:t>
            </w:r>
          </w:p>
        </w:tc>
        <w:tc>
          <w:tcPr>
            <w:tcW w:w="3042" w:type="dxa"/>
            <w:tcBorders>
              <w:tl2br w:val="nil"/>
              <w:tr2bl w:val="nil"/>
            </w:tcBorders>
            <w:vAlign w:val="center"/>
          </w:tcPr>
          <w:p>
            <w:pPr>
              <w:spacing w:line="240" w:lineRule="exact"/>
              <w:jc w:val="center"/>
              <w:rPr>
                <w:szCs w:val="21"/>
              </w:rPr>
            </w:pPr>
            <w:r>
              <w:rPr>
                <w:rFonts w:hint="eastAsia"/>
                <w:b/>
                <w:bCs/>
                <w:szCs w:val="21"/>
              </w:rPr>
              <w:t>94.67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13</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2033</w:t>
            </w:r>
          </w:p>
        </w:tc>
        <w:tc>
          <w:tcPr>
            <w:tcW w:w="2881" w:type="dxa"/>
            <w:tcBorders>
              <w:tl2br w:val="nil"/>
              <w:tr2bl w:val="nil"/>
            </w:tcBorders>
            <w:vAlign w:val="center"/>
          </w:tcPr>
          <w:p>
            <w:pPr>
              <w:spacing w:line="240" w:lineRule="exact"/>
              <w:jc w:val="center"/>
              <w:rPr>
                <w:szCs w:val="21"/>
              </w:rPr>
            </w:pPr>
            <w:r>
              <w:rPr>
                <w:szCs w:val="21"/>
              </w:rPr>
              <w:t>0</w:t>
            </w:r>
          </w:p>
        </w:tc>
        <w:tc>
          <w:tcPr>
            <w:tcW w:w="3042" w:type="dxa"/>
            <w:tcBorders>
              <w:tl2br w:val="nil"/>
              <w:tr2bl w:val="nil"/>
            </w:tcBorders>
            <w:vAlign w:val="center"/>
          </w:tcPr>
          <w:p>
            <w:pPr>
              <w:spacing w:line="240" w:lineRule="exact"/>
              <w:jc w:val="center"/>
              <w:rPr>
                <w:szCs w:val="21"/>
              </w:rPr>
            </w:pPr>
            <w:r>
              <w:rPr>
                <w:rFonts w:hint="eastAsia"/>
                <w:szCs w:val="21"/>
              </w:rPr>
              <w:t>91.84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14</w:t>
            </w:r>
          </w:p>
        </w:tc>
        <w:tc>
          <w:tcPr>
            <w:tcW w:w="1860" w:type="dxa"/>
            <w:tcBorders>
              <w:tl2br w:val="nil"/>
              <w:tr2bl w:val="nil"/>
            </w:tcBorders>
            <w:vAlign w:val="center"/>
          </w:tcPr>
          <w:p>
            <w:pPr>
              <w:spacing w:line="240" w:lineRule="exact"/>
              <w:jc w:val="center"/>
              <w:rPr>
                <w:szCs w:val="21"/>
              </w:rPr>
            </w:pPr>
            <w:r>
              <w:rPr>
                <w:rStyle w:val="47"/>
                <w:rFonts w:ascii="Times New Roman" w:hAnsi="Times New Roman" w:eastAsia="宋体" w:cs="Times New Roman"/>
                <w:sz w:val="21"/>
                <w:szCs w:val="21"/>
              </w:rPr>
              <w:t>2034</w:t>
            </w:r>
          </w:p>
        </w:tc>
        <w:tc>
          <w:tcPr>
            <w:tcW w:w="2881" w:type="dxa"/>
            <w:tcBorders>
              <w:tl2br w:val="nil"/>
              <w:tr2bl w:val="nil"/>
            </w:tcBorders>
            <w:vAlign w:val="center"/>
          </w:tcPr>
          <w:p>
            <w:pPr>
              <w:spacing w:line="240" w:lineRule="exact"/>
              <w:jc w:val="center"/>
              <w:rPr>
                <w:szCs w:val="21"/>
              </w:rPr>
            </w:pPr>
            <w:r>
              <w:rPr>
                <w:szCs w:val="21"/>
              </w:rPr>
              <w:t>0</w:t>
            </w:r>
          </w:p>
        </w:tc>
        <w:tc>
          <w:tcPr>
            <w:tcW w:w="3042" w:type="dxa"/>
            <w:tcBorders>
              <w:tl2br w:val="nil"/>
              <w:tr2bl w:val="nil"/>
            </w:tcBorders>
            <w:vAlign w:val="center"/>
          </w:tcPr>
          <w:p>
            <w:pPr>
              <w:spacing w:line="240" w:lineRule="exact"/>
              <w:jc w:val="center"/>
              <w:rPr>
                <w:szCs w:val="21"/>
              </w:rPr>
            </w:pPr>
            <w:r>
              <w:rPr>
                <w:rFonts w:hint="eastAsia"/>
                <w:szCs w:val="21"/>
              </w:rPr>
              <w:t>89.19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736" w:type="dxa"/>
            <w:tcBorders>
              <w:tl2br w:val="nil"/>
              <w:tr2bl w:val="nil"/>
            </w:tcBorders>
            <w:vAlign w:val="center"/>
          </w:tcPr>
          <w:p>
            <w:pPr>
              <w:spacing w:line="240" w:lineRule="exact"/>
              <w:jc w:val="center"/>
              <w:rPr>
                <w:szCs w:val="21"/>
              </w:rPr>
            </w:pPr>
            <w:r>
              <w:rPr>
                <w:rFonts w:hint="eastAsia"/>
                <w:szCs w:val="21"/>
              </w:rPr>
              <w:t>15</w:t>
            </w:r>
          </w:p>
        </w:tc>
        <w:tc>
          <w:tcPr>
            <w:tcW w:w="1860" w:type="dxa"/>
            <w:tcBorders>
              <w:tl2br w:val="nil"/>
              <w:tr2bl w:val="nil"/>
            </w:tcBorders>
            <w:vAlign w:val="center"/>
          </w:tcPr>
          <w:p>
            <w:pPr>
              <w:spacing w:line="240" w:lineRule="exact"/>
              <w:jc w:val="center"/>
              <w:rPr>
                <w:szCs w:val="21"/>
              </w:rPr>
            </w:pPr>
            <w:r>
              <w:rPr>
                <w:color w:val="000000"/>
                <w:szCs w:val="21"/>
              </w:rPr>
              <w:t>2035</w:t>
            </w:r>
          </w:p>
        </w:tc>
        <w:tc>
          <w:tcPr>
            <w:tcW w:w="2881" w:type="dxa"/>
            <w:tcBorders>
              <w:tl2br w:val="nil"/>
              <w:tr2bl w:val="nil"/>
            </w:tcBorders>
            <w:vAlign w:val="center"/>
          </w:tcPr>
          <w:p>
            <w:pPr>
              <w:spacing w:line="240" w:lineRule="exact"/>
              <w:jc w:val="center"/>
              <w:rPr>
                <w:szCs w:val="21"/>
              </w:rPr>
            </w:pPr>
            <w:r>
              <w:rPr>
                <w:szCs w:val="21"/>
              </w:rPr>
              <w:t>0</w:t>
            </w:r>
          </w:p>
        </w:tc>
        <w:tc>
          <w:tcPr>
            <w:tcW w:w="3042" w:type="dxa"/>
            <w:tcBorders>
              <w:tl2br w:val="nil"/>
              <w:tr2bl w:val="nil"/>
            </w:tcBorders>
            <w:vAlign w:val="center"/>
          </w:tcPr>
          <w:p>
            <w:pPr>
              <w:spacing w:line="240" w:lineRule="exact"/>
              <w:jc w:val="center"/>
              <w:rPr>
                <w:szCs w:val="21"/>
              </w:rPr>
            </w:pPr>
            <w:r>
              <w:rPr>
                <w:rFonts w:hint="eastAsia"/>
                <w:szCs w:val="21"/>
              </w:rPr>
              <w:t>86.59</w:t>
            </w:r>
          </w:p>
        </w:tc>
      </w:tr>
    </w:tbl>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项目场地设计服务年限12a（2021年~2032年），经预测，从运营第一年起，项目场内填埋气产生量逐年递增，直至封场年即运营第12年达到顶峰，峰值产气量约为94.67万m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/a，封场后产气量又呈逐年下降趋势，直至产气结束。</w:t>
      </w:r>
    </w:p>
    <w:p>
      <w:pPr>
        <w:pStyle w:val="38"/>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2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②</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lang w:val="zh-CN"/>
        </w:rPr>
        <w:t>填埋气</w:t>
      </w:r>
      <w:r>
        <w:rPr>
          <w:rFonts w:hint="eastAsia" w:ascii="Times New Roman" w:hAnsi="Times New Roman" w:eastAsia="宋体" w:cs="Times New Roman"/>
          <w:color w:val="auto"/>
          <w:sz w:val="24"/>
          <w:lang w:val="zh-CN"/>
        </w:rPr>
        <w:t>成分</w:t>
      </w:r>
    </w:p>
    <w:p>
      <w:pPr>
        <w:pStyle w:val="38"/>
        <w:ind w:firstLine="480" w:firstLineChars="200"/>
        <w:rPr>
          <w:rFonts w:hint="eastAsia"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val="zh-CN"/>
        </w:rPr>
        <w:t>垃圾填埋后，经过一系列复杂的生物反应，分解出各种气体，其主要成分为</w:t>
      </w:r>
      <w:r>
        <w:rPr>
          <w:rFonts w:ascii="Times New Roman" w:hAnsi="Times New Roman" w:eastAsia="宋体" w:cs="Times New Roman"/>
          <w:b w:val="0"/>
          <w:bCs w:val="0"/>
          <w:color w:val="auto"/>
          <w:sz w:val="24"/>
          <w:lang w:val="zh-CN"/>
        </w:rPr>
        <w:t>CH</w:t>
      </w:r>
      <w:r>
        <w:rPr>
          <w:rFonts w:ascii="Times New Roman" w:hAnsi="Times New Roman" w:eastAsia="宋体" w:cs="Times New Roman"/>
          <w:b w:val="0"/>
          <w:bCs w:val="0"/>
          <w:color w:val="auto"/>
          <w:sz w:val="24"/>
          <w:vertAlign w:val="subscript"/>
          <w:lang w:val="zh-CN"/>
        </w:rPr>
        <w:t>4</w:t>
      </w:r>
      <w:r>
        <w:rPr>
          <w:rFonts w:hint="eastAsia" w:ascii="Times New Roman" w:hAnsi="Times New Roman" w:eastAsia="宋体" w:cs="Times New Roman"/>
          <w:b w:val="0"/>
          <w:bCs w:val="0"/>
          <w:color w:val="auto"/>
          <w:sz w:val="24"/>
          <w:lang w:val="zh-CN"/>
        </w:rPr>
        <w:t>和</w:t>
      </w:r>
      <w:r>
        <w:rPr>
          <w:rFonts w:ascii="Times New Roman" w:hAnsi="Times New Roman" w:eastAsia="宋体" w:cs="Times New Roman"/>
          <w:b w:val="0"/>
          <w:bCs w:val="0"/>
          <w:color w:val="auto"/>
          <w:sz w:val="24"/>
          <w:lang w:val="zh-CN"/>
        </w:rPr>
        <w:t>CO</w:t>
      </w:r>
      <w:r>
        <w:rPr>
          <w:rFonts w:ascii="Times New Roman" w:hAnsi="Times New Roman" w:eastAsia="宋体" w:cs="Times New Roman"/>
          <w:b w:val="0"/>
          <w:bCs w:val="0"/>
          <w:color w:val="auto"/>
          <w:sz w:val="24"/>
          <w:vertAlign w:val="subscript"/>
          <w:lang w:val="zh-CN"/>
        </w:rPr>
        <w:t>2</w:t>
      </w:r>
      <w:r>
        <w:rPr>
          <w:rFonts w:hint="eastAsia" w:ascii="Times New Roman" w:hAnsi="Times New Roman" w:eastAsia="宋体" w:cs="Times New Roman"/>
          <w:b w:val="0"/>
          <w:bCs w:val="0"/>
          <w:color w:val="auto"/>
          <w:sz w:val="24"/>
          <w:lang w:val="zh-CN"/>
        </w:rPr>
        <w:t>，另外还有少量的氧、一氧化碳、硫化氢等。随着填埋时间的延长，垃圾气体的成分组成在不断的变化，参考相关资料，在填埋初期两周内，氮和氧的含量比较高，填埋近两个月后，</w:t>
      </w:r>
      <w:r>
        <w:rPr>
          <w:rFonts w:hint="eastAsia" w:ascii="Times New Roman" w:hAnsi="Times New Roman" w:eastAsia="宋体" w:cs="Times New Roman"/>
          <w:b w:val="0"/>
          <w:bCs w:val="0"/>
          <w:color w:val="auto"/>
          <w:sz w:val="24"/>
        </w:rPr>
        <w:t>CO</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达到最高值，随着垃圾被土覆盖并与空气隔绝后。垃圾内的空气逐渐被耗尽，酸化和产甲烷等菌种开始活跃，甲烷慢慢开始产生，可维持十多年的时间。在产气稳定期间、厌氧条件下产生的沼气成分一般为50%</w:t>
      </w:r>
      <w:r>
        <w:rPr>
          <w:rFonts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rPr>
        <w:t>60%的甲烷和40%</w:t>
      </w:r>
      <w:r>
        <w:rPr>
          <w:rFonts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rPr>
        <w:t>50%的二氧化碳。</w:t>
      </w:r>
    </w:p>
    <w:p>
      <w:pPr>
        <w:pStyle w:val="38"/>
        <w:ind w:firstLine="480" w:firstLineChars="200"/>
        <w:rPr>
          <w:rFonts w:hint="eastAsia" w:ascii="Times New Roman" w:hAnsi="Times New Roman" w:eastAsia="宋体" w:cs="Times New Roman"/>
          <w:b w:val="0"/>
          <w:bCs w:val="0"/>
          <w:color w:val="auto"/>
          <w:sz w:val="24"/>
        </w:rPr>
      </w:pPr>
    </w:p>
    <w:p>
      <w:pPr>
        <w:snapToGrid w:val="0"/>
        <w:spacing w:line="500" w:lineRule="atLeast"/>
        <w:jc w:val="center"/>
        <w:rPr>
          <w:b/>
          <w:spacing w:val="4"/>
          <w:sz w:val="24"/>
        </w:rPr>
      </w:pPr>
      <w:r>
        <w:rPr>
          <w:rFonts w:hint="eastAsia"/>
          <w:b/>
          <w:spacing w:val="4"/>
          <w:sz w:val="24"/>
        </w:rPr>
        <w:t>表3.4-2  垃圾填埋气主要成分组成经验数据表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86"/>
        <w:gridCol w:w="1138"/>
        <w:gridCol w:w="914"/>
        <w:gridCol w:w="1272"/>
        <w:gridCol w:w="1128"/>
        <w:gridCol w:w="1476"/>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spacing w:line="240" w:lineRule="exact"/>
              <w:jc w:val="center"/>
              <w:rPr>
                <w:b/>
                <w:bCs/>
                <w:szCs w:val="21"/>
              </w:rPr>
            </w:pPr>
            <w:r>
              <w:rPr>
                <w:rFonts w:hint="eastAsia" w:eastAsiaTheme="minorEastAsia"/>
                <w:b/>
                <w:bCs/>
                <w:color w:val="000000"/>
                <w:kern w:val="0"/>
                <w:szCs w:val="21"/>
              </w:rPr>
              <w:t>气体组分</w:t>
            </w:r>
          </w:p>
        </w:tc>
        <w:tc>
          <w:tcPr>
            <w:tcW w:w="1138" w:type="dxa"/>
            <w:tcBorders>
              <w:tl2br w:val="nil"/>
              <w:tr2bl w:val="nil"/>
            </w:tcBorders>
            <w:vAlign w:val="center"/>
          </w:tcPr>
          <w:p>
            <w:pPr>
              <w:spacing w:line="240" w:lineRule="exact"/>
              <w:jc w:val="center"/>
              <w:rPr>
                <w:szCs w:val="21"/>
              </w:rPr>
            </w:pPr>
            <w:r>
              <w:rPr>
                <w:rFonts w:hint="eastAsia" w:eastAsiaTheme="minorEastAsia"/>
                <w:color w:val="000000"/>
                <w:kern w:val="0"/>
                <w:szCs w:val="21"/>
              </w:rPr>
              <w:t>CH</w:t>
            </w:r>
            <w:r>
              <w:rPr>
                <w:rFonts w:hint="eastAsia" w:eastAsiaTheme="minorEastAsia"/>
                <w:color w:val="000000"/>
                <w:kern w:val="0"/>
                <w:szCs w:val="21"/>
                <w:vertAlign w:val="subscript"/>
              </w:rPr>
              <w:t>4</w:t>
            </w:r>
          </w:p>
        </w:tc>
        <w:tc>
          <w:tcPr>
            <w:tcW w:w="914" w:type="dxa"/>
            <w:tcBorders>
              <w:tl2br w:val="nil"/>
              <w:tr2bl w:val="nil"/>
            </w:tcBorders>
            <w:vAlign w:val="center"/>
          </w:tcPr>
          <w:p>
            <w:pPr>
              <w:adjustRightInd w:val="0"/>
              <w:snapToGrid w:val="0"/>
              <w:spacing w:line="240" w:lineRule="exact"/>
              <w:jc w:val="center"/>
              <w:textAlignment w:val="center"/>
              <w:rPr>
                <w:szCs w:val="21"/>
              </w:rPr>
            </w:pPr>
            <w:r>
              <w:rPr>
                <w:rFonts w:hint="eastAsia" w:eastAsiaTheme="minorEastAsia"/>
                <w:color w:val="000000"/>
                <w:kern w:val="0"/>
                <w:szCs w:val="21"/>
              </w:rPr>
              <w:t>CO</w:t>
            </w:r>
            <w:r>
              <w:rPr>
                <w:rFonts w:hint="eastAsia" w:eastAsiaTheme="minorEastAsia"/>
                <w:color w:val="000000"/>
                <w:kern w:val="0"/>
                <w:szCs w:val="21"/>
                <w:vertAlign w:val="subscript"/>
              </w:rPr>
              <w:t>2</w:t>
            </w:r>
          </w:p>
        </w:tc>
        <w:tc>
          <w:tcPr>
            <w:tcW w:w="1272" w:type="dxa"/>
            <w:tcBorders>
              <w:tl2br w:val="nil"/>
              <w:tr2bl w:val="nil"/>
            </w:tcBorders>
            <w:vAlign w:val="center"/>
          </w:tcPr>
          <w:p>
            <w:pPr>
              <w:spacing w:line="240" w:lineRule="exact"/>
              <w:jc w:val="center"/>
              <w:rPr>
                <w:szCs w:val="21"/>
              </w:rPr>
            </w:pPr>
            <w:r>
              <w:rPr>
                <w:rFonts w:hint="eastAsia" w:eastAsiaTheme="minorEastAsia"/>
                <w:color w:val="000000"/>
                <w:kern w:val="0"/>
                <w:szCs w:val="21"/>
              </w:rPr>
              <w:t>N</w:t>
            </w:r>
            <w:r>
              <w:rPr>
                <w:rFonts w:hint="eastAsia" w:eastAsiaTheme="minorEastAsia"/>
                <w:color w:val="000000"/>
                <w:kern w:val="0"/>
                <w:szCs w:val="21"/>
                <w:vertAlign w:val="subscript"/>
              </w:rPr>
              <w:t>2</w:t>
            </w:r>
          </w:p>
        </w:tc>
        <w:tc>
          <w:tcPr>
            <w:tcW w:w="1128" w:type="dxa"/>
            <w:tcBorders>
              <w:tl2br w:val="nil"/>
              <w:tr2bl w:val="nil"/>
            </w:tcBorders>
            <w:vAlign w:val="center"/>
          </w:tcPr>
          <w:p>
            <w:pPr>
              <w:spacing w:line="240" w:lineRule="exact"/>
              <w:jc w:val="center"/>
              <w:rPr>
                <w:szCs w:val="21"/>
              </w:rPr>
            </w:pPr>
            <w:r>
              <w:rPr>
                <w:rFonts w:hint="eastAsia" w:eastAsiaTheme="minorEastAsia"/>
                <w:color w:val="000000"/>
                <w:kern w:val="0"/>
                <w:szCs w:val="21"/>
              </w:rPr>
              <w:t>H</w:t>
            </w:r>
            <w:r>
              <w:rPr>
                <w:rFonts w:hint="eastAsia" w:eastAsiaTheme="minorEastAsia"/>
                <w:color w:val="000000"/>
                <w:kern w:val="0"/>
                <w:szCs w:val="21"/>
                <w:vertAlign w:val="subscript"/>
              </w:rPr>
              <w:t>2</w:t>
            </w:r>
          </w:p>
        </w:tc>
        <w:tc>
          <w:tcPr>
            <w:tcW w:w="1476" w:type="dxa"/>
            <w:tcBorders>
              <w:tl2br w:val="nil"/>
              <w:tr2bl w:val="nil"/>
            </w:tcBorders>
            <w:vAlign w:val="center"/>
          </w:tcPr>
          <w:p>
            <w:pPr>
              <w:spacing w:line="240" w:lineRule="exact"/>
              <w:jc w:val="center"/>
              <w:rPr>
                <w:szCs w:val="21"/>
              </w:rPr>
            </w:pPr>
            <w:r>
              <w:rPr>
                <w:rFonts w:hint="eastAsia" w:eastAsiaTheme="minorEastAsia"/>
                <w:color w:val="000000"/>
                <w:kern w:val="0"/>
                <w:szCs w:val="21"/>
              </w:rPr>
              <w:t>NH</w:t>
            </w:r>
            <w:r>
              <w:rPr>
                <w:rFonts w:hint="eastAsia" w:eastAsiaTheme="minorEastAsia"/>
                <w:color w:val="000000"/>
                <w:kern w:val="0"/>
                <w:szCs w:val="21"/>
                <w:vertAlign w:val="subscript"/>
              </w:rPr>
              <w:t>3</w:t>
            </w:r>
          </w:p>
        </w:tc>
        <w:tc>
          <w:tcPr>
            <w:tcW w:w="905" w:type="dxa"/>
            <w:tcBorders>
              <w:tl2br w:val="nil"/>
              <w:tr2bl w:val="nil"/>
            </w:tcBorders>
            <w:vAlign w:val="center"/>
          </w:tcPr>
          <w:p>
            <w:pPr>
              <w:spacing w:line="240" w:lineRule="exact"/>
              <w:jc w:val="center"/>
              <w:rPr>
                <w:szCs w:val="21"/>
              </w:rPr>
            </w:pPr>
            <w:r>
              <w:rPr>
                <w:rFonts w:hint="eastAsia" w:eastAsiaTheme="minorEastAsia"/>
                <w:color w:val="000000"/>
                <w:kern w:val="0"/>
                <w:szCs w:val="21"/>
              </w:rPr>
              <w:t>H</w:t>
            </w:r>
            <w:r>
              <w:rPr>
                <w:rFonts w:hint="eastAsia" w:eastAsiaTheme="minorEastAsia"/>
                <w:color w:val="000000"/>
                <w:kern w:val="0"/>
                <w:szCs w:val="21"/>
                <w:vertAlign w:val="subscript"/>
              </w:rPr>
              <w:t>2</w:t>
            </w:r>
            <w:r>
              <w:rPr>
                <w:rFonts w:hint="eastAsia" w:eastAsiaTheme="minorEastAsia"/>
                <w:color w:val="000000"/>
                <w:kern w:val="0"/>
                <w:szCs w:val="21"/>
              </w:rPr>
              <w:t>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spacing w:line="240" w:lineRule="exact"/>
              <w:jc w:val="center"/>
              <w:rPr>
                <w:b/>
                <w:bCs/>
                <w:szCs w:val="21"/>
              </w:rPr>
            </w:pPr>
            <w:r>
              <w:rPr>
                <w:rFonts w:hint="eastAsia" w:eastAsiaTheme="minorEastAsia"/>
                <w:b/>
                <w:bCs/>
                <w:color w:val="000000"/>
                <w:kern w:val="0"/>
                <w:szCs w:val="21"/>
              </w:rPr>
              <w:t>体积含量（%）</w:t>
            </w:r>
          </w:p>
        </w:tc>
        <w:tc>
          <w:tcPr>
            <w:tcW w:w="1138" w:type="dxa"/>
            <w:tcBorders>
              <w:tl2br w:val="nil"/>
              <w:tr2bl w:val="nil"/>
            </w:tcBorders>
            <w:vAlign w:val="center"/>
          </w:tcPr>
          <w:p>
            <w:pPr>
              <w:spacing w:line="240" w:lineRule="exact"/>
              <w:jc w:val="center"/>
              <w:rPr>
                <w:szCs w:val="21"/>
              </w:rPr>
            </w:pPr>
            <w:r>
              <w:rPr>
                <w:rFonts w:eastAsiaTheme="minorEastAsia"/>
                <w:color w:val="000000"/>
                <w:kern w:val="0"/>
                <w:szCs w:val="21"/>
              </w:rPr>
              <w:t>45-50</w:t>
            </w:r>
          </w:p>
        </w:tc>
        <w:tc>
          <w:tcPr>
            <w:tcW w:w="914" w:type="dxa"/>
            <w:tcBorders>
              <w:tl2br w:val="nil"/>
              <w:tr2bl w:val="nil"/>
            </w:tcBorders>
            <w:vAlign w:val="center"/>
          </w:tcPr>
          <w:p>
            <w:pPr>
              <w:adjustRightInd w:val="0"/>
              <w:snapToGrid w:val="0"/>
              <w:spacing w:line="240" w:lineRule="exact"/>
              <w:jc w:val="center"/>
              <w:textAlignment w:val="center"/>
              <w:rPr>
                <w:szCs w:val="21"/>
              </w:rPr>
            </w:pPr>
            <w:r>
              <w:rPr>
                <w:rFonts w:eastAsiaTheme="minorEastAsia"/>
                <w:color w:val="000000"/>
                <w:kern w:val="0"/>
                <w:szCs w:val="21"/>
              </w:rPr>
              <w:t>40-60</w:t>
            </w:r>
          </w:p>
        </w:tc>
        <w:tc>
          <w:tcPr>
            <w:tcW w:w="1272" w:type="dxa"/>
            <w:tcBorders>
              <w:tl2br w:val="nil"/>
              <w:tr2bl w:val="nil"/>
            </w:tcBorders>
            <w:vAlign w:val="center"/>
          </w:tcPr>
          <w:p>
            <w:pPr>
              <w:spacing w:line="240" w:lineRule="exact"/>
              <w:jc w:val="center"/>
              <w:rPr>
                <w:szCs w:val="21"/>
              </w:rPr>
            </w:pPr>
            <w:r>
              <w:rPr>
                <w:rFonts w:hint="eastAsia" w:eastAsiaTheme="minorEastAsia"/>
                <w:color w:val="000000"/>
                <w:kern w:val="0"/>
                <w:szCs w:val="21"/>
              </w:rPr>
              <w:t>2</w:t>
            </w:r>
            <w:r>
              <w:rPr>
                <w:rFonts w:eastAsiaTheme="minorEastAsia"/>
                <w:color w:val="000000"/>
                <w:kern w:val="0"/>
                <w:szCs w:val="21"/>
              </w:rPr>
              <w:t>-5</w:t>
            </w:r>
          </w:p>
        </w:tc>
        <w:tc>
          <w:tcPr>
            <w:tcW w:w="1128" w:type="dxa"/>
            <w:tcBorders>
              <w:tl2br w:val="nil"/>
              <w:tr2bl w:val="nil"/>
            </w:tcBorders>
            <w:vAlign w:val="center"/>
          </w:tcPr>
          <w:p>
            <w:pPr>
              <w:adjustRightInd w:val="0"/>
              <w:snapToGrid w:val="0"/>
              <w:spacing w:line="240" w:lineRule="exact"/>
              <w:jc w:val="center"/>
              <w:textAlignment w:val="center"/>
              <w:rPr>
                <w:szCs w:val="21"/>
              </w:rPr>
            </w:pPr>
            <w:r>
              <w:rPr>
                <w:rFonts w:hint="eastAsia" w:eastAsiaTheme="minorEastAsia"/>
                <w:color w:val="000000"/>
                <w:kern w:val="0"/>
                <w:szCs w:val="21"/>
              </w:rPr>
              <w:t>0</w:t>
            </w:r>
            <w:r>
              <w:rPr>
                <w:rFonts w:eastAsiaTheme="minorEastAsia"/>
                <w:color w:val="000000"/>
                <w:kern w:val="0"/>
                <w:szCs w:val="21"/>
              </w:rPr>
              <w:t>-</w:t>
            </w:r>
            <w:r>
              <w:rPr>
                <w:rFonts w:hint="eastAsia" w:eastAsiaTheme="minorEastAsia"/>
                <w:color w:val="000000"/>
                <w:kern w:val="0"/>
                <w:szCs w:val="21"/>
              </w:rPr>
              <w:t>0.2</w:t>
            </w:r>
          </w:p>
        </w:tc>
        <w:tc>
          <w:tcPr>
            <w:tcW w:w="1476" w:type="dxa"/>
            <w:tcBorders>
              <w:tl2br w:val="nil"/>
              <w:tr2bl w:val="nil"/>
            </w:tcBorders>
            <w:vAlign w:val="center"/>
          </w:tcPr>
          <w:p>
            <w:pPr>
              <w:spacing w:line="240" w:lineRule="exact"/>
              <w:jc w:val="center"/>
              <w:rPr>
                <w:szCs w:val="21"/>
              </w:rPr>
            </w:pPr>
            <w:r>
              <w:rPr>
                <w:rFonts w:hint="eastAsia" w:eastAsiaTheme="minorEastAsia"/>
                <w:color w:val="000000"/>
                <w:kern w:val="0"/>
                <w:szCs w:val="21"/>
              </w:rPr>
              <w:t>0.1-0.6</w:t>
            </w:r>
          </w:p>
        </w:tc>
        <w:tc>
          <w:tcPr>
            <w:tcW w:w="905" w:type="dxa"/>
            <w:tcBorders>
              <w:tl2br w:val="nil"/>
              <w:tr2bl w:val="nil"/>
            </w:tcBorders>
            <w:vAlign w:val="center"/>
          </w:tcPr>
          <w:p>
            <w:pPr>
              <w:adjustRightInd w:val="0"/>
              <w:snapToGrid w:val="0"/>
              <w:spacing w:line="240" w:lineRule="exact"/>
              <w:jc w:val="center"/>
              <w:textAlignment w:val="center"/>
              <w:rPr>
                <w:szCs w:val="21"/>
              </w:rPr>
            </w:pPr>
            <w:r>
              <w:rPr>
                <w:rFonts w:hint="eastAsia" w:eastAsiaTheme="minorEastAsia"/>
                <w:color w:val="000000"/>
                <w:kern w:val="0"/>
                <w:szCs w:val="21"/>
              </w:rPr>
              <w:t>0</w:t>
            </w:r>
            <w:r>
              <w:rPr>
                <w:rFonts w:eastAsiaTheme="minorEastAsia"/>
                <w:color w:val="000000"/>
                <w:kern w:val="0"/>
                <w:szCs w:val="21"/>
              </w:rPr>
              <w:t>-</w:t>
            </w:r>
            <w:r>
              <w:rPr>
                <w:rFonts w:hint="eastAsia" w:eastAsiaTheme="minorEastAsia"/>
                <w:color w:val="000000"/>
                <w:kern w:val="0"/>
                <w:szCs w:val="21"/>
              </w:rPr>
              <w:t>0.06</w:t>
            </w:r>
          </w:p>
        </w:tc>
      </w:tr>
    </w:tbl>
    <w:p>
      <w:pPr>
        <w:snapToGrid w:val="0"/>
        <w:spacing w:line="500" w:lineRule="atLeast"/>
        <w:jc w:val="center"/>
        <w:rPr>
          <w:rFonts w:hint="eastAsia"/>
          <w:b/>
          <w:spacing w:val="4"/>
          <w:sz w:val="24"/>
        </w:rPr>
      </w:pPr>
    </w:p>
    <w:p>
      <w:pPr>
        <w:snapToGrid w:val="0"/>
        <w:spacing w:line="500" w:lineRule="atLeast"/>
        <w:jc w:val="center"/>
        <w:rPr>
          <w:b/>
          <w:spacing w:val="4"/>
          <w:sz w:val="24"/>
        </w:rPr>
      </w:pPr>
      <w:r>
        <w:rPr>
          <w:rFonts w:hint="eastAsia"/>
          <w:b/>
          <w:spacing w:val="4"/>
          <w:sz w:val="24"/>
        </w:rPr>
        <w:t>表3.4-3  垃圾填埋气各成分物理性质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86"/>
        <w:gridCol w:w="1138"/>
        <w:gridCol w:w="914"/>
        <w:gridCol w:w="1272"/>
        <w:gridCol w:w="1128"/>
        <w:gridCol w:w="1476"/>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pStyle w:val="63"/>
              <w:spacing w:line="288" w:lineRule="auto"/>
              <w:jc w:val="center"/>
              <w:rPr>
                <w:b/>
                <w:bCs/>
                <w:szCs w:val="21"/>
              </w:rPr>
            </w:pPr>
            <w:r>
              <w:rPr>
                <w:rFonts w:hint="eastAsia"/>
                <w:b/>
                <w:bCs/>
                <w:szCs w:val="21"/>
              </w:rPr>
              <w:t>项目</w:t>
            </w:r>
          </w:p>
        </w:tc>
        <w:tc>
          <w:tcPr>
            <w:tcW w:w="1138" w:type="dxa"/>
            <w:tcBorders>
              <w:tl2br w:val="nil"/>
              <w:tr2bl w:val="nil"/>
            </w:tcBorders>
            <w:vAlign w:val="center"/>
          </w:tcPr>
          <w:p>
            <w:pPr>
              <w:pStyle w:val="63"/>
              <w:spacing w:line="288" w:lineRule="auto"/>
              <w:jc w:val="center"/>
              <w:rPr>
                <w:szCs w:val="21"/>
              </w:rPr>
            </w:pPr>
            <w:r>
              <w:rPr>
                <w:szCs w:val="21"/>
              </w:rPr>
              <w:t>CH</w:t>
            </w:r>
            <w:r>
              <w:rPr>
                <w:szCs w:val="21"/>
                <w:vertAlign w:val="subscript"/>
              </w:rPr>
              <w:t>4</w:t>
            </w:r>
          </w:p>
        </w:tc>
        <w:tc>
          <w:tcPr>
            <w:tcW w:w="914" w:type="dxa"/>
            <w:tcBorders>
              <w:tl2br w:val="nil"/>
              <w:tr2bl w:val="nil"/>
            </w:tcBorders>
            <w:vAlign w:val="center"/>
          </w:tcPr>
          <w:p>
            <w:pPr>
              <w:pStyle w:val="63"/>
              <w:spacing w:line="288" w:lineRule="auto"/>
              <w:jc w:val="center"/>
              <w:rPr>
                <w:szCs w:val="21"/>
              </w:rPr>
            </w:pPr>
            <w:r>
              <w:rPr>
                <w:szCs w:val="21"/>
              </w:rPr>
              <w:t>CO</w:t>
            </w:r>
            <w:r>
              <w:rPr>
                <w:szCs w:val="21"/>
                <w:vertAlign w:val="subscript"/>
              </w:rPr>
              <w:t>2</w:t>
            </w:r>
          </w:p>
        </w:tc>
        <w:tc>
          <w:tcPr>
            <w:tcW w:w="1272" w:type="dxa"/>
            <w:tcBorders>
              <w:tl2br w:val="nil"/>
              <w:tr2bl w:val="nil"/>
            </w:tcBorders>
            <w:vAlign w:val="center"/>
          </w:tcPr>
          <w:p>
            <w:pPr>
              <w:pStyle w:val="63"/>
              <w:spacing w:line="288" w:lineRule="auto"/>
              <w:jc w:val="center"/>
              <w:rPr>
                <w:szCs w:val="21"/>
              </w:rPr>
            </w:pPr>
            <w:r>
              <w:rPr>
                <w:szCs w:val="21"/>
              </w:rPr>
              <w:t>H</w:t>
            </w:r>
            <w:r>
              <w:rPr>
                <w:szCs w:val="21"/>
                <w:vertAlign w:val="subscript"/>
              </w:rPr>
              <w:t>2</w:t>
            </w:r>
          </w:p>
        </w:tc>
        <w:tc>
          <w:tcPr>
            <w:tcW w:w="1128" w:type="dxa"/>
            <w:tcBorders>
              <w:tl2br w:val="nil"/>
              <w:tr2bl w:val="nil"/>
            </w:tcBorders>
            <w:vAlign w:val="center"/>
          </w:tcPr>
          <w:p>
            <w:pPr>
              <w:pStyle w:val="63"/>
              <w:spacing w:line="288" w:lineRule="auto"/>
              <w:jc w:val="center"/>
              <w:rPr>
                <w:kern w:val="2"/>
                <w:szCs w:val="21"/>
              </w:rPr>
            </w:pPr>
            <w:r>
              <w:rPr>
                <w:szCs w:val="21"/>
              </w:rPr>
              <w:t>H</w:t>
            </w:r>
            <w:r>
              <w:rPr>
                <w:szCs w:val="21"/>
                <w:vertAlign w:val="subscript"/>
              </w:rPr>
              <w:t>2</w:t>
            </w:r>
            <w:r>
              <w:rPr>
                <w:szCs w:val="21"/>
              </w:rPr>
              <w:t>S</w:t>
            </w:r>
          </w:p>
        </w:tc>
        <w:tc>
          <w:tcPr>
            <w:tcW w:w="1476" w:type="dxa"/>
            <w:tcBorders>
              <w:tl2br w:val="nil"/>
              <w:tr2bl w:val="nil"/>
            </w:tcBorders>
            <w:vAlign w:val="center"/>
          </w:tcPr>
          <w:p>
            <w:pPr>
              <w:pStyle w:val="63"/>
              <w:spacing w:line="288" w:lineRule="auto"/>
              <w:jc w:val="center"/>
              <w:rPr>
                <w:kern w:val="2"/>
                <w:szCs w:val="21"/>
              </w:rPr>
            </w:pPr>
            <w:r>
              <w:rPr>
                <w:rFonts w:hint="eastAsia" w:eastAsiaTheme="minorEastAsia"/>
                <w:color w:val="000000"/>
                <w:szCs w:val="21"/>
              </w:rPr>
              <w:t>NH</w:t>
            </w:r>
            <w:r>
              <w:rPr>
                <w:rFonts w:hint="eastAsia" w:eastAsiaTheme="minorEastAsia"/>
                <w:color w:val="000000"/>
                <w:szCs w:val="21"/>
                <w:vertAlign w:val="subscript"/>
              </w:rPr>
              <w:t>3</w:t>
            </w:r>
          </w:p>
        </w:tc>
        <w:tc>
          <w:tcPr>
            <w:tcW w:w="905" w:type="dxa"/>
            <w:tcBorders>
              <w:tl2br w:val="nil"/>
              <w:tr2bl w:val="nil"/>
            </w:tcBorders>
            <w:vAlign w:val="center"/>
          </w:tcPr>
          <w:p>
            <w:pPr>
              <w:pStyle w:val="63"/>
              <w:spacing w:line="288" w:lineRule="auto"/>
              <w:jc w:val="center"/>
              <w:rPr>
                <w:kern w:val="2"/>
                <w:szCs w:val="21"/>
              </w:rPr>
            </w:pPr>
            <w:r>
              <w:rPr>
                <w:szCs w:val="21"/>
              </w:rPr>
              <w:t>N</w:t>
            </w:r>
            <w:r>
              <w:rPr>
                <w:szCs w:val="21"/>
                <w:vertAlign w:val="sub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pStyle w:val="63"/>
              <w:spacing w:line="288" w:lineRule="auto"/>
              <w:jc w:val="center"/>
              <w:rPr>
                <w:b/>
                <w:bCs/>
                <w:szCs w:val="21"/>
              </w:rPr>
            </w:pPr>
            <w:r>
              <w:rPr>
                <w:b/>
                <w:bCs/>
                <w:spacing w:val="-1"/>
                <w:szCs w:val="21"/>
              </w:rPr>
              <w:t>相对比重(空气)</w:t>
            </w:r>
          </w:p>
        </w:tc>
        <w:tc>
          <w:tcPr>
            <w:tcW w:w="1138" w:type="dxa"/>
            <w:tcBorders>
              <w:tl2br w:val="nil"/>
              <w:tr2bl w:val="nil"/>
            </w:tcBorders>
            <w:vAlign w:val="center"/>
          </w:tcPr>
          <w:p>
            <w:pPr>
              <w:pStyle w:val="63"/>
              <w:spacing w:line="288" w:lineRule="auto"/>
              <w:jc w:val="center"/>
              <w:rPr>
                <w:szCs w:val="21"/>
              </w:rPr>
            </w:pPr>
            <w:r>
              <w:rPr>
                <w:szCs w:val="21"/>
              </w:rPr>
              <w:t>0.555</w:t>
            </w:r>
          </w:p>
        </w:tc>
        <w:tc>
          <w:tcPr>
            <w:tcW w:w="914" w:type="dxa"/>
            <w:tcBorders>
              <w:tl2br w:val="nil"/>
              <w:tr2bl w:val="nil"/>
            </w:tcBorders>
            <w:vAlign w:val="center"/>
          </w:tcPr>
          <w:p>
            <w:pPr>
              <w:pStyle w:val="63"/>
              <w:spacing w:line="288" w:lineRule="auto"/>
              <w:jc w:val="center"/>
              <w:rPr>
                <w:szCs w:val="21"/>
              </w:rPr>
            </w:pPr>
            <w:r>
              <w:rPr>
                <w:szCs w:val="21"/>
              </w:rPr>
              <w:t>1.520</w:t>
            </w:r>
          </w:p>
        </w:tc>
        <w:tc>
          <w:tcPr>
            <w:tcW w:w="1272" w:type="dxa"/>
            <w:tcBorders>
              <w:tl2br w:val="nil"/>
              <w:tr2bl w:val="nil"/>
            </w:tcBorders>
            <w:vAlign w:val="center"/>
          </w:tcPr>
          <w:p>
            <w:pPr>
              <w:pStyle w:val="63"/>
              <w:spacing w:line="288" w:lineRule="auto"/>
              <w:jc w:val="center"/>
              <w:rPr>
                <w:kern w:val="2"/>
                <w:szCs w:val="21"/>
              </w:rPr>
            </w:pPr>
            <w:r>
              <w:rPr>
                <w:szCs w:val="21"/>
              </w:rPr>
              <w:t>0.0690</w:t>
            </w:r>
          </w:p>
        </w:tc>
        <w:tc>
          <w:tcPr>
            <w:tcW w:w="1128" w:type="dxa"/>
            <w:tcBorders>
              <w:tl2br w:val="nil"/>
              <w:tr2bl w:val="nil"/>
            </w:tcBorders>
            <w:vAlign w:val="center"/>
          </w:tcPr>
          <w:p>
            <w:pPr>
              <w:pStyle w:val="63"/>
              <w:spacing w:line="288" w:lineRule="auto"/>
              <w:jc w:val="center"/>
              <w:rPr>
                <w:szCs w:val="21"/>
              </w:rPr>
            </w:pPr>
            <w:r>
              <w:rPr>
                <w:szCs w:val="21"/>
              </w:rPr>
              <w:t>1.190</w:t>
            </w:r>
          </w:p>
        </w:tc>
        <w:tc>
          <w:tcPr>
            <w:tcW w:w="1476" w:type="dxa"/>
            <w:tcBorders>
              <w:tl2br w:val="nil"/>
              <w:tr2bl w:val="nil"/>
            </w:tcBorders>
            <w:vAlign w:val="center"/>
          </w:tcPr>
          <w:p>
            <w:pPr>
              <w:pStyle w:val="63"/>
              <w:spacing w:line="288" w:lineRule="auto"/>
              <w:jc w:val="center"/>
              <w:rPr>
                <w:szCs w:val="21"/>
              </w:rPr>
            </w:pPr>
            <w:r>
              <w:rPr>
                <w:rFonts w:hint="eastAsia"/>
                <w:szCs w:val="21"/>
              </w:rPr>
              <w:t>0.587</w:t>
            </w:r>
          </w:p>
        </w:tc>
        <w:tc>
          <w:tcPr>
            <w:tcW w:w="905" w:type="dxa"/>
            <w:tcBorders>
              <w:tl2br w:val="nil"/>
              <w:tr2bl w:val="nil"/>
            </w:tcBorders>
            <w:vAlign w:val="center"/>
          </w:tcPr>
          <w:p>
            <w:pPr>
              <w:pStyle w:val="63"/>
              <w:spacing w:line="288" w:lineRule="auto"/>
              <w:jc w:val="center"/>
              <w:rPr>
                <w:szCs w:val="21"/>
              </w:rPr>
            </w:pPr>
            <w:r>
              <w:rPr>
                <w:szCs w:val="21"/>
              </w:rPr>
              <w:t>0.967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pStyle w:val="63"/>
              <w:spacing w:line="288" w:lineRule="auto"/>
              <w:jc w:val="center"/>
              <w:rPr>
                <w:b/>
                <w:bCs/>
                <w:szCs w:val="21"/>
              </w:rPr>
            </w:pPr>
            <w:r>
              <w:rPr>
                <w:b/>
                <w:bCs/>
                <w:szCs w:val="21"/>
              </w:rPr>
              <w:t>可燃性</w:t>
            </w:r>
          </w:p>
        </w:tc>
        <w:tc>
          <w:tcPr>
            <w:tcW w:w="1138" w:type="dxa"/>
            <w:tcBorders>
              <w:tl2br w:val="nil"/>
              <w:tr2bl w:val="nil"/>
            </w:tcBorders>
            <w:vAlign w:val="center"/>
          </w:tcPr>
          <w:p>
            <w:pPr>
              <w:pStyle w:val="63"/>
              <w:spacing w:line="288" w:lineRule="auto"/>
              <w:jc w:val="center"/>
              <w:rPr>
                <w:szCs w:val="21"/>
              </w:rPr>
            </w:pPr>
            <w:r>
              <w:rPr>
                <w:szCs w:val="21"/>
              </w:rPr>
              <w:t>可燃</w:t>
            </w:r>
          </w:p>
        </w:tc>
        <w:tc>
          <w:tcPr>
            <w:tcW w:w="914" w:type="dxa"/>
            <w:tcBorders>
              <w:tl2br w:val="nil"/>
              <w:tr2bl w:val="nil"/>
            </w:tcBorders>
            <w:vAlign w:val="center"/>
          </w:tcPr>
          <w:p>
            <w:pPr>
              <w:pStyle w:val="63"/>
              <w:spacing w:line="288" w:lineRule="auto"/>
              <w:jc w:val="center"/>
              <w:rPr>
                <w:szCs w:val="21"/>
              </w:rPr>
            </w:pPr>
            <w:r>
              <w:rPr>
                <w:rFonts w:hint="eastAsia"/>
                <w:szCs w:val="21"/>
              </w:rPr>
              <w:t>/</w:t>
            </w:r>
          </w:p>
        </w:tc>
        <w:tc>
          <w:tcPr>
            <w:tcW w:w="1272" w:type="dxa"/>
            <w:tcBorders>
              <w:tl2br w:val="nil"/>
              <w:tr2bl w:val="nil"/>
            </w:tcBorders>
            <w:vAlign w:val="center"/>
          </w:tcPr>
          <w:p>
            <w:pPr>
              <w:pStyle w:val="63"/>
              <w:spacing w:line="288" w:lineRule="auto"/>
              <w:jc w:val="center"/>
              <w:rPr>
                <w:kern w:val="2"/>
                <w:szCs w:val="21"/>
              </w:rPr>
            </w:pPr>
            <w:r>
              <w:rPr>
                <w:szCs w:val="21"/>
              </w:rPr>
              <w:t>可燃</w:t>
            </w:r>
          </w:p>
        </w:tc>
        <w:tc>
          <w:tcPr>
            <w:tcW w:w="1128" w:type="dxa"/>
            <w:tcBorders>
              <w:tl2br w:val="nil"/>
              <w:tr2bl w:val="nil"/>
            </w:tcBorders>
            <w:vAlign w:val="center"/>
          </w:tcPr>
          <w:p>
            <w:pPr>
              <w:pStyle w:val="63"/>
              <w:spacing w:line="288" w:lineRule="auto"/>
              <w:jc w:val="center"/>
              <w:rPr>
                <w:szCs w:val="21"/>
              </w:rPr>
            </w:pPr>
            <w:r>
              <w:rPr>
                <w:szCs w:val="21"/>
              </w:rPr>
              <w:t>可燃</w:t>
            </w:r>
          </w:p>
        </w:tc>
        <w:tc>
          <w:tcPr>
            <w:tcW w:w="1476" w:type="dxa"/>
            <w:tcBorders>
              <w:tl2br w:val="nil"/>
              <w:tr2bl w:val="nil"/>
            </w:tcBorders>
            <w:vAlign w:val="center"/>
          </w:tcPr>
          <w:p>
            <w:pPr>
              <w:pStyle w:val="63"/>
              <w:spacing w:line="288" w:lineRule="auto"/>
              <w:jc w:val="center"/>
              <w:rPr>
                <w:szCs w:val="21"/>
              </w:rPr>
            </w:pPr>
            <w:r>
              <w:rPr>
                <w:szCs w:val="21"/>
              </w:rPr>
              <w:t>可燃</w:t>
            </w:r>
          </w:p>
        </w:tc>
        <w:tc>
          <w:tcPr>
            <w:tcW w:w="905" w:type="dxa"/>
            <w:tcBorders>
              <w:tl2br w:val="nil"/>
              <w:tr2bl w:val="nil"/>
            </w:tcBorders>
            <w:vAlign w:val="center"/>
          </w:tcPr>
          <w:p>
            <w:pPr>
              <w:pStyle w:val="63"/>
              <w:spacing w:line="288" w:lineRule="auto"/>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pStyle w:val="63"/>
              <w:spacing w:line="288" w:lineRule="auto"/>
              <w:jc w:val="center"/>
              <w:rPr>
                <w:b/>
                <w:bCs/>
                <w:szCs w:val="21"/>
              </w:rPr>
            </w:pPr>
            <w:r>
              <w:rPr>
                <w:b/>
                <w:bCs/>
                <w:spacing w:val="-1"/>
                <w:szCs w:val="21"/>
              </w:rPr>
              <w:t>与空气混合爆炸范围</w:t>
            </w:r>
          </w:p>
        </w:tc>
        <w:tc>
          <w:tcPr>
            <w:tcW w:w="1138" w:type="dxa"/>
            <w:tcBorders>
              <w:tl2br w:val="nil"/>
              <w:tr2bl w:val="nil"/>
            </w:tcBorders>
            <w:vAlign w:val="center"/>
          </w:tcPr>
          <w:p>
            <w:pPr>
              <w:pStyle w:val="63"/>
              <w:spacing w:line="288" w:lineRule="auto"/>
              <w:jc w:val="center"/>
              <w:rPr>
                <w:szCs w:val="21"/>
              </w:rPr>
            </w:pPr>
            <w:r>
              <w:rPr>
                <w:spacing w:val="-1"/>
                <w:szCs w:val="21"/>
              </w:rPr>
              <w:t>5％-15%</w:t>
            </w:r>
          </w:p>
        </w:tc>
        <w:tc>
          <w:tcPr>
            <w:tcW w:w="914" w:type="dxa"/>
            <w:tcBorders>
              <w:tl2br w:val="nil"/>
              <w:tr2bl w:val="nil"/>
            </w:tcBorders>
            <w:vAlign w:val="center"/>
          </w:tcPr>
          <w:p>
            <w:pPr>
              <w:pStyle w:val="63"/>
              <w:spacing w:line="288" w:lineRule="auto"/>
              <w:jc w:val="center"/>
              <w:rPr>
                <w:szCs w:val="21"/>
              </w:rPr>
            </w:pPr>
            <w:r>
              <w:rPr>
                <w:rFonts w:hint="eastAsia"/>
                <w:szCs w:val="21"/>
              </w:rPr>
              <w:t>/</w:t>
            </w:r>
          </w:p>
        </w:tc>
        <w:tc>
          <w:tcPr>
            <w:tcW w:w="1272" w:type="dxa"/>
            <w:tcBorders>
              <w:tl2br w:val="nil"/>
              <w:tr2bl w:val="nil"/>
            </w:tcBorders>
            <w:vAlign w:val="center"/>
          </w:tcPr>
          <w:p>
            <w:pPr>
              <w:pStyle w:val="63"/>
              <w:spacing w:line="288" w:lineRule="auto"/>
              <w:jc w:val="center"/>
              <w:rPr>
                <w:szCs w:val="21"/>
              </w:rPr>
            </w:pPr>
            <w:r>
              <w:rPr>
                <w:spacing w:val="-1"/>
                <w:szCs w:val="21"/>
              </w:rPr>
              <w:t>4%-75.6%</w:t>
            </w:r>
          </w:p>
        </w:tc>
        <w:tc>
          <w:tcPr>
            <w:tcW w:w="1128" w:type="dxa"/>
            <w:tcBorders>
              <w:tl2br w:val="nil"/>
              <w:tr2bl w:val="nil"/>
            </w:tcBorders>
            <w:vAlign w:val="center"/>
          </w:tcPr>
          <w:p>
            <w:pPr>
              <w:pStyle w:val="63"/>
              <w:spacing w:line="288" w:lineRule="auto"/>
              <w:jc w:val="center"/>
              <w:rPr>
                <w:szCs w:val="21"/>
              </w:rPr>
            </w:pPr>
            <w:r>
              <w:rPr>
                <w:spacing w:val="-1"/>
                <w:szCs w:val="21"/>
              </w:rPr>
              <w:t>4.3%-45%</w:t>
            </w:r>
          </w:p>
        </w:tc>
        <w:tc>
          <w:tcPr>
            <w:tcW w:w="1476" w:type="dxa"/>
            <w:tcBorders>
              <w:tl2br w:val="nil"/>
              <w:tr2bl w:val="nil"/>
            </w:tcBorders>
            <w:vAlign w:val="center"/>
          </w:tcPr>
          <w:p>
            <w:pPr>
              <w:pStyle w:val="63"/>
              <w:spacing w:line="288" w:lineRule="auto"/>
              <w:jc w:val="center"/>
              <w:rPr>
                <w:szCs w:val="21"/>
              </w:rPr>
            </w:pPr>
            <w:r>
              <w:rPr>
                <w:rFonts w:eastAsia="Times New Roman"/>
                <w:spacing w:val="-1"/>
                <w:szCs w:val="21"/>
              </w:rPr>
              <w:t>12.5</w:t>
            </w:r>
            <w:r>
              <w:rPr>
                <w:spacing w:val="-1"/>
                <w:szCs w:val="21"/>
              </w:rPr>
              <w:t>％</w:t>
            </w:r>
            <w:r>
              <w:rPr>
                <w:rFonts w:eastAsia="Times New Roman"/>
                <w:spacing w:val="-1"/>
                <w:szCs w:val="21"/>
              </w:rPr>
              <w:t>-74</w:t>
            </w:r>
            <w:r>
              <w:rPr>
                <w:spacing w:val="-1"/>
                <w:szCs w:val="21"/>
              </w:rPr>
              <w:t>％</w:t>
            </w:r>
          </w:p>
        </w:tc>
        <w:tc>
          <w:tcPr>
            <w:tcW w:w="905" w:type="dxa"/>
            <w:tcBorders>
              <w:tl2br w:val="nil"/>
              <w:tr2bl w:val="nil"/>
            </w:tcBorders>
            <w:vAlign w:val="center"/>
          </w:tcPr>
          <w:p>
            <w:pPr>
              <w:pStyle w:val="63"/>
              <w:spacing w:line="288" w:lineRule="auto"/>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pStyle w:val="63"/>
              <w:spacing w:line="288" w:lineRule="auto"/>
              <w:jc w:val="center"/>
              <w:rPr>
                <w:b/>
                <w:bCs/>
                <w:szCs w:val="21"/>
              </w:rPr>
            </w:pPr>
            <w:r>
              <w:rPr>
                <w:b/>
                <w:bCs/>
                <w:szCs w:val="21"/>
              </w:rPr>
              <w:t>臭味</w:t>
            </w:r>
          </w:p>
        </w:tc>
        <w:tc>
          <w:tcPr>
            <w:tcW w:w="1138" w:type="dxa"/>
            <w:tcBorders>
              <w:tl2br w:val="nil"/>
              <w:tr2bl w:val="nil"/>
            </w:tcBorders>
            <w:vAlign w:val="center"/>
          </w:tcPr>
          <w:p>
            <w:pPr>
              <w:pStyle w:val="63"/>
              <w:spacing w:line="288" w:lineRule="auto"/>
              <w:jc w:val="center"/>
              <w:rPr>
                <w:szCs w:val="21"/>
              </w:rPr>
            </w:pPr>
            <w:r>
              <w:rPr>
                <w:szCs w:val="21"/>
              </w:rPr>
              <w:t>无</w:t>
            </w:r>
          </w:p>
        </w:tc>
        <w:tc>
          <w:tcPr>
            <w:tcW w:w="914" w:type="dxa"/>
            <w:tcBorders>
              <w:tl2br w:val="nil"/>
              <w:tr2bl w:val="nil"/>
            </w:tcBorders>
            <w:vAlign w:val="center"/>
          </w:tcPr>
          <w:p>
            <w:pPr>
              <w:pStyle w:val="63"/>
              <w:spacing w:line="288" w:lineRule="auto"/>
              <w:jc w:val="center"/>
              <w:rPr>
                <w:szCs w:val="21"/>
              </w:rPr>
            </w:pPr>
            <w:r>
              <w:rPr>
                <w:szCs w:val="21"/>
              </w:rPr>
              <w:t>无</w:t>
            </w:r>
          </w:p>
        </w:tc>
        <w:tc>
          <w:tcPr>
            <w:tcW w:w="1272" w:type="dxa"/>
            <w:tcBorders>
              <w:tl2br w:val="nil"/>
              <w:tr2bl w:val="nil"/>
            </w:tcBorders>
            <w:vAlign w:val="center"/>
          </w:tcPr>
          <w:p>
            <w:pPr>
              <w:pStyle w:val="63"/>
              <w:spacing w:line="288" w:lineRule="auto"/>
              <w:jc w:val="center"/>
              <w:rPr>
                <w:szCs w:val="21"/>
              </w:rPr>
            </w:pPr>
            <w:r>
              <w:rPr>
                <w:szCs w:val="21"/>
              </w:rPr>
              <w:t>无</w:t>
            </w:r>
          </w:p>
        </w:tc>
        <w:tc>
          <w:tcPr>
            <w:tcW w:w="1128" w:type="dxa"/>
            <w:tcBorders>
              <w:tl2br w:val="nil"/>
              <w:tr2bl w:val="nil"/>
            </w:tcBorders>
            <w:vAlign w:val="center"/>
          </w:tcPr>
          <w:p>
            <w:pPr>
              <w:pStyle w:val="63"/>
              <w:spacing w:line="288" w:lineRule="auto"/>
              <w:jc w:val="center"/>
              <w:rPr>
                <w:szCs w:val="21"/>
              </w:rPr>
            </w:pPr>
            <w:r>
              <w:rPr>
                <w:szCs w:val="21"/>
              </w:rPr>
              <w:t>有</w:t>
            </w:r>
          </w:p>
        </w:tc>
        <w:tc>
          <w:tcPr>
            <w:tcW w:w="1476" w:type="dxa"/>
            <w:tcBorders>
              <w:tl2br w:val="nil"/>
              <w:tr2bl w:val="nil"/>
            </w:tcBorders>
            <w:vAlign w:val="center"/>
          </w:tcPr>
          <w:p>
            <w:pPr>
              <w:pStyle w:val="63"/>
              <w:spacing w:line="288" w:lineRule="auto"/>
              <w:jc w:val="center"/>
              <w:rPr>
                <w:szCs w:val="21"/>
              </w:rPr>
            </w:pPr>
            <w:r>
              <w:rPr>
                <w:rFonts w:hint="eastAsia"/>
                <w:szCs w:val="21"/>
              </w:rPr>
              <w:t>有</w:t>
            </w:r>
          </w:p>
        </w:tc>
        <w:tc>
          <w:tcPr>
            <w:tcW w:w="905" w:type="dxa"/>
            <w:tcBorders>
              <w:tl2br w:val="nil"/>
              <w:tr2bl w:val="nil"/>
            </w:tcBorders>
            <w:vAlign w:val="center"/>
          </w:tcPr>
          <w:p>
            <w:pPr>
              <w:pStyle w:val="63"/>
              <w:spacing w:line="288" w:lineRule="auto"/>
              <w:jc w:val="center"/>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686" w:type="dxa"/>
            <w:tcBorders>
              <w:tl2br w:val="nil"/>
              <w:tr2bl w:val="nil"/>
            </w:tcBorders>
            <w:vAlign w:val="center"/>
          </w:tcPr>
          <w:p>
            <w:pPr>
              <w:pStyle w:val="63"/>
              <w:spacing w:line="288" w:lineRule="auto"/>
              <w:jc w:val="center"/>
              <w:rPr>
                <w:b/>
                <w:bCs/>
                <w:szCs w:val="21"/>
              </w:rPr>
            </w:pPr>
            <w:r>
              <w:rPr>
                <w:b/>
                <w:bCs/>
                <w:szCs w:val="21"/>
              </w:rPr>
              <w:t>毒性</w:t>
            </w:r>
          </w:p>
        </w:tc>
        <w:tc>
          <w:tcPr>
            <w:tcW w:w="1138" w:type="dxa"/>
            <w:tcBorders>
              <w:tl2br w:val="nil"/>
              <w:tr2bl w:val="nil"/>
            </w:tcBorders>
            <w:vAlign w:val="center"/>
          </w:tcPr>
          <w:p>
            <w:pPr>
              <w:pStyle w:val="63"/>
              <w:spacing w:line="288" w:lineRule="auto"/>
              <w:jc w:val="center"/>
              <w:rPr>
                <w:szCs w:val="21"/>
              </w:rPr>
            </w:pPr>
            <w:r>
              <w:rPr>
                <w:szCs w:val="21"/>
              </w:rPr>
              <w:t>无</w:t>
            </w:r>
          </w:p>
        </w:tc>
        <w:tc>
          <w:tcPr>
            <w:tcW w:w="914" w:type="dxa"/>
            <w:tcBorders>
              <w:tl2br w:val="nil"/>
              <w:tr2bl w:val="nil"/>
            </w:tcBorders>
            <w:vAlign w:val="center"/>
          </w:tcPr>
          <w:p>
            <w:pPr>
              <w:pStyle w:val="63"/>
              <w:spacing w:line="288" w:lineRule="auto"/>
              <w:jc w:val="center"/>
              <w:rPr>
                <w:szCs w:val="21"/>
              </w:rPr>
            </w:pPr>
            <w:r>
              <w:rPr>
                <w:szCs w:val="21"/>
              </w:rPr>
              <w:t>有</w:t>
            </w:r>
          </w:p>
        </w:tc>
        <w:tc>
          <w:tcPr>
            <w:tcW w:w="1272" w:type="dxa"/>
            <w:tcBorders>
              <w:tl2br w:val="nil"/>
              <w:tr2bl w:val="nil"/>
            </w:tcBorders>
            <w:vAlign w:val="center"/>
          </w:tcPr>
          <w:p>
            <w:pPr>
              <w:pStyle w:val="63"/>
              <w:spacing w:line="288" w:lineRule="auto"/>
              <w:jc w:val="center"/>
              <w:rPr>
                <w:szCs w:val="21"/>
              </w:rPr>
            </w:pPr>
            <w:r>
              <w:rPr>
                <w:szCs w:val="21"/>
              </w:rPr>
              <w:t>无</w:t>
            </w:r>
          </w:p>
        </w:tc>
        <w:tc>
          <w:tcPr>
            <w:tcW w:w="1128" w:type="dxa"/>
            <w:tcBorders>
              <w:tl2br w:val="nil"/>
              <w:tr2bl w:val="nil"/>
            </w:tcBorders>
            <w:vAlign w:val="center"/>
          </w:tcPr>
          <w:p>
            <w:pPr>
              <w:pStyle w:val="63"/>
              <w:spacing w:line="288" w:lineRule="auto"/>
              <w:jc w:val="center"/>
              <w:rPr>
                <w:szCs w:val="21"/>
              </w:rPr>
            </w:pPr>
            <w:r>
              <w:rPr>
                <w:szCs w:val="21"/>
              </w:rPr>
              <w:t>有</w:t>
            </w:r>
          </w:p>
        </w:tc>
        <w:tc>
          <w:tcPr>
            <w:tcW w:w="1476" w:type="dxa"/>
            <w:tcBorders>
              <w:tl2br w:val="nil"/>
              <w:tr2bl w:val="nil"/>
            </w:tcBorders>
            <w:vAlign w:val="center"/>
          </w:tcPr>
          <w:p>
            <w:pPr>
              <w:pStyle w:val="63"/>
              <w:spacing w:line="288" w:lineRule="auto"/>
              <w:jc w:val="center"/>
              <w:rPr>
                <w:szCs w:val="21"/>
              </w:rPr>
            </w:pPr>
            <w:r>
              <w:rPr>
                <w:szCs w:val="21"/>
              </w:rPr>
              <w:t>有</w:t>
            </w:r>
          </w:p>
        </w:tc>
        <w:tc>
          <w:tcPr>
            <w:tcW w:w="905" w:type="dxa"/>
            <w:tcBorders>
              <w:tl2br w:val="nil"/>
              <w:tr2bl w:val="nil"/>
            </w:tcBorders>
            <w:vAlign w:val="center"/>
          </w:tcPr>
          <w:p>
            <w:pPr>
              <w:pStyle w:val="63"/>
              <w:spacing w:line="288" w:lineRule="auto"/>
              <w:jc w:val="center"/>
              <w:rPr>
                <w:szCs w:val="21"/>
              </w:rPr>
            </w:pPr>
            <w:r>
              <w:rPr>
                <w:szCs w:val="21"/>
              </w:rPr>
              <w:t>无</w:t>
            </w:r>
          </w:p>
        </w:tc>
      </w:tr>
    </w:tbl>
    <w:p>
      <w:pPr>
        <w:pStyle w:val="38"/>
        <w:spacing w:line="480" w:lineRule="exact"/>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3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lang w:val="zh-CN"/>
        </w:rPr>
        <w:t>填埋气</w:t>
      </w:r>
      <w:r>
        <w:rPr>
          <w:rFonts w:hint="eastAsia" w:ascii="Times New Roman" w:hAnsi="Times New Roman" w:eastAsia="宋体" w:cs="Times New Roman"/>
          <w:color w:val="auto"/>
          <w:sz w:val="24"/>
          <w:lang w:val="zh-CN"/>
        </w:rPr>
        <w:t>收集导排和处理</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val="zh-CN"/>
        </w:rPr>
        <w:t>填埋气中的甲烷在空气中比例达到</w:t>
      </w:r>
      <w:r>
        <w:rPr>
          <w:rFonts w:ascii="Times New Roman" w:hAnsi="Times New Roman" w:eastAsia="宋体" w:cs="Times New Roman"/>
          <w:b w:val="0"/>
          <w:bCs w:val="0"/>
          <w:color w:val="auto"/>
          <w:sz w:val="24"/>
          <w:lang w:val="zh-CN"/>
        </w:rPr>
        <w:t>5-15%时</w:t>
      </w:r>
      <w:r>
        <w:rPr>
          <w:rFonts w:hint="eastAsia" w:ascii="Times New Roman" w:hAnsi="Times New Roman" w:eastAsia="宋体" w:cs="Times New Roman"/>
          <w:b w:val="0"/>
          <w:bCs w:val="0"/>
          <w:color w:val="auto"/>
          <w:sz w:val="24"/>
          <w:lang w:val="zh-CN"/>
        </w:rPr>
        <w:t>，可能发生爆炸，如果填埋气甲烷不引导而排入大气（其比重比空气轻），就有可能分散聚集在建筑物或是填埋场附近的隐蔽空间里，达到含量遇明火从而发生爆炸，因此，为了避免其在填埋垃圾内积累，清除由此而来的火灾及爆炸危险，需对场内垃圾填埋气进行收集和处理。</w:t>
      </w:r>
    </w:p>
    <w:p>
      <w:pPr>
        <w:spacing w:line="500" w:lineRule="exact"/>
        <w:ind w:firstLine="482" w:firstLineChars="200"/>
        <w:rPr>
          <w:sz w:val="24"/>
        </w:rPr>
      </w:pPr>
      <w:r>
        <w:rPr>
          <w:rFonts w:hint="eastAsia"/>
          <w:b/>
          <w:bCs/>
          <w:sz w:val="24"/>
          <w:lang w:val="zh-CN"/>
        </w:rPr>
        <w:t>收集导排</w:t>
      </w:r>
      <w:r>
        <w:rPr>
          <w:rFonts w:hint="eastAsia"/>
          <w:sz w:val="24"/>
          <w:lang w:val="zh-CN"/>
        </w:rPr>
        <w:t>：场地填埋气收集导排设施主要为包括石笼井、水平导气管和抽气机房，其中石笼井</w:t>
      </w:r>
      <w:r>
        <w:rPr>
          <w:sz w:val="24"/>
        </w:rPr>
        <w:t>初始</w:t>
      </w:r>
      <w:r>
        <w:rPr>
          <w:rFonts w:hint="eastAsia"/>
          <w:sz w:val="24"/>
        </w:rPr>
        <w:t>设置</w:t>
      </w:r>
      <w:r>
        <w:rPr>
          <w:sz w:val="24"/>
        </w:rPr>
        <w:t>高度为3m，随垃圾填埋高度逐渐增加直至封场</w:t>
      </w:r>
      <w:r>
        <w:rPr>
          <w:rFonts w:hint="eastAsia"/>
          <w:sz w:val="24"/>
        </w:rPr>
        <w:t>，井内填充</w:t>
      </w:r>
      <w:r>
        <w:rPr>
          <w:sz w:val="24"/>
        </w:rPr>
        <w:t>砂砾石滤层</w:t>
      </w:r>
      <w:r>
        <w:rPr>
          <w:rFonts w:hint="eastAsia"/>
          <w:sz w:val="24"/>
        </w:rPr>
        <w:t>和</w:t>
      </w:r>
      <w:r>
        <w:rPr>
          <w:sz w:val="24"/>
        </w:rPr>
        <w:t>中心集气花管</w:t>
      </w:r>
      <w:r>
        <w:rPr>
          <w:rFonts w:hint="eastAsia"/>
          <w:sz w:val="24"/>
        </w:rPr>
        <w:t>，</w:t>
      </w:r>
      <w:r>
        <w:rPr>
          <w:rFonts w:hint="eastAsia"/>
          <w:sz w:val="24"/>
          <w:lang w:val="zh-CN"/>
        </w:rPr>
        <w:t>属竖向、被动导排，场内填埋区</w:t>
      </w:r>
      <w:r>
        <w:rPr>
          <w:rFonts w:hint="eastAsia"/>
          <w:sz w:val="24"/>
        </w:rPr>
        <w:t>共设石笼井</w:t>
      </w:r>
      <w:r>
        <w:rPr>
          <w:sz w:val="24"/>
        </w:rPr>
        <w:t>25座</w:t>
      </w:r>
      <w:r>
        <w:rPr>
          <w:rFonts w:hint="eastAsia"/>
          <w:sz w:val="24"/>
        </w:rPr>
        <w:t>，其相互间距约40m，另外，井内中心竖向导气花管设置高度一般高出</w:t>
      </w:r>
      <w:r>
        <w:rPr>
          <w:sz w:val="24"/>
        </w:rPr>
        <w:t>覆盖层</w:t>
      </w:r>
      <w:r>
        <w:rPr>
          <w:rFonts w:hint="eastAsia"/>
          <w:sz w:val="24"/>
        </w:rPr>
        <w:t>约</w:t>
      </w:r>
      <w:r>
        <w:rPr>
          <w:sz w:val="24"/>
        </w:rPr>
        <w:t>1m</w:t>
      </w:r>
      <w:r>
        <w:rPr>
          <w:rFonts w:hint="eastAsia"/>
          <w:sz w:val="24"/>
        </w:rPr>
        <w:t>。</w:t>
      </w:r>
    </w:p>
    <w:p>
      <w:pPr>
        <w:spacing w:line="500" w:lineRule="exact"/>
        <w:ind w:firstLine="480" w:firstLineChars="200"/>
        <w:rPr>
          <w:sz w:val="24"/>
        </w:rPr>
      </w:pPr>
      <w:r>
        <w:rPr>
          <w:rFonts w:hint="eastAsia"/>
          <w:sz w:val="24"/>
          <w:lang w:val="zh-CN"/>
        </w:rPr>
        <w:t>水平导气管和抽气机房属填埋气主动收集导排设施，水平导气管为</w:t>
      </w:r>
      <w:r>
        <w:rPr>
          <w:sz w:val="24"/>
        </w:rPr>
        <w:t>直径100mm的HDPE</w:t>
      </w:r>
      <w:r>
        <w:rPr>
          <w:rFonts w:hint="eastAsia"/>
          <w:sz w:val="24"/>
        </w:rPr>
        <w:t>集气</w:t>
      </w:r>
      <w:r>
        <w:rPr>
          <w:sz w:val="24"/>
        </w:rPr>
        <w:t>支管</w:t>
      </w:r>
      <w:r>
        <w:rPr>
          <w:rFonts w:hint="eastAsia"/>
          <w:sz w:val="24"/>
        </w:rPr>
        <w:t>，布置在各导气石笼间，初始端连接各井内中心花管，终端</w:t>
      </w:r>
      <w:r>
        <w:rPr>
          <w:sz w:val="24"/>
        </w:rPr>
        <w:t>连接抽气机房</w:t>
      </w:r>
      <w:r>
        <w:rPr>
          <w:rFonts w:hint="eastAsia"/>
          <w:sz w:val="24"/>
        </w:rPr>
        <w:t>及火炬燃烧器，</w:t>
      </w:r>
      <w:r>
        <w:rPr>
          <w:rFonts w:hint="eastAsia"/>
          <w:sz w:val="24"/>
          <w:lang w:val="zh-CN"/>
        </w:rPr>
        <w:t>抽气机房设在库区外东南角，利用风机对填埋气体</w:t>
      </w:r>
      <w:r>
        <w:rPr>
          <w:rFonts w:hint="eastAsia"/>
          <w:sz w:val="24"/>
        </w:rPr>
        <w:t>进行集中收集。</w:t>
      </w:r>
    </w:p>
    <w:p>
      <w:pPr>
        <w:pStyle w:val="38"/>
        <w:ind w:firstLine="482" w:firstLineChars="200"/>
        <w:rPr>
          <w:rFonts w:ascii="Times New Roman" w:hAnsi="Times New Roman" w:eastAsia="宋体" w:cs="Times New Roman"/>
          <w:b w:val="0"/>
          <w:bCs w:val="0"/>
          <w:color w:val="auto"/>
          <w:sz w:val="24"/>
        </w:rPr>
      </w:pPr>
      <w:r>
        <w:rPr>
          <w:rFonts w:hint="eastAsia" w:ascii="Times New Roman" w:hAnsi="Times New Roman" w:eastAsia="宋体" w:cs="Times New Roman"/>
          <w:color w:val="auto"/>
          <w:sz w:val="24"/>
        </w:rPr>
        <w:t>治理措施</w:t>
      </w:r>
      <w:r>
        <w:rPr>
          <w:rFonts w:hint="eastAsia" w:ascii="Times New Roman" w:hAnsi="Times New Roman" w:eastAsia="宋体" w:cs="Times New Roman"/>
          <w:b w:val="0"/>
          <w:bCs w:val="0"/>
          <w:color w:val="auto"/>
          <w:sz w:val="24"/>
        </w:rPr>
        <w:t>：场地填埋初期，产气量较少，甲烷等有机气体含量较低，填埋气可经导气石笼中心管直接放空，随着场内运行、垃圾填埋气产量及甲烷等有机气体含量逐渐增加，填埋气经导气支管、抽气机房主动收集后，由火炬式燃烧器进行燃烧处理，</w:t>
      </w:r>
      <w:r>
        <w:rPr>
          <w:rFonts w:ascii="Times New Roman" w:hAnsi="Times New Roman" w:eastAsia="宋体" w:cs="Times New Roman"/>
          <w:b w:val="0"/>
          <w:bCs w:val="0"/>
          <w:color w:val="auto"/>
          <w:sz w:val="24"/>
        </w:rPr>
        <w:t>燃烧器通过自动感应管道内的甲烷等可燃气体浓度自动进行点火，</w:t>
      </w:r>
      <w:r>
        <w:rPr>
          <w:rFonts w:hint="eastAsia" w:ascii="Times New Roman" w:hAnsi="Times New Roman" w:eastAsia="宋体" w:cs="Times New Roman"/>
          <w:b w:val="0"/>
          <w:bCs w:val="0"/>
          <w:color w:val="auto"/>
          <w:sz w:val="24"/>
        </w:rPr>
        <w:t>同时</w:t>
      </w:r>
      <w:r>
        <w:rPr>
          <w:rFonts w:ascii="Times New Roman" w:hAnsi="Times New Roman" w:eastAsia="宋体" w:cs="Times New Roman"/>
          <w:b w:val="0"/>
          <w:bCs w:val="0"/>
          <w:color w:val="auto"/>
          <w:sz w:val="24"/>
        </w:rPr>
        <w:t>，库区周边还需设置填埋气体报警装置，保证填埋气</w:t>
      </w:r>
      <w:r>
        <w:rPr>
          <w:rFonts w:hint="eastAsia" w:ascii="Times New Roman" w:hAnsi="Times New Roman" w:eastAsia="宋体" w:cs="Times New Roman"/>
          <w:b w:val="0"/>
          <w:bCs w:val="0"/>
          <w:color w:val="auto"/>
          <w:sz w:val="24"/>
        </w:rPr>
        <w:t>的</w:t>
      </w:r>
      <w:r>
        <w:rPr>
          <w:rFonts w:ascii="Times New Roman" w:hAnsi="Times New Roman" w:eastAsia="宋体" w:cs="Times New Roman"/>
          <w:b w:val="0"/>
          <w:bCs w:val="0"/>
          <w:color w:val="auto"/>
          <w:sz w:val="24"/>
        </w:rPr>
        <w:t>安全和及时处理。</w:t>
      </w:r>
    </w:p>
    <w:p>
      <w:pPr>
        <w:pStyle w:val="38"/>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4 \* GB3 \* MERGEFORMAT </w:instrText>
      </w:r>
      <w:r>
        <w:rPr>
          <w:rFonts w:ascii="Times New Roman" w:hAnsi="Times New Roman" w:eastAsia="宋体" w:cs="Times New Roman"/>
          <w:color w:val="auto"/>
          <w:sz w:val="24"/>
        </w:rPr>
        <w:fldChar w:fldCharType="separate"/>
      </w:r>
      <w:r>
        <w:rPr>
          <w:sz w:val="24"/>
        </w:rPr>
        <w:t>④</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lang w:val="zh-CN"/>
        </w:rPr>
        <w:t>填埋气</w:t>
      </w:r>
      <w:r>
        <w:rPr>
          <w:rFonts w:hint="eastAsia" w:ascii="Times New Roman" w:hAnsi="Times New Roman" w:eastAsia="宋体" w:cs="Times New Roman"/>
          <w:color w:val="auto"/>
          <w:sz w:val="24"/>
          <w:lang w:val="zh-CN"/>
        </w:rPr>
        <w:t>主要污染物源强估算</w:t>
      </w:r>
    </w:p>
    <w:p>
      <w:pPr>
        <w:pStyle w:val="38"/>
        <w:spacing w:line="49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填埋气产气量按场地运营第12年94.67万m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/a计，</w:t>
      </w:r>
      <w:r>
        <w:rPr>
          <w:rFonts w:hint="eastAsia" w:ascii="Times New Roman" w:hAnsi="Times New Roman" w:cs="Times New Roman" w:eastAsiaTheme="minorEastAsia"/>
          <w:b w:val="0"/>
          <w:bCs w:val="0"/>
          <w:color w:val="auto"/>
          <w:sz w:val="24"/>
        </w:rPr>
        <w:t>填埋气中</w:t>
      </w:r>
      <w:r>
        <w:rPr>
          <w:rFonts w:ascii="Times New Roman" w:hAnsi="Times New Roman" w:cs="Times New Roman" w:eastAsiaTheme="minorEastAsia"/>
          <w:b w:val="0"/>
          <w:bCs w:val="0"/>
          <w:color w:val="auto"/>
          <w:sz w:val="24"/>
        </w:rPr>
        <w:t>CH</w:t>
      </w:r>
      <w:r>
        <w:rPr>
          <w:rFonts w:ascii="Times New Roman" w:hAnsi="Times New Roman" w:cs="Times New Roman" w:eastAsiaTheme="minorEastAsia"/>
          <w:b w:val="0"/>
          <w:bCs w:val="0"/>
          <w:color w:val="auto"/>
          <w:sz w:val="24"/>
          <w:vertAlign w:val="subscript"/>
        </w:rPr>
        <w:t>4</w:t>
      </w:r>
      <w:r>
        <w:rPr>
          <w:rFonts w:hint="eastAsia" w:ascii="Times New Roman" w:hAnsi="Times New Roman" w:cs="Times New Roman" w:eastAsiaTheme="minorEastAsia"/>
          <w:b w:val="0"/>
          <w:bCs w:val="0"/>
          <w:color w:val="auto"/>
          <w:sz w:val="24"/>
        </w:rPr>
        <w:t>比例按经验数据50%计，则甲烷产生量约339.4t/a，</w:t>
      </w:r>
      <w:r>
        <w:rPr>
          <w:rFonts w:ascii="Times New Roman" w:hAnsi="Times New Roman" w:eastAsia="宋体" w:cs="Times New Roman"/>
          <w:b w:val="0"/>
          <w:bCs w:val="0"/>
          <w:color w:val="auto"/>
          <w:sz w:val="24"/>
        </w:rPr>
        <w:t>2022年9月</w:t>
      </w:r>
      <w:r>
        <w:rPr>
          <w:rFonts w:hint="eastAsia" w:ascii="Times New Roman" w:hAnsi="Times New Roman" w:eastAsia="宋体" w:cs="Times New Roman"/>
          <w:b w:val="0"/>
          <w:bCs w:val="0"/>
          <w:color w:val="auto"/>
          <w:sz w:val="24"/>
        </w:rPr>
        <w:t>6</w:t>
      </w:r>
      <w:r>
        <w:rPr>
          <w:rFonts w:ascii="Times New Roman" w:hAnsi="Times New Roman" w:eastAsia="宋体" w:cs="Times New Roman"/>
          <w:b w:val="0"/>
          <w:bCs w:val="0"/>
          <w:color w:val="auto"/>
          <w:sz w:val="24"/>
        </w:rPr>
        <w:t>日、</w:t>
      </w:r>
      <w:r>
        <w:rPr>
          <w:rFonts w:hint="eastAsia" w:ascii="Times New Roman" w:hAnsi="Times New Roman" w:eastAsia="宋体" w:cs="Times New Roman"/>
          <w:b w:val="0"/>
          <w:bCs w:val="0"/>
          <w:color w:val="auto"/>
          <w:sz w:val="24"/>
        </w:rPr>
        <w:t>7</w:t>
      </w:r>
      <w:r>
        <w:rPr>
          <w:rFonts w:ascii="Times New Roman" w:hAnsi="Times New Roman" w:eastAsia="宋体" w:cs="Times New Roman"/>
          <w:b w:val="0"/>
          <w:bCs w:val="0"/>
          <w:color w:val="auto"/>
          <w:sz w:val="24"/>
        </w:rPr>
        <w:t>日，监测单位对</w:t>
      </w:r>
      <w:r>
        <w:rPr>
          <w:rFonts w:hint="eastAsia" w:ascii="Times New Roman" w:hAnsi="Times New Roman" w:eastAsia="宋体" w:cs="Times New Roman"/>
          <w:b w:val="0"/>
          <w:bCs w:val="0"/>
          <w:color w:val="auto"/>
          <w:sz w:val="24"/>
        </w:rPr>
        <w:t>本项目</w:t>
      </w:r>
      <w:r>
        <w:rPr>
          <w:rFonts w:ascii="Times New Roman" w:hAnsi="Times New Roman" w:eastAsia="宋体" w:cs="Times New Roman"/>
          <w:b w:val="0"/>
          <w:bCs w:val="0"/>
          <w:color w:val="auto"/>
          <w:sz w:val="24"/>
        </w:rPr>
        <w:t>填埋场导气石笼井排气口</w:t>
      </w:r>
      <w:r>
        <w:rPr>
          <w:rFonts w:hint="eastAsia" w:ascii="Times New Roman" w:hAnsi="Times New Roman" w:eastAsia="宋体" w:cs="Times New Roman"/>
          <w:b w:val="0"/>
          <w:bCs w:val="0"/>
          <w:color w:val="auto"/>
          <w:sz w:val="24"/>
        </w:rPr>
        <w:t>的H</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S、NH</w:t>
      </w:r>
      <w:r>
        <w:rPr>
          <w:rFonts w:hint="eastAsia" w:ascii="Times New Roman" w:hAnsi="Times New Roman" w:eastAsia="宋体" w:cs="Times New Roman"/>
          <w:b w:val="0"/>
          <w:bCs w:val="0"/>
          <w:color w:val="auto"/>
          <w:sz w:val="24"/>
          <w:vertAlign w:val="subscript"/>
        </w:rPr>
        <w:t>3</w:t>
      </w:r>
      <w:r>
        <w:rPr>
          <w:rFonts w:hint="eastAsia" w:ascii="Times New Roman" w:hAnsi="Times New Roman" w:eastAsia="宋体" w:cs="Times New Roman"/>
          <w:b w:val="0"/>
          <w:bCs w:val="0"/>
          <w:color w:val="auto"/>
          <w:sz w:val="24"/>
        </w:rPr>
        <w:t>浓度</w:t>
      </w:r>
      <w:r>
        <w:rPr>
          <w:rFonts w:ascii="Times New Roman" w:hAnsi="Times New Roman" w:eastAsia="宋体" w:cs="Times New Roman"/>
          <w:b w:val="0"/>
          <w:bCs w:val="0"/>
          <w:color w:val="auto"/>
          <w:sz w:val="24"/>
        </w:rPr>
        <w:t>进行了</w:t>
      </w:r>
      <w:r>
        <w:rPr>
          <w:rFonts w:hint="eastAsia" w:ascii="Times New Roman" w:hAnsi="Times New Roman" w:eastAsia="宋体" w:cs="Times New Roman"/>
          <w:b w:val="0"/>
          <w:bCs w:val="0"/>
          <w:color w:val="auto"/>
          <w:sz w:val="24"/>
        </w:rPr>
        <w:t>监测</w:t>
      </w:r>
      <w:r>
        <w:rPr>
          <w:rFonts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rPr>
        <w:t>监测浓度均值分别为8.33mg/m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、296.1mg/m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，经计算，H</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S、NH</w:t>
      </w:r>
      <w:r>
        <w:rPr>
          <w:rFonts w:hint="eastAsia" w:ascii="Times New Roman" w:hAnsi="Times New Roman" w:eastAsia="宋体" w:cs="Times New Roman"/>
          <w:b w:val="0"/>
          <w:bCs w:val="0"/>
          <w:color w:val="auto"/>
          <w:sz w:val="24"/>
          <w:vertAlign w:val="subscript"/>
        </w:rPr>
        <w:t>3</w:t>
      </w:r>
      <w:r>
        <w:rPr>
          <w:rFonts w:hint="eastAsia" w:ascii="Times New Roman" w:hAnsi="Times New Roman" w:cs="Times New Roman" w:eastAsiaTheme="minorEastAsia"/>
          <w:b w:val="0"/>
          <w:bCs w:val="0"/>
          <w:color w:val="auto"/>
          <w:sz w:val="24"/>
        </w:rPr>
        <w:t>产生量分别约为0.0079t/a、0.28t/a。</w:t>
      </w:r>
    </w:p>
    <w:p>
      <w:pPr>
        <w:pStyle w:val="38"/>
        <w:spacing w:line="49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另外，当填埋气经燃烧器燃烧后进行高空放空，其产物主要为CO</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，另外，可能还伴随少量的SO</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及NO</w:t>
      </w:r>
      <w:r>
        <w:rPr>
          <w:rFonts w:hint="eastAsia" w:ascii="Times New Roman" w:hAnsi="Times New Roman" w:eastAsia="宋体" w:cs="Times New Roman"/>
          <w:b w:val="0"/>
          <w:bCs w:val="0"/>
          <w:color w:val="auto"/>
          <w:sz w:val="24"/>
          <w:vertAlign w:val="subscript"/>
        </w:rPr>
        <w:t>X</w:t>
      </w:r>
      <w:r>
        <w:rPr>
          <w:rFonts w:hint="eastAsia" w:ascii="Times New Roman" w:hAnsi="Times New Roman" w:eastAsia="宋体" w:cs="Times New Roman"/>
          <w:b w:val="0"/>
          <w:bCs w:val="0"/>
          <w:color w:val="auto"/>
          <w:sz w:val="24"/>
        </w:rPr>
        <w:t>等污染物。</w:t>
      </w:r>
    </w:p>
    <w:p>
      <w:pPr>
        <w:spacing w:line="490" w:lineRule="exact"/>
        <w:ind w:firstLine="482" w:firstLineChars="200"/>
        <w:jc w:val="left"/>
        <w:rPr>
          <w:b/>
          <w:bCs/>
          <w:sz w:val="24"/>
        </w:rPr>
      </w:pPr>
      <w:r>
        <w:rPr>
          <w:rFonts w:hint="eastAsia"/>
          <w:b/>
          <w:bCs/>
          <w:sz w:val="24"/>
        </w:rPr>
        <w:t>2、</w:t>
      </w:r>
      <w:r>
        <w:rPr>
          <w:b/>
          <w:bCs/>
          <w:sz w:val="24"/>
        </w:rPr>
        <w:t>恶臭</w:t>
      </w:r>
    </w:p>
    <w:p>
      <w:pPr>
        <w:spacing w:line="490" w:lineRule="exact"/>
        <w:ind w:firstLine="480" w:firstLineChars="200"/>
        <w:jc w:val="left"/>
        <w:rPr>
          <w:sz w:val="24"/>
        </w:rPr>
      </w:pPr>
      <w:r>
        <w:rPr>
          <w:sz w:val="24"/>
        </w:rPr>
        <w:t>恶臭气体是有机质腐败降解的产物，</w:t>
      </w:r>
      <w:r>
        <w:rPr>
          <w:rFonts w:hint="eastAsia"/>
          <w:sz w:val="24"/>
        </w:rPr>
        <w:t>也</w:t>
      </w:r>
      <w:r>
        <w:rPr>
          <w:sz w:val="24"/>
        </w:rPr>
        <w:t>是填埋场的主要污染物，</w:t>
      </w:r>
      <w:r>
        <w:rPr>
          <w:rFonts w:hint="eastAsia"/>
          <w:sz w:val="24"/>
        </w:rPr>
        <w:t>引起恶臭的主要物质是垃圾发酵气中的</w:t>
      </w:r>
      <w:r>
        <w:rPr>
          <w:sz w:val="24"/>
        </w:rPr>
        <w:t>H</w:t>
      </w:r>
      <w:r>
        <w:rPr>
          <w:sz w:val="24"/>
          <w:vertAlign w:val="subscript"/>
        </w:rPr>
        <w:t>2</w:t>
      </w:r>
      <w:r>
        <w:rPr>
          <w:sz w:val="24"/>
        </w:rPr>
        <w:t>S、</w:t>
      </w:r>
      <w:r>
        <w:rPr>
          <w:rFonts w:hint="eastAsia"/>
          <w:sz w:val="24"/>
        </w:rPr>
        <w:t>吲哚类、硫醚类及氨气</w:t>
      </w:r>
      <w:r>
        <w:rPr>
          <w:sz w:val="24"/>
        </w:rPr>
        <w:t>等</w:t>
      </w:r>
      <w:r>
        <w:rPr>
          <w:rFonts w:hint="eastAsia"/>
          <w:sz w:val="24"/>
        </w:rPr>
        <w:t>，恶臭物质作用于人的嗅觉细胞，因其在空气中的浓度不同会引起不同的感觉</w:t>
      </w:r>
      <w:r>
        <w:rPr>
          <w:sz w:val="24"/>
        </w:rPr>
        <w:t>。</w:t>
      </w:r>
    </w:p>
    <w:p>
      <w:pPr>
        <w:pStyle w:val="38"/>
        <w:spacing w:line="49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lang w:val="zh-CN"/>
        </w:rPr>
        <w:t>场地</w:t>
      </w:r>
      <w:r>
        <w:rPr>
          <w:rFonts w:hint="eastAsia" w:ascii="Times New Roman" w:hAnsi="Times New Roman" w:eastAsia="宋体" w:cs="Times New Roman"/>
          <w:b w:val="0"/>
          <w:bCs w:val="0"/>
          <w:color w:val="auto"/>
          <w:sz w:val="24"/>
          <w:lang w:val="zh-CN"/>
        </w:rPr>
        <w:t>恶臭</w:t>
      </w:r>
      <w:r>
        <w:rPr>
          <w:rFonts w:ascii="Times New Roman" w:hAnsi="Times New Roman" w:eastAsia="宋体" w:cs="Times New Roman"/>
          <w:b w:val="0"/>
          <w:bCs w:val="0"/>
          <w:color w:val="auto"/>
          <w:sz w:val="24"/>
          <w:lang w:val="zh-CN"/>
        </w:rPr>
        <w:t>主要来自填埋作业区及渗滤液</w:t>
      </w:r>
      <w:r>
        <w:rPr>
          <w:rFonts w:hint="eastAsia" w:ascii="Times New Roman" w:hAnsi="Times New Roman" w:eastAsia="宋体" w:cs="Times New Roman"/>
          <w:b w:val="0"/>
          <w:bCs w:val="0"/>
          <w:color w:val="auto"/>
          <w:sz w:val="24"/>
          <w:lang w:val="zh-CN"/>
        </w:rPr>
        <w:t>提升井、</w:t>
      </w:r>
      <w:r>
        <w:rPr>
          <w:rFonts w:ascii="Times New Roman" w:hAnsi="Times New Roman" w:eastAsia="宋体" w:cs="Times New Roman"/>
          <w:b w:val="0"/>
          <w:bCs w:val="0"/>
          <w:color w:val="auto"/>
          <w:sz w:val="24"/>
          <w:lang w:val="zh-CN"/>
        </w:rPr>
        <w:t>调节池、处理车间</w:t>
      </w:r>
      <w:r>
        <w:rPr>
          <w:rFonts w:hint="eastAsia" w:ascii="Times New Roman" w:hAnsi="Times New Roman" w:eastAsia="宋体" w:cs="Times New Roman"/>
          <w:b w:val="0"/>
          <w:bCs w:val="0"/>
          <w:color w:val="auto"/>
          <w:sz w:val="24"/>
          <w:lang w:val="zh-CN"/>
        </w:rPr>
        <w:t>，本项目渗滤液调节池及提升井均采用埋地封闭结构，渗滤液处理车间为砖混封闭结构并利用排风扇进行通风换气，库区填埋作业过程中要求垃圾层层压实，每日覆盖土层，随时通过喷药车进行喷药灭杀，尽量抑制场地恶臭排放及逸散。</w:t>
      </w:r>
    </w:p>
    <w:p>
      <w:pPr>
        <w:spacing w:line="490" w:lineRule="exact"/>
        <w:ind w:firstLine="482" w:firstLineChars="200"/>
        <w:jc w:val="left"/>
        <w:rPr>
          <w:b/>
          <w:bCs/>
          <w:sz w:val="24"/>
        </w:rPr>
      </w:pPr>
      <w:r>
        <w:rPr>
          <w:rFonts w:hint="eastAsia"/>
          <w:b/>
          <w:bCs/>
          <w:sz w:val="24"/>
        </w:rPr>
        <w:t>3、</w:t>
      </w:r>
      <w:r>
        <w:rPr>
          <w:b/>
          <w:bCs/>
          <w:sz w:val="24"/>
        </w:rPr>
        <w:t>粉尘</w:t>
      </w:r>
    </w:p>
    <w:p>
      <w:pPr>
        <w:spacing w:line="490" w:lineRule="exact"/>
        <w:ind w:firstLine="480" w:firstLineChars="200"/>
        <w:jc w:val="left"/>
        <w:rPr>
          <w:sz w:val="24"/>
        </w:rPr>
      </w:pPr>
      <w:r>
        <w:rPr>
          <w:rFonts w:hint="eastAsia"/>
          <w:sz w:val="24"/>
        </w:rPr>
        <w:t>本项目</w:t>
      </w:r>
      <w:r>
        <w:rPr>
          <w:sz w:val="24"/>
        </w:rPr>
        <w:t>粉尘</w:t>
      </w:r>
      <w:r>
        <w:rPr>
          <w:rFonts w:hint="eastAsia"/>
          <w:sz w:val="24"/>
        </w:rPr>
        <w:t>包括垃圾填埋作业扬尘，临时弃土场堆放及</w:t>
      </w:r>
      <w:r>
        <w:rPr>
          <w:sz w:val="24"/>
        </w:rPr>
        <w:t>运输、</w:t>
      </w:r>
      <w:r>
        <w:rPr>
          <w:rFonts w:hint="eastAsia"/>
          <w:sz w:val="24"/>
        </w:rPr>
        <w:t>覆盖扬尘，</w:t>
      </w:r>
      <w:r>
        <w:rPr>
          <w:sz w:val="24"/>
        </w:rPr>
        <w:t>干燥天气较大风力时路面及垃圾填埋表面扬尘</w:t>
      </w:r>
      <w:r>
        <w:rPr>
          <w:rFonts w:hint="eastAsia"/>
          <w:sz w:val="24"/>
        </w:rPr>
        <w:t>，车辆行驶运输扬尘等，其中垃圾填埋、覆土作业是扬尘产生的主要来源，本项目粉尘产生量参照以下公式进行估算。</w:t>
      </w:r>
    </w:p>
    <w:p>
      <w:pPr>
        <w:spacing w:line="490" w:lineRule="exact"/>
        <w:ind w:firstLine="480" w:firstLineChars="200"/>
        <w:rPr>
          <w:rFonts w:eastAsiaTheme="minorEastAsia"/>
          <w:sz w:val="24"/>
        </w:rPr>
      </w:pPr>
      <w:r>
        <w:rPr>
          <w:rFonts w:eastAsiaTheme="minorEastAsia"/>
          <w:sz w:val="24"/>
        </w:rPr>
        <w:t>G=0.02</w:t>
      </w:r>
      <w:r>
        <w:rPr>
          <w:sz w:val="24"/>
        </w:rPr>
        <w:t>×</w:t>
      </w:r>
      <w:r>
        <w:rPr>
          <w:rFonts w:eastAsiaTheme="minorEastAsia"/>
          <w:sz w:val="24"/>
        </w:rPr>
        <w:t>C</w:t>
      </w:r>
      <w:r>
        <w:rPr>
          <w:rFonts w:eastAsiaTheme="minorEastAsia"/>
          <w:sz w:val="24"/>
          <w:vertAlign w:val="superscript"/>
        </w:rPr>
        <w:t>1.6</w:t>
      </w:r>
      <w:r>
        <w:rPr>
          <w:sz w:val="24"/>
        </w:rPr>
        <w:t>×</w:t>
      </w:r>
      <w:r>
        <w:rPr>
          <w:rFonts w:eastAsiaTheme="minorEastAsia"/>
          <w:sz w:val="24"/>
        </w:rPr>
        <w:t>H</w:t>
      </w:r>
      <w:r>
        <w:rPr>
          <w:rFonts w:eastAsiaTheme="minorEastAsia"/>
          <w:sz w:val="24"/>
          <w:vertAlign w:val="superscript"/>
        </w:rPr>
        <w:t>1.23</w:t>
      </w:r>
      <w:r>
        <w:rPr>
          <w:rFonts w:eastAsiaTheme="minorEastAsia"/>
          <w:sz w:val="24"/>
        </w:rPr>
        <w:t>·e</w:t>
      </w:r>
      <w:r>
        <w:rPr>
          <w:rFonts w:eastAsiaTheme="minorEastAsia"/>
          <w:sz w:val="24"/>
          <w:vertAlign w:val="superscript"/>
        </w:rPr>
        <w:t>(-0.78·W)</w:t>
      </w:r>
    </w:p>
    <w:p>
      <w:pPr>
        <w:spacing w:line="490" w:lineRule="exact"/>
        <w:ind w:firstLine="480" w:firstLineChars="200"/>
        <w:rPr>
          <w:rFonts w:eastAsiaTheme="minorEastAsia"/>
          <w:sz w:val="24"/>
        </w:rPr>
      </w:pPr>
      <w:r>
        <w:rPr>
          <w:rFonts w:hAnsiTheme="minorEastAsia" w:eastAsiaTheme="minorEastAsia"/>
          <w:sz w:val="24"/>
        </w:rPr>
        <w:t>式中</w:t>
      </w:r>
      <w:r>
        <w:rPr>
          <w:rFonts w:eastAsiaTheme="minorEastAsia"/>
          <w:sz w:val="24"/>
        </w:rPr>
        <w:t>:G—</w:t>
      </w:r>
      <w:r>
        <w:rPr>
          <w:rFonts w:hAnsiTheme="minorEastAsia" w:eastAsiaTheme="minorEastAsia"/>
          <w:sz w:val="24"/>
        </w:rPr>
        <w:t>起尘量系数，</w:t>
      </w:r>
      <w:r>
        <w:rPr>
          <w:rFonts w:eastAsiaTheme="minorEastAsia"/>
          <w:sz w:val="24"/>
        </w:rPr>
        <w:t>kg/t</w:t>
      </w:r>
      <w:r>
        <w:rPr>
          <w:rFonts w:hAnsiTheme="minorEastAsia" w:eastAsiaTheme="minorEastAsia"/>
          <w:sz w:val="24"/>
        </w:rPr>
        <w:t>；</w:t>
      </w:r>
    </w:p>
    <w:p>
      <w:pPr>
        <w:spacing w:line="490" w:lineRule="exact"/>
        <w:ind w:firstLine="480" w:firstLineChars="200"/>
        <w:rPr>
          <w:rFonts w:eastAsiaTheme="minorEastAsia"/>
          <w:sz w:val="24"/>
        </w:rPr>
      </w:pPr>
      <w:r>
        <w:rPr>
          <w:rFonts w:eastAsiaTheme="minorEastAsia"/>
          <w:sz w:val="24"/>
        </w:rPr>
        <w:t>C—</w:t>
      </w:r>
      <w:r>
        <w:rPr>
          <w:rFonts w:hAnsiTheme="minorEastAsia" w:eastAsiaTheme="minorEastAsia"/>
          <w:sz w:val="24"/>
        </w:rPr>
        <w:t>风速，</w:t>
      </w:r>
      <w:r>
        <w:rPr>
          <w:rFonts w:eastAsiaTheme="minorEastAsia"/>
          <w:sz w:val="24"/>
        </w:rPr>
        <w:t>m/s</w:t>
      </w:r>
      <w:r>
        <w:rPr>
          <w:rFonts w:hAnsiTheme="minorEastAsia" w:eastAsiaTheme="minorEastAsia"/>
          <w:sz w:val="24"/>
        </w:rPr>
        <w:t>，按多年平均风速</w:t>
      </w:r>
      <w:r>
        <w:rPr>
          <w:rFonts w:eastAsiaTheme="minorEastAsia"/>
          <w:sz w:val="24"/>
        </w:rPr>
        <w:t>1.8m/s</w:t>
      </w:r>
      <w:r>
        <w:rPr>
          <w:rFonts w:hAnsiTheme="minorEastAsia" w:eastAsiaTheme="minorEastAsia"/>
          <w:sz w:val="24"/>
        </w:rPr>
        <w:t>计；</w:t>
      </w:r>
    </w:p>
    <w:p>
      <w:pPr>
        <w:spacing w:line="490" w:lineRule="exact"/>
        <w:ind w:firstLine="480" w:firstLineChars="200"/>
        <w:rPr>
          <w:rFonts w:eastAsiaTheme="minorEastAsia"/>
          <w:sz w:val="24"/>
        </w:rPr>
      </w:pPr>
      <w:r>
        <w:rPr>
          <w:rFonts w:eastAsiaTheme="minorEastAsia"/>
          <w:sz w:val="24"/>
        </w:rPr>
        <w:t>H—</w:t>
      </w:r>
      <w:r>
        <w:rPr>
          <w:rFonts w:hAnsiTheme="minorEastAsia" w:eastAsiaTheme="minorEastAsia"/>
          <w:sz w:val="24"/>
        </w:rPr>
        <w:t>排放高度，</w:t>
      </w:r>
      <w:r>
        <w:rPr>
          <w:rFonts w:eastAsiaTheme="minorEastAsia"/>
          <w:sz w:val="24"/>
        </w:rPr>
        <w:t>m</w:t>
      </w:r>
      <w:r>
        <w:rPr>
          <w:rFonts w:hAnsiTheme="minorEastAsia" w:eastAsiaTheme="minorEastAsia"/>
          <w:sz w:val="24"/>
        </w:rPr>
        <w:t>，按单元填埋作业高度</w:t>
      </w:r>
      <w:r>
        <w:rPr>
          <w:rFonts w:eastAsiaTheme="minorEastAsia"/>
          <w:sz w:val="24"/>
        </w:rPr>
        <w:t>2m</w:t>
      </w:r>
      <w:r>
        <w:rPr>
          <w:rFonts w:hAnsiTheme="minorEastAsia" w:eastAsiaTheme="minorEastAsia"/>
          <w:sz w:val="24"/>
        </w:rPr>
        <w:t>计；</w:t>
      </w:r>
    </w:p>
    <w:p>
      <w:pPr>
        <w:spacing w:line="490" w:lineRule="exact"/>
        <w:ind w:firstLine="480" w:firstLineChars="200"/>
        <w:rPr>
          <w:rFonts w:eastAsiaTheme="minorEastAsia"/>
          <w:sz w:val="24"/>
        </w:rPr>
      </w:pPr>
      <w:r>
        <w:rPr>
          <w:rFonts w:eastAsiaTheme="minorEastAsia"/>
          <w:sz w:val="24"/>
        </w:rPr>
        <w:t>W—</w:t>
      </w:r>
      <w:r>
        <w:rPr>
          <w:rFonts w:hAnsiTheme="minorEastAsia" w:eastAsiaTheme="minorEastAsia"/>
          <w:sz w:val="24"/>
        </w:rPr>
        <w:t>填埋生活垃圾含水率，</w:t>
      </w:r>
      <w:r>
        <w:rPr>
          <w:rFonts w:eastAsiaTheme="minorEastAsia"/>
          <w:sz w:val="24"/>
        </w:rPr>
        <w:t>%</w:t>
      </w:r>
      <w:r>
        <w:rPr>
          <w:rFonts w:hAnsiTheme="minorEastAsia" w:eastAsiaTheme="minorEastAsia"/>
          <w:sz w:val="24"/>
        </w:rPr>
        <w:t>，按</w:t>
      </w:r>
      <w:r>
        <w:rPr>
          <w:rFonts w:eastAsiaTheme="minorEastAsia"/>
          <w:sz w:val="24"/>
        </w:rPr>
        <w:t>10%</w:t>
      </w:r>
      <w:r>
        <w:rPr>
          <w:rFonts w:hAnsiTheme="minorEastAsia" w:eastAsiaTheme="minorEastAsia"/>
          <w:sz w:val="24"/>
        </w:rPr>
        <w:t>计。</w:t>
      </w:r>
    </w:p>
    <w:p>
      <w:pPr>
        <w:spacing w:line="490" w:lineRule="exact"/>
        <w:ind w:firstLine="480" w:firstLineChars="200"/>
        <w:jc w:val="left"/>
        <w:rPr>
          <w:rFonts w:eastAsiaTheme="minorEastAsia"/>
          <w:sz w:val="24"/>
        </w:rPr>
      </w:pPr>
      <w:r>
        <w:rPr>
          <w:rFonts w:hAnsiTheme="minorEastAsia" w:eastAsiaTheme="minorEastAsia"/>
          <w:sz w:val="24"/>
        </w:rPr>
        <w:t>经计算，起尘量系数系数为</w:t>
      </w:r>
      <w:r>
        <w:rPr>
          <w:rFonts w:eastAsiaTheme="minorEastAsia"/>
          <w:sz w:val="24"/>
        </w:rPr>
        <w:t>0.11kg/t</w:t>
      </w:r>
      <w:r>
        <w:rPr>
          <w:rFonts w:hAnsiTheme="minorEastAsia" w:eastAsiaTheme="minorEastAsia"/>
          <w:sz w:val="24"/>
        </w:rPr>
        <w:t>，项目垃圾填埋量按运行第</w:t>
      </w:r>
      <w:r>
        <w:rPr>
          <w:rFonts w:eastAsiaTheme="minorEastAsia"/>
          <w:sz w:val="24"/>
        </w:rPr>
        <w:t>12</w:t>
      </w:r>
      <w:r>
        <w:rPr>
          <w:rFonts w:hAnsiTheme="minorEastAsia" w:eastAsiaTheme="minorEastAsia"/>
          <w:sz w:val="24"/>
        </w:rPr>
        <w:t>年</w:t>
      </w:r>
      <w:r>
        <w:rPr>
          <w:rFonts w:eastAsiaTheme="minorEastAsia"/>
          <w:sz w:val="24"/>
        </w:rPr>
        <w:t>4.60</w:t>
      </w:r>
      <w:r>
        <w:rPr>
          <w:rFonts w:hAnsiTheme="minorEastAsia" w:eastAsiaTheme="minorEastAsia"/>
          <w:sz w:val="24"/>
        </w:rPr>
        <w:t>万</w:t>
      </w:r>
      <w:r>
        <w:rPr>
          <w:rFonts w:eastAsiaTheme="minorEastAsia"/>
          <w:sz w:val="24"/>
        </w:rPr>
        <w:t>t/a</w:t>
      </w:r>
      <w:r>
        <w:rPr>
          <w:rFonts w:hAnsiTheme="minorEastAsia" w:eastAsiaTheme="minorEastAsia"/>
          <w:sz w:val="24"/>
        </w:rPr>
        <w:t>计，项目产尘量约</w:t>
      </w:r>
      <w:r>
        <w:rPr>
          <w:rFonts w:eastAsiaTheme="minorEastAsia"/>
          <w:sz w:val="24"/>
        </w:rPr>
        <w:t>5.06t/a</w:t>
      </w:r>
      <w:r>
        <w:rPr>
          <w:rFonts w:hAnsiTheme="minorEastAsia" w:eastAsiaTheme="minorEastAsia"/>
          <w:sz w:val="24"/>
        </w:rPr>
        <w:t>。</w:t>
      </w:r>
    </w:p>
    <w:p>
      <w:pPr>
        <w:spacing w:line="490" w:lineRule="exact"/>
        <w:ind w:firstLine="480" w:firstLineChars="200"/>
        <w:jc w:val="left"/>
        <w:rPr>
          <w:sz w:val="24"/>
        </w:rPr>
      </w:pPr>
      <w:r>
        <w:rPr>
          <w:rFonts w:hint="eastAsia"/>
          <w:sz w:val="24"/>
        </w:rPr>
        <w:t>项目场地四周设有3.0m高的防飞散网，另外，评价还要求严格落实以下抑尘措施：加强场地及道路清扫、洒水，保证频次；场区出入口配套建设洗车平台，运输车辆出场前进行冲洗；填埋区分单元科学作业，尽量缩小堆存作业面积、表面增湿、及时覆盖及垃圾卸车等作业点设移动防飞网等；场内西南临时弃土场土堆表面进行覆盖或播撒草籽，土方场内倒运过程中落实湿法作业，车辆减速慢行，土方覆盖后及时压实等。</w:t>
      </w:r>
    </w:p>
    <w:p>
      <w:pPr>
        <w:pStyle w:val="2"/>
        <w:spacing w:line="490" w:lineRule="exact"/>
        <w:ind w:firstLine="480" w:firstLineChars="200"/>
        <w:rPr>
          <w:rFonts w:ascii="Times New Roman" w:hAnsi="Times New Roman" w:cs="Times New Roman" w:eastAsiaTheme="minorEastAsia"/>
          <w:color w:val="auto"/>
          <w:kern w:val="2"/>
        </w:rPr>
      </w:pPr>
      <w:r>
        <w:rPr>
          <w:rFonts w:hint="eastAsia" w:cs="Times New Roman"/>
          <w:color w:val="auto"/>
        </w:rPr>
        <w:t>采区上述抑尘措施后，项目扬尘</w:t>
      </w:r>
      <w:r>
        <w:rPr>
          <w:rFonts w:hint="eastAsia" w:ascii="Times New Roman" w:hAnsi="Times New Roman" w:cs="Times New Roman" w:eastAsiaTheme="minorEastAsia"/>
          <w:color w:val="auto"/>
          <w:kern w:val="2"/>
        </w:rPr>
        <w:t>量可削减约80%，扬尘排放量约1.01t。</w:t>
      </w:r>
    </w:p>
    <w:p>
      <w:pPr>
        <w:spacing w:line="490" w:lineRule="exact"/>
        <w:ind w:firstLine="482" w:firstLineChars="200"/>
        <w:rPr>
          <w:b/>
          <w:bCs/>
          <w:sz w:val="24"/>
        </w:rPr>
      </w:pPr>
      <w:r>
        <w:rPr>
          <w:rFonts w:hint="eastAsia"/>
          <w:b/>
          <w:bCs/>
          <w:sz w:val="24"/>
        </w:rPr>
        <w:t>4、</w:t>
      </w:r>
      <w:r>
        <w:rPr>
          <w:b/>
          <w:bCs/>
          <w:sz w:val="24"/>
        </w:rPr>
        <w:t>蚊蝇</w:t>
      </w:r>
      <w:r>
        <w:rPr>
          <w:rFonts w:hint="eastAsia"/>
          <w:b/>
          <w:bCs/>
          <w:sz w:val="24"/>
        </w:rPr>
        <w:t>滋扰</w:t>
      </w:r>
    </w:p>
    <w:p>
      <w:pPr>
        <w:spacing w:line="490" w:lineRule="exact"/>
        <w:ind w:firstLine="480" w:firstLineChars="200"/>
        <w:rPr>
          <w:sz w:val="24"/>
        </w:rPr>
      </w:pPr>
      <w:r>
        <w:rPr>
          <w:sz w:val="24"/>
        </w:rPr>
        <w:t>填埋场是蚊蝇滋生地，由于垃圾堆体内温度</w:t>
      </w:r>
      <w:r>
        <w:rPr>
          <w:rFonts w:hint="eastAsia"/>
          <w:sz w:val="24"/>
        </w:rPr>
        <w:t>相对</w:t>
      </w:r>
      <w:r>
        <w:rPr>
          <w:sz w:val="24"/>
        </w:rPr>
        <w:t>较高，</w:t>
      </w:r>
      <w:r>
        <w:rPr>
          <w:rFonts w:hint="eastAsia"/>
          <w:sz w:val="24"/>
        </w:rPr>
        <w:t>四季</w:t>
      </w:r>
      <w:r>
        <w:rPr>
          <w:sz w:val="24"/>
        </w:rPr>
        <w:t>都适合蚊蝇栖息和生长</w:t>
      </w:r>
      <w:r>
        <w:rPr>
          <w:rFonts w:hint="eastAsia"/>
          <w:sz w:val="24"/>
        </w:rPr>
        <w:t>，可能会对区域的卫生防疫环境产生一定的影响，因此，场地运营过程中应科学作业，严格日覆土，及时喷洒药物，</w:t>
      </w:r>
      <w:r>
        <w:rPr>
          <w:sz w:val="24"/>
        </w:rPr>
        <w:t>对蚊蝇实行分季度、有重点的杀灭成虫</w:t>
      </w:r>
      <w:r>
        <w:rPr>
          <w:rFonts w:hint="eastAsia"/>
          <w:sz w:val="24"/>
        </w:rPr>
        <w:t>，</w:t>
      </w:r>
      <w:r>
        <w:rPr>
          <w:sz w:val="24"/>
        </w:rPr>
        <w:t>控制蚊蝇世代繁殖，减少蚊蝇和鼠类繁殖。</w:t>
      </w:r>
    </w:p>
    <w:p>
      <w:pPr>
        <w:pStyle w:val="8"/>
        <w:spacing w:line="500" w:lineRule="exact"/>
        <w:rPr>
          <w:b/>
          <w:bCs/>
          <w:color w:val="auto"/>
          <w:sz w:val="24"/>
          <w:szCs w:val="24"/>
          <w:lang w:eastAsia="zh-CN"/>
        </w:rPr>
      </w:pPr>
      <w:r>
        <w:rPr>
          <w:rFonts w:hint="eastAsia"/>
          <w:b/>
          <w:bCs/>
          <w:color w:val="auto"/>
          <w:sz w:val="24"/>
          <w:szCs w:val="24"/>
          <w:lang w:eastAsia="zh-CN"/>
        </w:rPr>
        <w:t>3.4.2.2 水污染源</w:t>
      </w:r>
    </w:p>
    <w:p>
      <w:pPr>
        <w:pStyle w:val="38"/>
        <w:spacing w:line="490" w:lineRule="exact"/>
        <w:ind w:firstLine="482" w:firstLineChars="200"/>
        <w:rPr>
          <w:rFonts w:ascii="Times New Roman" w:hAnsi="Times New Roman" w:eastAsia="宋体" w:cs="Times New Roman"/>
          <w:b w:val="0"/>
          <w:bCs w:val="0"/>
          <w:color w:val="FF0000"/>
          <w:sz w:val="24"/>
        </w:rPr>
      </w:pP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垃圾渗滤液</w:t>
      </w:r>
    </w:p>
    <w:p>
      <w:pPr>
        <w:pStyle w:val="38"/>
        <w:spacing w:line="490" w:lineRule="exact"/>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t>（1）</w:t>
      </w:r>
      <w:r>
        <w:rPr>
          <w:rFonts w:ascii="Times New Roman" w:hAnsi="Times New Roman" w:eastAsia="宋体" w:cs="Times New Roman"/>
          <w:color w:val="auto"/>
          <w:sz w:val="24"/>
          <w:lang w:val="zh-CN"/>
        </w:rPr>
        <w:t>渗滤液</w:t>
      </w:r>
      <w:r>
        <w:rPr>
          <w:rFonts w:hint="eastAsia" w:ascii="Times New Roman" w:hAnsi="Times New Roman" w:eastAsia="宋体" w:cs="Times New Roman"/>
          <w:color w:val="auto"/>
          <w:sz w:val="24"/>
          <w:lang w:val="zh-CN"/>
        </w:rPr>
        <w:t>产</w:t>
      </w:r>
      <w:r>
        <w:rPr>
          <w:rFonts w:ascii="Times New Roman" w:hAnsi="Times New Roman" w:eastAsia="宋体" w:cs="Times New Roman"/>
          <w:color w:val="auto"/>
          <w:sz w:val="24"/>
          <w:lang w:val="zh-CN"/>
        </w:rPr>
        <w:t>量</w:t>
      </w:r>
    </w:p>
    <w:p>
      <w:pPr>
        <w:pStyle w:val="38"/>
        <w:spacing w:line="49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垃圾渗滤液是由垃圾分解后产生的液体与外来水分渗入后所形成的内流水，其产生来源主要与场地降雨量、蒸发量、垃圾自身性质和含水率、填埋场构造、垃圾作业方式、覆盖层渗透系数等因素有关，其中大气降水是最主要的，其产生量和性质随场地运行不同阶段可能发生较大的变化，一般情况下，垃圾渗滤液中污染物主要包括COD、BOD</w:t>
      </w:r>
      <w:r>
        <w:rPr>
          <w:rFonts w:hint="eastAsia" w:ascii="Times New Roman" w:hAnsi="Times New Roman" w:eastAsia="宋体" w:cs="Times New Roman"/>
          <w:b w:val="0"/>
          <w:bCs w:val="0"/>
          <w:color w:val="auto"/>
          <w:sz w:val="24"/>
          <w:vertAlign w:val="subscript"/>
        </w:rPr>
        <w:t>5</w:t>
      </w:r>
      <w:r>
        <w:rPr>
          <w:rFonts w:hint="eastAsia" w:ascii="Times New Roman" w:hAnsi="Times New Roman" w:eastAsia="宋体" w:cs="Times New Roman"/>
          <w:b w:val="0"/>
          <w:bCs w:val="0"/>
          <w:color w:val="auto"/>
          <w:sz w:val="24"/>
        </w:rPr>
        <w:t>、SS、总氮、氨氮、总磷、粪大肠菌群数及镉、汞、铬砷、铅等。本项目渗滤液产生量参照《生活垃圾卫生填埋处理技术规范》(GB50869-2013)附录B中的公式估算如下。</w:t>
      </w:r>
    </w:p>
    <w:p>
      <w:pPr>
        <w:spacing w:line="500" w:lineRule="exact"/>
        <w:ind w:firstLine="480" w:firstLineChars="200"/>
        <w:rPr>
          <w:sz w:val="24"/>
        </w:rPr>
      </w:pPr>
      <w:r>
        <w:rPr>
          <w:rFonts w:hint="eastAsia"/>
          <w:sz w:val="24"/>
        </w:rPr>
        <w:t>Q=I×(C</w:t>
      </w:r>
      <w:r>
        <w:rPr>
          <w:rFonts w:hint="eastAsia"/>
          <w:sz w:val="24"/>
          <w:vertAlign w:val="subscript"/>
        </w:rPr>
        <w:t>1</w:t>
      </w:r>
      <w:r>
        <w:rPr>
          <w:rFonts w:hint="eastAsia"/>
          <w:sz w:val="24"/>
        </w:rPr>
        <w:t>×A</w:t>
      </w:r>
      <w:r>
        <w:rPr>
          <w:rFonts w:hint="eastAsia"/>
          <w:sz w:val="24"/>
          <w:vertAlign w:val="subscript"/>
        </w:rPr>
        <w:t>1</w:t>
      </w:r>
      <w:r>
        <w:rPr>
          <w:rFonts w:hint="eastAsia"/>
          <w:sz w:val="24"/>
        </w:rPr>
        <w:t>+C</w:t>
      </w:r>
      <w:r>
        <w:rPr>
          <w:rFonts w:hint="eastAsia"/>
          <w:sz w:val="24"/>
          <w:vertAlign w:val="subscript"/>
        </w:rPr>
        <w:t>2</w:t>
      </w:r>
      <w:r>
        <w:rPr>
          <w:rFonts w:hint="eastAsia"/>
          <w:sz w:val="24"/>
        </w:rPr>
        <w:t>×A</w:t>
      </w:r>
      <w:r>
        <w:rPr>
          <w:rFonts w:hint="eastAsia"/>
          <w:sz w:val="24"/>
          <w:vertAlign w:val="subscript"/>
        </w:rPr>
        <w:t>2</w:t>
      </w:r>
      <w:r>
        <w:rPr>
          <w:rFonts w:hint="eastAsia"/>
          <w:sz w:val="24"/>
        </w:rPr>
        <w:t>+C</w:t>
      </w:r>
      <w:r>
        <w:rPr>
          <w:rFonts w:hint="eastAsia"/>
          <w:sz w:val="24"/>
          <w:vertAlign w:val="subscript"/>
        </w:rPr>
        <w:t>3</w:t>
      </w:r>
      <w:r>
        <w:rPr>
          <w:rFonts w:hint="eastAsia"/>
          <w:sz w:val="24"/>
        </w:rPr>
        <w:t>×A</w:t>
      </w:r>
      <w:r>
        <w:rPr>
          <w:rFonts w:hint="eastAsia"/>
          <w:sz w:val="24"/>
          <w:vertAlign w:val="subscript"/>
        </w:rPr>
        <w:t>3</w:t>
      </w:r>
      <w:r>
        <w:rPr>
          <w:rFonts w:hint="eastAsia"/>
          <w:sz w:val="24"/>
        </w:rPr>
        <w:t>+C</w:t>
      </w:r>
      <w:r>
        <w:rPr>
          <w:rFonts w:hint="eastAsia"/>
          <w:sz w:val="24"/>
          <w:vertAlign w:val="subscript"/>
        </w:rPr>
        <w:t>4</w:t>
      </w:r>
      <w:r>
        <w:rPr>
          <w:rFonts w:hint="eastAsia"/>
          <w:sz w:val="24"/>
        </w:rPr>
        <w:t>×A</w:t>
      </w:r>
      <w:r>
        <w:rPr>
          <w:rFonts w:hint="eastAsia"/>
          <w:sz w:val="24"/>
          <w:vertAlign w:val="subscript"/>
        </w:rPr>
        <w:t>4</w:t>
      </w:r>
      <w:r>
        <w:rPr>
          <w:rFonts w:hint="eastAsia"/>
          <w:sz w:val="24"/>
        </w:rPr>
        <w:t>)/1000</w:t>
      </w:r>
    </w:p>
    <w:p>
      <w:pPr>
        <w:spacing w:line="500" w:lineRule="exact"/>
        <w:ind w:firstLine="480" w:firstLineChars="200"/>
        <w:rPr>
          <w:sz w:val="24"/>
        </w:rPr>
      </w:pPr>
      <w:r>
        <w:rPr>
          <w:sz w:val="24"/>
        </w:rPr>
        <w:t>式中：</w:t>
      </w:r>
      <w:r>
        <w:rPr>
          <w:rStyle w:val="64"/>
          <w:rFonts w:ascii="Times New Roman" w:hAnsi="Times New Roman"/>
          <w:b w:val="0"/>
          <w:kern w:val="0"/>
          <w:sz w:val="24"/>
        </w:rPr>
        <w:t>Q——渗滤液产生量，</w:t>
      </w:r>
      <w:r>
        <w:rPr>
          <w:sz w:val="24"/>
        </w:rPr>
        <w:t>m</w:t>
      </w:r>
      <w:r>
        <w:rPr>
          <w:rStyle w:val="64"/>
          <w:rFonts w:ascii="Times New Roman" w:hAnsi="Times New Roman"/>
          <w:b w:val="0"/>
          <w:kern w:val="0"/>
          <w:sz w:val="24"/>
          <w:vertAlign w:val="superscript"/>
        </w:rPr>
        <w:t>3</w:t>
      </w:r>
      <w:r>
        <w:rPr>
          <w:rStyle w:val="64"/>
          <w:rFonts w:ascii="Times New Roman" w:hAnsi="Times New Roman"/>
          <w:b w:val="0"/>
          <w:kern w:val="0"/>
          <w:sz w:val="24"/>
        </w:rPr>
        <w:t>/d</w:t>
      </w:r>
      <w:r>
        <w:rPr>
          <w:sz w:val="24"/>
        </w:rPr>
        <w:t>；</w:t>
      </w:r>
    </w:p>
    <w:p>
      <w:pPr>
        <w:spacing w:line="500" w:lineRule="exact"/>
        <w:ind w:firstLine="480" w:firstLineChars="200"/>
        <w:rPr>
          <w:sz w:val="24"/>
          <w:shd w:val="clear" w:color="FFFFFF" w:fill="D9D9D9"/>
        </w:rPr>
      </w:pPr>
      <w:r>
        <w:rPr>
          <w:rStyle w:val="64"/>
          <w:rFonts w:ascii="Times New Roman" w:hAnsi="Times New Roman"/>
          <w:b w:val="0"/>
          <w:kern w:val="0"/>
          <w:sz w:val="24"/>
        </w:rPr>
        <w:t>I——降</w:t>
      </w:r>
      <w:r>
        <w:rPr>
          <w:rStyle w:val="64"/>
          <w:rFonts w:hint="eastAsia"/>
          <w:b w:val="0"/>
          <w:kern w:val="0"/>
          <w:sz w:val="24"/>
        </w:rPr>
        <w:t>水</w:t>
      </w:r>
      <w:r>
        <w:rPr>
          <w:rStyle w:val="64"/>
          <w:rFonts w:ascii="Times New Roman" w:hAnsi="Times New Roman"/>
          <w:b w:val="0"/>
          <w:kern w:val="0"/>
          <w:sz w:val="24"/>
        </w:rPr>
        <w:t>量，（</w:t>
      </w:r>
      <w:r>
        <w:rPr>
          <w:sz w:val="24"/>
        </w:rPr>
        <w:t>mm/d），壶关县年平均降雨量</w:t>
      </w:r>
      <w:r>
        <w:rPr>
          <w:rFonts w:hint="eastAsia"/>
          <w:sz w:val="24"/>
        </w:rPr>
        <w:t>578.4</w:t>
      </w:r>
      <w:r>
        <w:rPr>
          <w:sz w:val="24"/>
        </w:rPr>
        <w:t>mm，平均日降雨量1.</w:t>
      </w:r>
      <w:r>
        <w:rPr>
          <w:rFonts w:hint="eastAsia"/>
          <w:sz w:val="24"/>
        </w:rPr>
        <w:t>58</w:t>
      </w:r>
      <w:r>
        <w:rPr>
          <w:sz w:val="24"/>
        </w:rPr>
        <w:t>mm/d；</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ascii="Times New Roman" w:hAnsi="Times New Roman"/>
          <w:b w:val="0"/>
          <w:kern w:val="0"/>
          <w:sz w:val="24"/>
          <w:vertAlign w:val="subscript"/>
        </w:rPr>
        <w:t>1</w:t>
      </w:r>
      <w:r>
        <w:rPr>
          <w:rStyle w:val="64"/>
          <w:rFonts w:ascii="Times New Roman" w:hAnsi="Times New Roman"/>
          <w:b w:val="0"/>
          <w:kern w:val="0"/>
          <w:sz w:val="24"/>
        </w:rPr>
        <w:t>——</w:t>
      </w:r>
      <w:r>
        <w:rPr>
          <w:rStyle w:val="64"/>
          <w:rFonts w:hint="eastAsia"/>
          <w:b w:val="0"/>
          <w:kern w:val="0"/>
          <w:sz w:val="24"/>
        </w:rPr>
        <w:t>正在填埋作业区</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r>
        <w:rPr>
          <w:rStyle w:val="64"/>
          <w:rFonts w:ascii="Times New Roman" w:hAnsi="Times New Roman"/>
          <w:b w:val="0"/>
          <w:kern w:val="0"/>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ascii="Times New Roman" w:hAnsi="Times New Roman"/>
          <w:b w:val="0"/>
          <w:kern w:val="0"/>
          <w:sz w:val="24"/>
          <w:vertAlign w:val="subscript"/>
        </w:rPr>
        <w:t>1</w:t>
      </w:r>
      <w:r>
        <w:rPr>
          <w:rStyle w:val="64"/>
          <w:rFonts w:ascii="Times New Roman" w:hAnsi="Times New Roman"/>
          <w:b w:val="0"/>
          <w:kern w:val="0"/>
          <w:sz w:val="24"/>
        </w:rPr>
        <w:t>——</w:t>
      </w:r>
      <w:r>
        <w:rPr>
          <w:rStyle w:val="64"/>
          <w:rFonts w:hint="eastAsia"/>
          <w:b w:val="0"/>
          <w:kern w:val="0"/>
          <w:sz w:val="24"/>
        </w:rPr>
        <w:t>正在填埋作业区浸</w:t>
      </w:r>
      <w:r>
        <w:rPr>
          <w:rStyle w:val="64"/>
          <w:rFonts w:ascii="Times New Roman" w:hAnsi="Times New Roman"/>
          <w:b w:val="0"/>
          <w:kern w:val="0"/>
          <w:sz w:val="24"/>
        </w:rPr>
        <w:t>出系数，</w:t>
      </w:r>
      <w:r>
        <w:rPr>
          <w:rStyle w:val="64"/>
          <w:rFonts w:hint="eastAsia"/>
          <w:b w:val="0"/>
          <w:kern w:val="0"/>
          <w:sz w:val="24"/>
        </w:rPr>
        <w:t>本项目所在地年平均降雨量</w:t>
      </w:r>
      <w:r>
        <w:rPr>
          <w:rFonts w:hint="eastAsia"/>
          <w:sz w:val="24"/>
        </w:rPr>
        <w:t>578</w:t>
      </w:r>
      <w:r>
        <w:rPr>
          <w:sz w:val="24"/>
        </w:rPr>
        <w:t>.4mm</w:t>
      </w:r>
      <w:r>
        <w:rPr>
          <w:rFonts w:hint="eastAsia"/>
          <w:sz w:val="24"/>
        </w:rPr>
        <w:t>，生活垃圾有机物含量约42%，本项目</w:t>
      </w:r>
      <w:r>
        <w:rPr>
          <w:rStyle w:val="64"/>
          <w:rFonts w:hint="eastAsia"/>
          <w:b w:val="0"/>
          <w:kern w:val="0"/>
          <w:sz w:val="24"/>
        </w:rPr>
        <w:t>正在填埋作业区浸</w:t>
      </w:r>
      <w:r>
        <w:rPr>
          <w:rStyle w:val="64"/>
          <w:rFonts w:ascii="Times New Roman" w:hAnsi="Times New Roman"/>
          <w:b w:val="0"/>
          <w:kern w:val="0"/>
          <w:sz w:val="24"/>
        </w:rPr>
        <w:t>出系数</w:t>
      </w:r>
      <w:r>
        <w:rPr>
          <w:rStyle w:val="64"/>
          <w:rFonts w:hint="eastAsia"/>
          <w:b w:val="0"/>
          <w:kern w:val="0"/>
          <w:sz w:val="24"/>
        </w:rPr>
        <w:t>按</w:t>
      </w:r>
      <w:r>
        <w:rPr>
          <w:rFonts w:hint="eastAsia"/>
          <w:sz w:val="24"/>
        </w:rPr>
        <w:t>0.50</w:t>
      </w:r>
      <w:r>
        <w:rPr>
          <w:rStyle w:val="64"/>
          <w:rFonts w:hint="eastAsia"/>
          <w:b w:val="0"/>
          <w:kern w:val="0"/>
          <w:sz w:val="24"/>
        </w:rPr>
        <w:t>计</w:t>
      </w:r>
      <w:r>
        <w:rPr>
          <w:rStyle w:val="64"/>
          <w:rFonts w:ascii="Times New Roman" w:hAnsi="Times New Roman"/>
          <w:b w:val="0"/>
          <w:kern w:val="0"/>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ascii="Times New Roman" w:hAnsi="Times New Roman"/>
          <w:b w:val="0"/>
          <w:kern w:val="0"/>
          <w:sz w:val="24"/>
          <w:vertAlign w:val="subscript"/>
        </w:rPr>
        <w:t>2</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中间覆盖</w:t>
      </w:r>
      <w:r>
        <w:rPr>
          <w:rStyle w:val="64"/>
          <w:rFonts w:hint="eastAsia"/>
          <w:b w:val="0"/>
          <w:kern w:val="0"/>
          <w:sz w:val="24"/>
        </w:rPr>
        <w:t>区</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p>
    <w:p>
      <w:pPr>
        <w:spacing w:line="500" w:lineRule="exact"/>
        <w:ind w:firstLine="480" w:firstLineChars="200"/>
        <w:rPr>
          <w:rStyle w:val="64"/>
          <w:rFonts w:ascii="Times New Roman" w:hAnsi="Times New Roman"/>
          <w:b w:val="0"/>
          <w:color w:val="000000" w:themeColor="text1"/>
          <w:kern w:val="0"/>
          <w:sz w:val="24"/>
          <w14:textFill>
            <w14:solidFill>
              <w14:schemeClr w14:val="tx1"/>
            </w14:solidFill>
          </w14:textFill>
        </w:rPr>
      </w:pPr>
      <w:r>
        <w:rPr>
          <w:rStyle w:val="64"/>
          <w:rFonts w:ascii="Times New Roman" w:hAnsi="Times New Roman"/>
          <w:b w:val="0"/>
          <w:kern w:val="0"/>
          <w:sz w:val="24"/>
        </w:rPr>
        <w:t>C</w:t>
      </w:r>
      <w:r>
        <w:rPr>
          <w:rStyle w:val="64"/>
          <w:rFonts w:ascii="Times New Roman" w:hAnsi="Times New Roman"/>
          <w:b w:val="0"/>
          <w:kern w:val="0"/>
          <w:sz w:val="24"/>
          <w:vertAlign w:val="subscript"/>
        </w:rPr>
        <w:t>2</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中间覆盖</w:t>
      </w:r>
      <w:r>
        <w:rPr>
          <w:rStyle w:val="64"/>
          <w:rFonts w:hint="eastAsia"/>
          <w:b w:val="0"/>
          <w:kern w:val="0"/>
          <w:sz w:val="24"/>
        </w:rPr>
        <w:t>区浸</w:t>
      </w:r>
      <w:r>
        <w:rPr>
          <w:rStyle w:val="64"/>
          <w:rFonts w:ascii="Times New Roman" w:hAnsi="Times New Roman"/>
          <w:b w:val="0"/>
          <w:kern w:val="0"/>
          <w:sz w:val="24"/>
        </w:rPr>
        <w:t>出系数，一般宜取（0.4~0.6）C</w:t>
      </w:r>
      <w:r>
        <w:rPr>
          <w:rStyle w:val="64"/>
          <w:rFonts w:ascii="Times New Roman" w:hAnsi="Times New Roman"/>
          <w:b w:val="0"/>
          <w:kern w:val="0"/>
          <w:sz w:val="24"/>
          <w:vertAlign w:val="subscript"/>
        </w:rPr>
        <w:t>1</w:t>
      </w:r>
      <w:r>
        <w:rPr>
          <w:rStyle w:val="64"/>
          <w:rFonts w:ascii="Times New Roman" w:hAnsi="Times New Roman"/>
          <w:b w:val="0"/>
          <w:kern w:val="0"/>
          <w:sz w:val="24"/>
        </w:rPr>
        <w:t>，本项目已中间覆盖区浸出系数</w:t>
      </w:r>
      <w:r>
        <w:rPr>
          <w:rStyle w:val="64"/>
          <w:rFonts w:ascii="Times New Roman"/>
          <w:b w:val="0"/>
          <w:color w:val="000000" w:themeColor="text1"/>
          <w:kern w:val="0"/>
          <w:sz w:val="24"/>
          <w14:textFill>
            <w14:solidFill>
              <w14:schemeClr w14:val="tx1"/>
            </w14:solidFill>
          </w14:textFill>
        </w:rPr>
        <w:t>按</w:t>
      </w:r>
      <w:r>
        <w:rPr>
          <w:rStyle w:val="64"/>
          <w:rFonts w:ascii="Times New Roman" w:hAnsi="Times New Roman"/>
          <w:b w:val="0"/>
          <w:color w:val="000000" w:themeColor="text1"/>
          <w:kern w:val="0"/>
          <w:sz w:val="24"/>
          <w14:textFill>
            <w14:solidFill>
              <w14:schemeClr w14:val="tx1"/>
            </w14:solidFill>
          </w14:textFill>
        </w:rPr>
        <w:t>0.20</w:t>
      </w:r>
      <w:r>
        <w:rPr>
          <w:rStyle w:val="64"/>
          <w:rFonts w:ascii="Times New Roman"/>
          <w:b w:val="0"/>
          <w:color w:val="000000" w:themeColor="text1"/>
          <w:kern w:val="0"/>
          <w:sz w:val="24"/>
          <w14:textFill>
            <w14:solidFill>
              <w14:schemeClr w14:val="tx1"/>
            </w14:solidFill>
          </w14:textFill>
        </w:rPr>
        <w:t>计</w:t>
      </w:r>
      <w:r>
        <w:rPr>
          <w:rStyle w:val="64"/>
          <w:rFonts w:ascii="Times New Roman" w:hAnsi="Times New Roman"/>
          <w:b w:val="0"/>
          <w:color w:val="000000" w:themeColor="text1"/>
          <w:kern w:val="0"/>
          <w:sz w:val="24"/>
          <w14:textFill>
            <w14:solidFill>
              <w14:schemeClr w14:val="tx1"/>
            </w14:solidFill>
          </w14:textFill>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ascii="Times New Roman" w:hAnsi="Times New Roman"/>
          <w:b w:val="0"/>
          <w:kern w:val="0"/>
          <w:sz w:val="24"/>
          <w:vertAlign w:val="subscript"/>
        </w:rPr>
        <w:t>3</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终场覆盖</w:t>
      </w:r>
      <w:r>
        <w:rPr>
          <w:rStyle w:val="64"/>
          <w:rFonts w:hint="eastAsia"/>
          <w:b w:val="0"/>
          <w:kern w:val="0"/>
          <w:sz w:val="24"/>
        </w:rPr>
        <w:t>区</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r>
        <w:rPr>
          <w:rStyle w:val="64"/>
          <w:rFonts w:hint="eastAsia"/>
          <w:b w:val="0"/>
          <w:kern w:val="0"/>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ascii="Times New Roman" w:hAnsi="Times New Roman"/>
          <w:b w:val="0"/>
          <w:kern w:val="0"/>
          <w:sz w:val="24"/>
          <w:vertAlign w:val="subscript"/>
        </w:rPr>
        <w:t>3</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终场覆盖</w:t>
      </w:r>
      <w:r>
        <w:rPr>
          <w:rStyle w:val="64"/>
          <w:rFonts w:hint="eastAsia"/>
          <w:b w:val="0"/>
          <w:kern w:val="0"/>
          <w:sz w:val="24"/>
        </w:rPr>
        <w:t>区浸</w:t>
      </w:r>
      <w:r>
        <w:rPr>
          <w:rStyle w:val="64"/>
          <w:rFonts w:ascii="Times New Roman" w:hAnsi="Times New Roman"/>
          <w:b w:val="0"/>
          <w:kern w:val="0"/>
          <w:sz w:val="24"/>
        </w:rPr>
        <w:t>出系数，一般宜取0.1~0.2，本项目</w:t>
      </w:r>
      <w:r>
        <w:rPr>
          <w:rStyle w:val="64"/>
          <w:rFonts w:hint="eastAsia"/>
          <w:b w:val="0"/>
          <w:kern w:val="0"/>
          <w:sz w:val="24"/>
        </w:rPr>
        <w:t>按0.10计；</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hint="eastAsia" w:ascii="Times New Roman" w:hAnsi="Times New Roman"/>
          <w:b w:val="0"/>
          <w:kern w:val="0"/>
          <w:sz w:val="24"/>
          <w:vertAlign w:val="subscript"/>
        </w:rPr>
        <w:t>4</w:t>
      </w:r>
      <w:r>
        <w:rPr>
          <w:rStyle w:val="64"/>
          <w:rFonts w:ascii="Times New Roman" w:hAnsi="Times New Roman"/>
          <w:b w:val="0"/>
          <w:kern w:val="0"/>
          <w:sz w:val="24"/>
        </w:rPr>
        <w:t>——</w:t>
      </w:r>
      <w:r>
        <w:rPr>
          <w:rStyle w:val="64"/>
          <w:rFonts w:hint="eastAsia" w:ascii="Times New Roman" w:hAnsi="Times New Roman"/>
          <w:b w:val="0"/>
          <w:kern w:val="0"/>
          <w:sz w:val="24"/>
        </w:rPr>
        <w:t>调节池</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r>
        <w:rPr>
          <w:rStyle w:val="64"/>
          <w:rFonts w:ascii="Times New Roman" w:hAnsi="Times New Roman"/>
          <w:b w:val="0"/>
          <w:kern w:val="0"/>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hint="eastAsia" w:ascii="Times New Roman" w:hAnsi="Times New Roman"/>
          <w:b w:val="0"/>
          <w:kern w:val="0"/>
          <w:sz w:val="24"/>
          <w:vertAlign w:val="subscript"/>
        </w:rPr>
        <w:t>4</w:t>
      </w:r>
      <w:r>
        <w:rPr>
          <w:rStyle w:val="64"/>
          <w:rFonts w:ascii="Times New Roman" w:hAnsi="Times New Roman"/>
          <w:b w:val="0"/>
          <w:kern w:val="0"/>
          <w:sz w:val="24"/>
        </w:rPr>
        <w:t>——</w:t>
      </w:r>
      <w:r>
        <w:rPr>
          <w:rStyle w:val="64"/>
          <w:rFonts w:hint="eastAsia" w:ascii="Times New Roman" w:hAnsi="Times New Roman"/>
          <w:b w:val="0"/>
          <w:kern w:val="0"/>
          <w:sz w:val="24"/>
        </w:rPr>
        <w:t>调节池</w:t>
      </w:r>
      <w:r>
        <w:rPr>
          <w:rStyle w:val="64"/>
          <w:rFonts w:hint="eastAsia"/>
          <w:b w:val="0"/>
          <w:kern w:val="0"/>
          <w:sz w:val="24"/>
        </w:rPr>
        <w:t>浸</w:t>
      </w:r>
      <w:r>
        <w:rPr>
          <w:rStyle w:val="64"/>
          <w:rFonts w:ascii="Times New Roman" w:hAnsi="Times New Roman"/>
          <w:b w:val="0"/>
          <w:kern w:val="0"/>
          <w:sz w:val="24"/>
        </w:rPr>
        <w:t>出系数，</w:t>
      </w:r>
      <w:r>
        <w:rPr>
          <w:rStyle w:val="64"/>
          <w:rFonts w:hint="eastAsia"/>
          <w:b w:val="0"/>
          <w:kern w:val="0"/>
          <w:sz w:val="24"/>
        </w:rPr>
        <w:t>本项目调节处为埋地封闭结构，</w:t>
      </w:r>
      <w:r>
        <w:rPr>
          <w:rStyle w:val="64"/>
          <w:rFonts w:hint="eastAsia" w:ascii="Times New Roman" w:hAnsi="Times New Roman"/>
          <w:b w:val="0"/>
          <w:kern w:val="0"/>
          <w:sz w:val="24"/>
        </w:rPr>
        <w:t>调节池</w:t>
      </w:r>
      <w:r>
        <w:rPr>
          <w:rStyle w:val="64"/>
          <w:rFonts w:hint="eastAsia"/>
          <w:b w:val="0"/>
          <w:kern w:val="0"/>
          <w:sz w:val="24"/>
        </w:rPr>
        <w:t>浸</w:t>
      </w:r>
      <w:r>
        <w:rPr>
          <w:rStyle w:val="64"/>
          <w:rFonts w:ascii="Times New Roman" w:hAnsi="Times New Roman"/>
          <w:b w:val="0"/>
          <w:kern w:val="0"/>
          <w:sz w:val="24"/>
        </w:rPr>
        <w:t>出系数</w:t>
      </w:r>
      <w:r>
        <w:rPr>
          <w:rStyle w:val="64"/>
          <w:rFonts w:hint="eastAsia"/>
          <w:b w:val="0"/>
          <w:kern w:val="0"/>
          <w:sz w:val="24"/>
        </w:rPr>
        <w:t>按</w:t>
      </w:r>
      <w:r>
        <w:rPr>
          <w:rStyle w:val="64"/>
          <w:rFonts w:hint="eastAsia" w:ascii="Times New Roman" w:hAnsi="Times New Roman"/>
          <w:b w:val="0"/>
          <w:kern w:val="0"/>
          <w:sz w:val="24"/>
        </w:rPr>
        <w:t>0</w:t>
      </w:r>
      <w:r>
        <w:rPr>
          <w:rStyle w:val="64"/>
          <w:rFonts w:hint="eastAsia"/>
          <w:b w:val="0"/>
          <w:kern w:val="0"/>
          <w:sz w:val="24"/>
        </w:rPr>
        <w:t>计</w:t>
      </w:r>
      <w:r>
        <w:rPr>
          <w:rStyle w:val="64"/>
          <w:rFonts w:ascii="Times New Roman" w:hAnsi="Times New Roman"/>
          <w:b w:val="0"/>
          <w:kern w:val="0"/>
          <w:sz w:val="24"/>
        </w:rPr>
        <w:t>。</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项目填埋区面积36600</w:t>
      </w:r>
      <w:r>
        <w:rPr>
          <w:rStyle w:val="64"/>
          <w:rFonts w:ascii="Times New Roman" w:hAnsi="Times New Roman" w:cs="Times New Roman"/>
          <w:b w:val="0"/>
          <w:kern w:val="0"/>
          <w:sz w:val="24"/>
        </w:rPr>
        <w:t>m</w:t>
      </w:r>
      <w:r>
        <w:rPr>
          <w:rStyle w:val="64"/>
          <w:rFonts w:ascii="Times New Roman" w:hAnsi="Times New Roman" w:cs="Times New Roman"/>
          <w:b w:val="0"/>
          <w:kern w:val="0"/>
          <w:sz w:val="24"/>
          <w:vertAlign w:val="superscript"/>
        </w:rPr>
        <w:t>2</w:t>
      </w:r>
      <w:r>
        <w:rPr>
          <w:rStyle w:val="64"/>
          <w:rFonts w:hint="eastAsia" w:ascii="Times New Roman" w:hAnsi="Times New Roman" w:cs="Times New Roman"/>
          <w:b w:val="0"/>
          <w:kern w:val="0"/>
          <w:sz w:val="24"/>
        </w:rPr>
        <w:t>，库区围合坝顶呈近似174m×210m的矩形，库区作业单元分为西、东两个相等的分区分别进行填埋，其中西区先期填埋。项目服务期满</w:t>
      </w:r>
      <w:r>
        <w:rPr>
          <w:rStyle w:val="64"/>
          <w:rFonts w:hint="eastAsia" w:ascii="Times New Roman" w:hAnsi="Times New Roman" w:cs="Times New Roman"/>
          <w:b w:val="0"/>
          <w:color w:val="auto"/>
          <w:kern w:val="0"/>
          <w:sz w:val="24"/>
        </w:rPr>
        <w:t>封场后顶部平台面积约</w:t>
      </w:r>
      <w:r>
        <w:rPr>
          <w:rFonts w:hint="eastAsia" w:ascii="Times New Roman" w:hAnsi="Times New Roman" w:eastAsia="宋体" w:cs="Times New Roman"/>
          <w:b w:val="0"/>
          <w:bCs w:val="0"/>
          <w:color w:val="auto"/>
          <w:sz w:val="24"/>
        </w:rPr>
        <w:t>24000</w:t>
      </w:r>
      <w:r>
        <w:rPr>
          <w:rStyle w:val="64"/>
          <w:rFonts w:ascii="Times New Roman" w:hAnsi="Times New Roman" w:cs="Times New Roman"/>
          <w:b w:val="0"/>
          <w:color w:val="auto"/>
          <w:kern w:val="0"/>
          <w:sz w:val="24"/>
        </w:rPr>
        <w:t>m</w:t>
      </w:r>
      <w:r>
        <w:rPr>
          <w:rStyle w:val="64"/>
          <w:rFonts w:ascii="Times New Roman" w:hAnsi="Times New Roman" w:cs="Times New Roman"/>
          <w:b w:val="0"/>
          <w:color w:val="auto"/>
          <w:kern w:val="0"/>
          <w:sz w:val="24"/>
          <w:vertAlign w:val="superscript"/>
        </w:rPr>
        <w:t>2</w:t>
      </w:r>
      <w:r>
        <w:rPr>
          <w:rStyle w:val="64"/>
          <w:rFonts w:hint="eastAsia" w:ascii="Times New Roman" w:hAnsi="Times New Roman" w:cs="Times New Roman"/>
          <w:b w:val="0"/>
          <w:color w:val="auto"/>
          <w:kern w:val="0"/>
          <w:sz w:val="24"/>
        </w:rPr>
        <w:t>，呈近似138m×174m的矩形，</w:t>
      </w:r>
      <w:r>
        <w:rPr>
          <w:rFonts w:ascii="Times New Roman" w:hAnsi="Times New Roman" w:eastAsia="宋体" w:cs="Times New Roman"/>
          <w:b w:val="0"/>
          <w:bCs w:val="0"/>
          <w:color w:val="auto"/>
          <w:sz w:val="24"/>
        </w:rPr>
        <w:t>项目渗滤液产生量</w:t>
      </w:r>
      <w:r>
        <w:rPr>
          <w:rFonts w:hint="eastAsia" w:ascii="Times New Roman" w:hAnsi="Times New Roman" w:eastAsia="宋体" w:cs="Times New Roman"/>
          <w:b w:val="0"/>
          <w:bCs w:val="0"/>
          <w:color w:val="auto"/>
          <w:sz w:val="24"/>
        </w:rPr>
        <w:t>估算情况详见下表</w:t>
      </w:r>
      <w:r>
        <w:rPr>
          <w:rFonts w:ascii="Times New Roman" w:hAnsi="Times New Roman" w:eastAsia="宋体" w:cs="Times New Roman"/>
          <w:b w:val="0"/>
          <w:bCs w:val="0"/>
          <w:color w:val="auto"/>
          <w:sz w:val="24"/>
        </w:rPr>
        <w:t>。</w:t>
      </w:r>
    </w:p>
    <w:p>
      <w:pPr>
        <w:snapToGrid w:val="0"/>
        <w:spacing w:line="500" w:lineRule="atLeast"/>
        <w:jc w:val="center"/>
        <w:rPr>
          <w:b/>
          <w:spacing w:val="4"/>
          <w:sz w:val="24"/>
        </w:rPr>
      </w:pPr>
      <w:r>
        <w:rPr>
          <w:rFonts w:hint="eastAsia"/>
          <w:b/>
          <w:spacing w:val="4"/>
          <w:sz w:val="24"/>
        </w:rPr>
        <w:t>表3.4-4项目渗滤液产生情况估算表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505"/>
        <w:gridCol w:w="1413"/>
        <w:gridCol w:w="1413"/>
        <w:gridCol w:w="1416"/>
        <w:gridCol w:w="27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83" w:type="pct"/>
            <w:tcBorders>
              <w:tl2br w:val="nil"/>
              <w:tr2bl w:val="nil"/>
            </w:tcBorders>
            <w:vAlign w:val="center"/>
          </w:tcPr>
          <w:p>
            <w:pPr>
              <w:pStyle w:val="63"/>
              <w:spacing w:line="288" w:lineRule="auto"/>
              <w:jc w:val="center"/>
              <w:rPr>
                <w:szCs w:val="21"/>
              </w:rPr>
            </w:pPr>
            <w:r>
              <w:rPr>
                <w:rFonts w:hint="eastAsia"/>
                <w:szCs w:val="21"/>
              </w:rPr>
              <w:t>填埋阶段</w:t>
            </w:r>
          </w:p>
        </w:tc>
        <w:tc>
          <w:tcPr>
            <w:tcW w:w="829" w:type="pct"/>
            <w:tcBorders>
              <w:tl2br w:val="nil"/>
              <w:tr2bl w:val="nil"/>
            </w:tcBorders>
            <w:vAlign w:val="center"/>
          </w:tcPr>
          <w:p>
            <w:pPr>
              <w:pStyle w:val="63"/>
              <w:spacing w:line="240" w:lineRule="exact"/>
              <w:jc w:val="center"/>
              <w:rPr>
                <w:szCs w:val="21"/>
              </w:rPr>
            </w:pPr>
            <w:r>
              <w:rPr>
                <w:rFonts w:hint="eastAsia"/>
                <w:szCs w:val="21"/>
              </w:rPr>
              <w:t>填埋分区</w:t>
            </w:r>
          </w:p>
        </w:tc>
        <w:tc>
          <w:tcPr>
            <w:tcW w:w="829" w:type="pct"/>
            <w:tcBorders>
              <w:tl2br w:val="nil"/>
              <w:tr2bl w:val="nil"/>
            </w:tcBorders>
            <w:vAlign w:val="center"/>
          </w:tcPr>
          <w:p>
            <w:pPr>
              <w:pStyle w:val="63"/>
              <w:spacing w:line="240" w:lineRule="exact"/>
              <w:jc w:val="center"/>
              <w:rPr>
                <w:szCs w:val="21"/>
              </w:rPr>
            </w:pPr>
            <w:r>
              <w:rPr>
                <w:rFonts w:hint="eastAsia"/>
                <w:szCs w:val="21"/>
              </w:rPr>
              <w:t>汇水面积</w:t>
            </w:r>
          </w:p>
        </w:tc>
        <w:tc>
          <w:tcPr>
            <w:tcW w:w="831" w:type="pct"/>
            <w:tcBorders>
              <w:tl2br w:val="nil"/>
              <w:tr2bl w:val="nil"/>
            </w:tcBorders>
            <w:vAlign w:val="center"/>
          </w:tcPr>
          <w:p>
            <w:pPr>
              <w:pStyle w:val="63"/>
              <w:spacing w:line="240" w:lineRule="exact"/>
              <w:jc w:val="center"/>
              <w:rPr>
                <w:szCs w:val="21"/>
              </w:rPr>
            </w:pPr>
            <w:r>
              <w:rPr>
                <w:rFonts w:hint="eastAsia"/>
                <w:szCs w:val="21"/>
              </w:rPr>
              <w:t>渗出系数</w:t>
            </w:r>
          </w:p>
        </w:tc>
        <w:tc>
          <w:tcPr>
            <w:tcW w:w="1626" w:type="pct"/>
            <w:tcBorders>
              <w:tl2br w:val="nil"/>
              <w:tr2bl w:val="nil"/>
            </w:tcBorders>
            <w:vAlign w:val="center"/>
          </w:tcPr>
          <w:p>
            <w:pPr>
              <w:pStyle w:val="63"/>
              <w:spacing w:line="288" w:lineRule="auto"/>
              <w:jc w:val="center"/>
              <w:rPr>
                <w:kern w:val="2"/>
                <w:szCs w:val="21"/>
              </w:rPr>
            </w:pPr>
            <w:r>
              <w:rPr>
                <w:rFonts w:hint="eastAsia"/>
                <w:color w:val="000000"/>
                <w:szCs w:val="21"/>
              </w:rPr>
              <w:t>渗滤液</w:t>
            </w:r>
            <w:r>
              <w:rPr>
                <w:rFonts w:hint="eastAsia"/>
                <w:szCs w:val="21"/>
              </w:rPr>
              <w:t>平均</w:t>
            </w:r>
            <w:r>
              <w:rPr>
                <w:rFonts w:hint="eastAsia"/>
                <w:color w:val="000000"/>
                <w:szCs w:val="21"/>
              </w:rPr>
              <w:t>产生量（m</w:t>
            </w:r>
            <w:r>
              <w:rPr>
                <w:rFonts w:hint="eastAsia"/>
                <w:color w:val="000000"/>
                <w:szCs w:val="21"/>
                <w:vertAlign w:val="superscript"/>
              </w:rPr>
              <w:t>3</w:t>
            </w:r>
            <w:r>
              <w:rPr>
                <w:rFonts w:hint="eastAsia"/>
                <w:color w:val="000000"/>
                <w:szCs w:val="21"/>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505" w:type="dxa"/>
            <w:vMerge w:val="restart"/>
            <w:tcBorders>
              <w:tl2br w:val="nil"/>
              <w:tr2bl w:val="nil"/>
            </w:tcBorders>
            <w:vAlign w:val="center"/>
          </w:tcPr>
          <w:p>
            <w:pPr>
              <w:spacing w:line="288" w:lineRule="auto"/>
              <w:jc w:val="center"/>
              <w:rPr>
                <w:szCs w:val="21"/>
              </w:rPr>
            </w:pPr>
            <w:r>
              <w:rPr>
                <w:rFonts w:hint="eastAsia"/>
                <w:color w:val="000000"/>
                <w:kern w:val="0"/>
                <w:szCs w:val="21"/>
              </w:rPr>
              <w:t>开始填埋西区</w:t>
            </w:r>
          </w:p>
        </w:tc>
        <w:tc>
          <w:tcPr>
            <w:tcW w:w="829" w:type="pct"/>
            <w:tcBorders>
              <w:tl2br w:val="nil"/>
              <w:tr2bl w:val="nil"/>
            </w:tcBorders>
            <w:vAlign w:val="center"/>
          </w:tcPr>
          <w:p>
            <w:pPr>
              <w:pStyle w:val="63"/>
              <w:spacing w:line="288" w:lineRule="auto"/>
              <w:jc w:val="center"/>
              <w:rPr>
                <w:szCs w:val="21"/>
              </w:rPr>
            </w:pPr>
            <w:r>
              <w:rPr>
                <w:rFonts w:hint="eastAsia"/>
                <w:szCs w:val="21"/>
              </w:rPr>
              <w:t>西区</w:t>
            </w:r>
          </w:p>
        </w:tc>
        <w:tc>
          <w:tcPr>
            <w:tcW w:w="829" w:type="pct"/>
            <w:tcBorders>
              <w:tl2br w:val="nil"/>
              <w:tr2bl w:val="nil"/>
            </w:tcBorders>
            <w:vAlign w:val="center"/>
          </w:tcPr>
          <w:p>
            <w:pPr>
              <w:pStyle w:val="63"/>
              <w:spacing w:line="288" w:lineRule="auto"/>
              <w:jc w:val="center"/>
              <w:rPr>
                <w:szCs w:val="21"/>
              </w:rPr>
            </w:pPr>
            <w:r>
              <w:rPr>
                <w:rFonts w:hint="eastAsia"/>
                <w:szCs w:val="21"/>
              </w:rPr>
              <w:t>18300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0</w:t>
            </w:r>
            <w:r>
              <w:rPr>
                <w:rFonts w:hint="eastAsia"/>
                <w:color w:val="000000"/>
                <w:szCs w:val="21"/>
              </w:rPr>
              <w:t>.5</w:t>
            </w:r>
          </w:p>
        </w:tc>
        <w:tc>
          <w:tcPr>
            <w:tcW w:w="1626" w:type="pct"/>
            <w:tcBorders>
              <w:tl2br w:val="nil"/>
              <w:tr2bl w:val="nil"/>
            </w:tcBorders>
            <w:vAlign w:val="center"/>
          </w:tcPr>
          <w:p>
            <w:pPr>
              <w:pStyle w:val="63"/>
              <w:spacing w:line="288" w:lineRule="auto"/>
              <w:jc w:val="center"/>
              <w:rPr>
                <w:szCs w:val="21"/>
              </w:rPr>
            </w:pPr>
            <w:r>
              <w:rPr>
                <w:rFonts w:hint="eastAsia"/>
                <w:szCs w:val="21"/>
              </w:rPr>
              <w:t>14.46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83" w:type="pct"/>
            <w:vMerge w:val="continue"/>
            <w:tcBorders>
              <w:tl2br w:val="nil"/>
              <w:tr2bl w:val="nil"/>
            </w:tcBorders>
            <w:vAlign w:val="center"/>
          </w:tcPr>
          <w:p>
            <w:pPr>
              <w:pStyle w:val="63"/>
              <w:spacing w:line="288" w:lineRule="auto"/>
              <w:jc w:val="center"/>
              <w:rPr>
                <w:szCs w:val="21"/>
              </w:rPr>
            </w:pPr>
          </w:p>
        </w:tc>
        <w:tc>
          <w:tcPr>
            <w:tcW w:w="829" w:type="pct"/>
            <w:tcBorders>
              <w:tl2br w:val="nil"/>
              <w:tr2bl w:val="nil"/>
            </w:tcBorders>
            <w:vAlign w:val="center"/>
          </w:tcPr>
          <w:p>
            <w:pPr>
              <w:pStyle w:val="63"/>
              <w:spacing w:line="288" w:lineRule="auto"/>
              <w:jc w:val="center"/>
              <w:rPr>
                <w:szCs w:val="21"/>
              </w:rPr>
            </w:pPr>
            <w:r>
              <w:rPr>
                <w:rFonts w:hint="eastAsia"/>
                <w:szCs w:val="21"/>
              </w:rPr>
              <w:t>东区</w:t>
            </w:r>
          </w:p>
        </w:tc>
        <w:tc>
          <w:tcPr>
            <w:tcW w:w="829" w:type="pct"/>
            <w:tcBorders>
              <w:tl2br w:val="nil"/>
              <w:tr2bl w:val="nil"/>
            </w:tcBorders>
            <w:vAlign w:val="center"/>
          </w:tcPr>
          <w:p>
            <w:pPr>
              <w:pStyle w:val="63"/>
              <w:spacing w:line="288" w:lineRule="auto"/>
              <w:jc w:val="center"/>
              <w:rPr>
                <w:szCs w:val="21"/>
              </w:rPr>
            </w:pPr>
            <w:r>
              <w:rPr>
                <w:rFonts w:hint="eastAsia"/>
                <w:szCs w:val="21"/>
              </w:rPr>
              <w:t>18300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0</w:t>
            </w:r>
          </w:p>
        </w:tc>
        <w:tc>
          <w:tcPr>
            <w:tcW w:w="1626" w:type="pct"/>
            <w:tcBorders>
              <w:tl2br w:val="nil"/>
              <w:tr2bl w:val="nil"/>
            </w:tcBorders>
            <w:vAlign w:val="center"/>
          </w:tcPr>
          <w:p>
            <w:pPr>
              <w:pStyle w:val="63"/>
              <w:spacing w:line="288" w:lineRule="auto"/>
              <w:jc w:val="center"/>
              <w:rPr>
                <w:szCs w:val="21"/>
              </w:rPr>
            </w:pPr>
            <w:r>
              <w:rPr>
                <w:rFonts w:hint="eastAsia"/>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83" w:type="pct"/>
            <w:vMerge w:val="continue"/>
            <w:tcBorders>
              <w:tl2br w:val="nil"/>
              <w:tr2bl w:val="nil"/>
            </w:tcBorders>
            <w:vAlign w:val="center"/>
          </w:tcPr>
          <w:p>
            <w:pPr>
              <w:pStyle w:val="63"/>
              <w:spacing w:line="288" w:lineRule="auto"/>
              <w:jc w:val="center"/>
              <w:rPr>
                <w:szCs w:val="21"/>
              </w:rPr>
            </w:pPr>
          </w:p>
        </w:tc>
        <w:tc>
          <w:tcPr>
            <w:tcW w:w="829" w:type="pct"/>
            <w:tcBorders>
              <w:tl2br w:val="nil"/>
              <w:tr2bl w:val="nil"/>
            </w:tcBorders>
            <w:vAlign w:val="center"/>
          </w:tcPr>
          <w:p>
            <w:pPr>
              <w:pStyle w:val="63"/>
              <w:spacing w:line="288" w:lineRule="auto"/>
              <w:jc w:val="center"/>
              <w:rPr>
                <w:szCs w:val="21"/>
              </w:rPr>
            </w:pPr>
            <w:r>
              <w:rPr>
                <w:rFonts w:hint="eastAsia"/>
                <w:szCs w:val="21"/>
              </w:rPr>
              <w:t>合计</w:t>
            </w:r>
          </w:p>
        </w:tc>
        <w:tc>
          <w:tcPr>
            <w:tcW w:w="829" w:type="pct"/>
            <w:tcBorders>
              <w:tl2br w:val="nil"/>
              <w:tr2bl w:val="nil"/>
            </w:tcBorders>
            <w:vAlign w:val="center"/>
          </w:tcPr>
          <w:p>
            <w:pPr>
              <w:pStyle w:val="63"/>
              <w:spacing w:line="288" w:lineRule="auto"/>
              <w:jc w:val="center"/>
              <w:rPr>
                <w:szCs w:val="21"/>
              </w:rPr>
            </w:pPr>
            <w:r>
              <w:rPr>
                <w:rFonts w:hint="eastAsia"/>
                <w:szCs w:val="21"/>
              </w:rPr>
              <w:t>36000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w:t>
            </w:r>
          </w:p>
        </w:tc>
        <w:tc>
          <w:tcPr>
            <w:tcW w:w="1626" w:type="pct"/>
            <w:tcBorders>
              <w:tl2br w:val="nil"/>
              <w:tr2bl w:val="nil"/>
            </w:tcBorders>
            <w:vAlign w:val="center"/>
          </w:tcPr>
          <w:p>
            <w:pPr>
              <w:pStyle w:val="63"/>
              <w:spacing w:line="288" w:lineRule="auto"/>
              <w:jc w:val="center"/>
              <w:rPr>
                <w:szCs w:val="21"/>
              </w:rPr>
            </w:pPr>
            <w:r>
              <w:rPr>
                <w:rFonts w:hint="eastAsia"/>
                <w:szCs w:val="21"/>
              </w:rPr>
              <w:t>14.46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505" w:type="dxa"/>
            <w:vMerge w:val="restart"/>
            <w:tcBorders>
              <w:tl2br w:val="nil"/>
              <w:tr2bl w:val="nil"/>
            </w:tcBorders>
            <w:vAlign w:val="center"/>
          </w:tcPr>
          <w:p>
            <w:pPr>
              <w:spacing w:line="288" w:lineRule="auto"/>
              <w:jc w:val="center"/>
              <w:rPr>
                <w:szCs w:val="21"/>
              </w:rPr>
            </w:pPr>
            <w:r>
              <w:rPr>
                <w:rFonts w:hint="eastAsia"/>
                <w:color w:val="000000"/>
                <w:kern w:val="0"/>
                <w:szCs w:val="21"/>
              </w:rPr>
              <w:t>开始填埋东区</w:t>
            </w:r>
          </w:p>
        </w:tc>
        <w:tc>
          <w:tcPr>
            <w:tcW w:w="829" w:type="pct"/>
            <w:tcBorders>
              <w:tl2br w:val="nil"/>
              <w:tr2bl w:val="nil"/>
            </w:tcBorders>
            <w:vAlign w:val="center"/>
          </w:tcPr>
          <w:p>
            <w:pPr>
              <w:pStyle w:val="63"/>
              <w:spacing w:line="288" w:lineRule="auto"/>
              <w:jc w:val="center"/>
              <w:rPr>
                <w:szCs w:val="21"/>
              </w:rPr>
            </w:pPr>
            <w:r>
              <w:rPr>
                <w:rFonts w:hint="eastAsia"/>
                <w:szCs w:val="21"/>
              </w:rPr>
              <w:t>西区</w:t>
            </w:r>
          </w:p>
        </w:tc>
        <w:tc>
          <w:tcPr>
            <w:tcW w:w="829" w:type="pct"/>
            <w:tcBorders>
              <w:tl2br w:val="nil"/>
              <w:tr2bl w:val="nil"/>
            </w:tcBorders>
            <w:vAlign w:val="center"/>
          </w:tcPr>
          <w:p>
            <w:pPr>
              <w:pStyle w:val="63"/>
              <w:spacing w:line="288" w:lineRule="auto"/>
              <w:jc w:val="center"/>
              <w:rPr>
                <w:szCs w:val="21"/>
              </w:rPr>
            </w:pPr>
            <w:r>
              <w:rPr>
                <w:rFonts w:hint="eastAsia"/>
                <w:szCs w:val="21"/>
              </w:rPr>
              <w:t>18300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0</w:t>
            </w:r>
            <w:r>
              <w:rPr>
                <w:rFonts w:hint="eastAsia"/>
                <w:color w:val="000000"/>
                <w:szCs w:val="21"/>
              </w:rPr>
              <w:t>.2</w:t>
            </w:r>
          </w:p>
        </w:tc>
        <w:tc>
          <w:tcPr>
            <w:tcW w:w="1626" w:type="pct"/>
            <w:tcBorders>
              <w:tl2br w:val="nil"/>
              <w:tr2bl w:val="nil"/>
            </w:tcBorders>
            <w:vAlign w:val="center"/>
          </w:tcPr>
          <w:p>
            <w:pPr>
              <w:pStyle w:val="63"/>
              <w:spacing w:line="288" w:lineRule="auto"/>
              <w:jc w:val="center"/>
              <w:rPr>
                <w:szCs w:val="21"/>
              </w:rPr>
            </w:pPr>
            <w:r>
              <w:rPr>
                <w:rFonts w:hint="eastAsia"/>
                <w:szCs w:val="21"/>
              </w:rPr>
              <w:t>5.78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83" w:type="pct"/>
            <w:vMerge w:val="continue"/>
            <w:tcBorders>
              <w:tl2br w:val="nil"/>
              <w:tr2bl w:val="nil"/>
            </w:tcBorders>
            <w:vAlign w:val="center"/>
          </w:tcPr>
          <w:p>
            <w:pPr>
              <w:pStyle w:val="63"/>
              <w:spacing w:line="288" w:lineRule="auto"/>
              <w:jc w:val="center"/>
              <w:rPr>
                <w:szCs w:val="21"/>
              </w:rPr>
            </w:pPr>
          </w:p>
        </w:tc>
        <w:tc>
          <w:tcPr>
            <w:tcW w:w="829" w:type="pct"/>
            <w:tcBorders>
              <w:tl2br w:val="nil"/>
              <w:tr2bl w:val="nil"/>
            </w:tcBorders>
            <w:vAlign w:val="center"/>
          </w:tcPr>
          <w:p>
            <w:pPr>
              <w:pStyle w:val="63"/>
              <w:spacing w:line="288" w:lineRule="auto"/>
              <w:jc w:val="center"/>
              <w:rPr>
                <w:szCs w:val="21"/>
              </w:rPr>
            </w:pPr>
            <w:r>
              <w:rPr>
                <w:rFonts w:hint="eastAsia"/>
                <w:szCs w:val="21"/>
              </w:rPr>
              <w:t>东区</w:t>
            </w:r>
          </w:p>
        </w:tc>
        <w:tc>
          <w:tcPr>
            <w:tcW w:w="829" w:type="pct"/>
            <w:tcBorders>
              <w:tl2br w:val="nil"/>
              <w:tr2bl w:val="nil"/>
            </w:tcBorders>
            <w:vAlign w:val="center"/>
          </w:tcPr>
          <w:p>
            <w:pPr>
              <w:pStyle w:val="63"/>
              <w:spacing w:line="288" w:lineRule="auto"/>
              <w:jc w:val="center"/>
              <w:rPr>
                <w:szCs w:val="21"/>
              </w:rPr>
            </w:pPr>
            <w:r>
              <w:rPr>
                <w:rFonts w:hint="eastAsia"/>
                <w:szCs w:val="21"/>
              </w:rPr>
              <w:t>18300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0</w:t>
            </w:r>
            <w:r>
              <w:rPr>
                <w:rFonts w:hint="eastAsia"/>
                <w:color w:val="000000"/>
                <w:szCs w:val="21"/>
              </w:rPr>
              <w:t>.5</w:t>
            </w:r>
          </w:p>
        </w:tc>
        <w:tc>
          <w:tcPr>
            <w:tcW w:w="1626" w:type="pct"/>
            <w:tcBorders>
              <w:tl2br w:val="nil"/>
              <w:tr2bl w:val="nil"/>
            </w:tcBorders>
            <w:vAlign w:val="center"/>
          </w:tcPr>
          <w:p>
            <w:pPr>
              <w:pStyle w:val="63"/>
              <w:spacing w:line="288" w:lineRule="auto"/>
              <w:jc w:val="center"/>
              <w:rPr>
                <w:szCs w:val="21"/>
              </w:rPr>
            </w:pPr>
            <w:r>
              <w:rPr>
                <w:rFonts w:hint="eastAsia"/>
                <w:szCs w:val="21"/>
              </w:rPr>
              <w:t>14.46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83" w:type="pct"/>
            <w:vMerge w:val="continue"/>
            <w:tcBorders>
              <w:tl2br w:val="nil"/>
              <w:tr2bl w:val="nil"/>
            </w:tcBorders>
            <w:vAlign w:val="center"/>
          </w:tcPr>
          <w:p>
            <w:pPr>
              <w:pStyle w:val="63"/>
              <w:spacing w:line="288" w:lineRule="auto"/>
              <w:jc w:val="center"/>
              <w:rPr>
                <w:szCs w:val="21"/>
              </w:rPr>
            </w:pPr>
          </w:p>
        </w:tc>
        <w:tc>
          <w:tcPr>
            <w:tcW w:w="829" w:type="pct"/>
            <w:tcBorders>
              <w:tl2br w:val="nil"/>
              <w:tr2bl w:val="nil"/>
            </w:tcBorders>
            <w:vAlign w:val="center"/>
          </w:tcPr>
          <w:p>
            <w:pPr>
              <w:pStyle w:val="63"/>
              <w:spacing w:line="288" w:lineRule="auto"/>
              <w:jc w:val="center"/>
              <w:rPr>
                <w:szCs w:val="21"/>
              </w:rPr>
            </w:pPr>
            <w:r>
              <w:rPr>
                <w:rFonts w:hint="eastAsia"/>
                <w:szCs w:val="21"/>
              </w:rPr>
              <w:t>合计</w:t>
            </w:r>
          </w:p>
        </w:tc>
        <w:tc>
          <w:tcPr>
            <w:tcW w:w="829" w:type="pct"/>
            <w:tcBorders>
              <w:tl2br w:val="nil"/>
              <w:tr2bl w:val="nil"/>
            </w:tcBorders>
            <w:vAlign w:val="center"/>
          </w:tcPr>
          <w:p>
            <w:pPr>
              <w:pStyle w:val="63"/>
              <w:spacing w:line="288" w:lineRule="auto"/>
              <w:jc w:val="center"/>
              <w:rPr>
                <w:szCs w:val="21"/>
              </w:rPr>
            </w:pPr>
            <w:r>
              <w:rPr>
                <w:rFonts w:hint="eastAsia"/>
                <w:szCs w:val="21"/>
              </w:rPr>
              <w:t>36600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w:t>
            </w:r>
          </w:p>
        </w:tc>
        <w:tc>
          <w:tcPr>
            <w:tcW w:w="1626" w:type="pct"/>
            <w:tcBorders>
              <w:tl2br w:val="nil"/>
              <w:tr2bl w:val="nil"/>
            </w:tcBorders>
            <w:vAlign w:val="center"/>
          </w:tcPr>
          <w:p>
            <w:pPr>
              <w:pStyle w:val="63"/>
              <w:spacing w:line="288" w:lineRule="auto"/>
              <w:jc w:val="center"/>
              <w:rPr>
                <w:szCs w:val="21"/>
              </w:rPr>
            </w:pPr>
            <w:r>
              <w:rPr>
                <w:rFonts w:hint="eastAsia"/>
                <w:szCs w:val="21"/>
              </w:rPr>
              <w:t>20.24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505" w:type="dxa"/>
            <w:tcBorders>
              <w:tl2br w:val="nil"/>
              <w:tr2bl w:val="nil"/>
            </w:tcBorders>
            <w:vAlign w:val="center"/>
          </w:tcPr>
          <w:p>
            <w:pPr>
              <w:spacing w:line="288" w:lineRule="auto"/>
              <w:jc w:val="center"/>
              <w:rPr>
                <w:szCs w:val="21"/>
              </w:rPr>
            </w:pPr>
            <w:r>
              <w:rPr>
                <w:rFonts w:hint="eastAsia"/>
                <w:color w:val="000000"/>
                <w:kern w:val="0"/>
                <w:szCs w:val="21"/>
              </w:rPr>
              <w:t>终场覆盖</w:t>
            </w:r>
          </w:p>
        </w:tc>
        <w:tc>
          <w:tcPr>
            <w:tcW w:w="829" w:type="pct"/>
            <w:tcBorders>
              <w:tl2br w:val="nil"/>
              <w:tr2bl w:val="nil"/>
            </w:tcBorders>
            <w:vAlign w:val="center"/>
          </w:tcPr>
          <w:p>
            <w:pPr>
              <w:pStyle w:val="63"/>
              <w:spacing w:line="288" w:lineRule="auto"/>
              <w:jc w:val="center"/>
              <w:rPr>
                <w:szCs w:val="21"/>
              </w:rPr>
            </w:pPr>
            <w:r>
              <w:rPr>
                <w:rFonts w:hint="eastAsia"/>
                <w:color w:val="000000"/>
                <w:szCs w:val="21"/>
              </w:rPr>
              <w:t>终场</w:t>
            </w:r>
            <w:r>
              <w:rPr>
                <w:rFonts w:hint="eastAsia"/>
                <w:szCs w:val="21"/>
              </w:rPr>
              <w:t>覆盖</w:t>
            </w:r>
            <w:r>
              <w:rPr>
                <w:rFonts w:hint="eastAsia"/>
                <w:color w:val="000000"/>
                <w:szCs w:val="21"/>
              </w:rPr>
              <w:t>区</w:t>
            </w:r>
          </w:p>
        </w:tc>
        <w:tc>
          <w:tcPr>
            <w:tcW w:w="829" w:type="pct"/>
            <w:tcBorders>
              <w:tl2br w:val="nil"/>
              <w:tr2bl w:val="nil"/>
            </w:tcBorders>
            <w:vAlign w:val="center"/>
          </w:tcPr>
          <w:p>
            <w:pPr>
              <w:pStyle w:val="63"/>
              <w:spacing w:line="288" w:lineRule="auto"/>
              <w:jc w:val="center"/>
              <w:rPr>
                <w:szCs w:val="21"/>
              </w:rPr>
            </w:pPr>
            <w:r>
              <w:rPr>
                <w:rFonts w:hint="eastAsia"/>
                <w:szCs w:val="21"/>
              </w:rPr>
              <w:t>24000</w:t>
            </w:r>
          </w:p>
        </w:tc>
        <w:tc>
          <w:tcPr>
            <w:tcW w:w="831" w:type="pct"/>
            <w:tcBorders>
              <w:tl2br w:val="nil"/>
              <w:tr2bl w:val="nil"/>
            </w:tcBorders>
            <w:vAlign w:val="center"/>
          </w:tcPr>
          <w:p>
            <w:pPr>
              <w:pStyle w:val="63"/>
              <w:spacing w:line="288" w:lineRule="auto"/>
              <w:jc w:val="center"/>
              <w:rPr>
                <w:kern w:val="2"/>
                <w:szCs w:val="21"/>
              </w:rPr>
            </w:pPr>
            <w:r>
              <w:rPr>
                <w:rFonts w:hint="eastAsia"/>
                <w:szCs w:val="21"/>
              </w:rPr>
              <w:t>0</w:t>
            </w:r>
            <w:r>
              <w:rPr>
                <w:rFonts w:hint="eastAsia"/>
                <w:color w:val="000000"/>
                <w:szCs w:val="21"/>
              </w:rPr>
              <w:t>.1</w:t>
            </w:r>
          </w:p>
        </w:tc>
        <w:tc>
          <w:tcPr>
            <w:tcW w:w="1626" w:type="pct"/>
            <w:tcBorders>
              <w:tl2br w:val="nil"/>
              <w:tr2bl w:val="nil"/>
            </w:tcBorders>
            <w:vAlign w:val="center"/>
          </w:tcPr>
          <w:p>
            <w:pPr>
              <w:pStyle w:val="63"/>
              <w:spacing w:line="288" w:lineRule="auto"/>
              <w:jc w:val="center"/>
              <w:rPr>
                <w:szCs w:val="21"/>
              </w:rPr>
            </w:pPr>
            <w:r>
              <w:rPr>
                <w:rFonts w:hint="eastAsia"/>
                <w:szCs w:val="21"/>
              </w:rPr>
              <w:t>3.79</w:t>
            </w:r>
          </w:p>
        </w:tc>
      </w:tr>
    </w:tbl>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经估算，按最不利阶段考虑，项目渗滤液产生量平均约20.24m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/d。</w:t>
      </w:r>
    </w:p>
    <w:p>
      <w:pPr>
        <w:pStyle w:val="38"/>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w:t>
      </w:r>
      <w:r>
        <w:rPr>
          <w:rFonts w:ascii="Times New Roman" w:hAnsi="Times New Roman" w:eastAsia="宋体" w:cs="Times New Roman"/>
          <w:color w:val="auto"/>
          <w:sz w:val="24"/>
          <w:lang w:val="zh-CN"/>
        </w:rPr>
        <w:t>渗滤液处理工艺</w:t>
      </w:r>
    </w:p>
    <w:p>
      <w:pPr>
        <w:pStyle w:val="38"/>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一般情况下，随着填埋气成分的变化，生活填埋场渗滤液性质也可大致分为以下五个阶段。第一阶段为好氧阶段，此时产生的渗滤液COD浓度较高，氨氮浓度较低，可生化性较好；第二阶段为酸化阶段，垃圾堆体中以酸化反应为主，渗滤液水质与第一阶段类似；第三阶段为不稳定的产甲烷段，渗滤液中的有机物开始下降，相反由厌氧分解蛋白质等含氮物质产生的铵盐开始上升，渗滤液的可生化性下降；第四阶段为稳定的产甲烷阶段，渗滤液的可生化性已经比较差，易于生化的有机物急剧下降；到最后一个阶段即结束阶段，垃圾中的有机物已经分解殆尽，此时的渗滤液已不具备可生化性。为保证渗滤液处理系统持续有效运行，借鉴周边区域同类项目经验，本项目采用“预处理+两级DTRO反渗透”的处理工艺。</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本项目在渗滤液处理车间东侧设1座清水池/浓缩液池，钢混埋地封闭结构，总容积200m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，池内中间设隔断，其中清水池120m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，浓缩液池80m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，处理出水中反渗透浓水比例约占总处理水量的22%，进入浓缩液池，由吸污车定期回喷填埋库区垃圾堆体，剩余清水进入清水池，全部回用于项目场地、县城城市绿化和道路清扫用水。</w:t>
      </w:r>
    </w:p>
    <w:p>
      <w:pPr>
        <w:pStyle w:val="38"/>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2022年9月</w:t>
      </w:r>
      <w:r>
        <w:rPr>
          <w:rFonts w:hint="eastAsia" w:ascii="Times New Roman" w:hAnsi="Times New Roman" w:eastAsia="宋体" w:cs="Times New Roman"/>
          <w:b w:val="0"/>
          <w:bCs w:val="0"/>
          <w:color w:val="auto"/>
          <w:sz w:val="24"/>
        </w:rPr>
        <w:t>6</w:t>
      </w:r>
      <w:r>
        <w:rPr>
          <w:rFonts w:ascii="Times New Roman" w:hAnsi="Times New Roman" w:eastAsia="宋体" w:cs="Times New Roman"/>
          <w:b w:val="0"/>
          <w:bCs w:val="0"/>
          <w:color w:val="auto"/>
          <w:sz w:val="24"/>
        </w:rPr>
        <w:t>日、</w:t>
      </w:r>
      <w:r>
        <w:rPr>
          <w:rFonts w:hint="eastAsia" w:ascii="Times New Roman" w:hAnsi="Times New Roman" w:eastAsia="宋体" w:cs="Times New Roman"/>
          <w:b w:val="0"/>
          <w:bCs w:val="0"/>
          <w:color w:val="auto"/>
          <w:sz w:val="24"/>
        </w:rPr>
        <w:t>7</w:t>
      </w:r>
      <w:r>
        <w:rPr>
          <w:rFonts w:ascii="Times New Roman" w:hAnsi="Times New Roman" w:eastAsia="宋体" w:cs="Times New Roman"/>
          <w:b w:val="0"/>
          <w:bCs w:val="0"/>
          <w:color w:val="auto"/>
          <w:sz w:val="24"/>
        </w:rPr>
        <w:t>日，监测单位对</w:t>
      </w:r>
      <w:r>
        <w:rPr>
          <w:rFonts w:hint="eastAsia" w:ascii="Times New Roman" w:hAnsi="Times New Roman" w:eastAsia="宋体" w:cs="Times New Roman"/>
          <w:b w:val="0"/>
          <w:bCs w:val="0"/>
          <w:color w:val="auto"/>
          <w:sz w:val="24"/>
        </w:rPr>
        <w:t>本项目</w:t>
      </w:r>
      <w:r>
        <w:rPr>
          <w:rFonts w:ascii="Times New Roman" w:hAnsi="Times New Roman" w:eastAsia="宋体" w:cs="Times New Roman"/>
          <w:b w:val="0"/>
          <w:bCs w:val="0"/>
          <w:color w:val="auto"/>
          <w:sz w:val="24"/>
        </w:rPr>
        <w:t>渗滤液处理设施进、出口水质进行了检测，根据检测结果，出水水质满足《生活垃圾填埋场污染控制标准》(GB16889-2008)和《城市污水再生利用城市杂用水水质》(GB/T18920­2020)中城市绿化、道路清扫的标准要求。具体详见下表。</w:t>
      </w:r>
    </w:p>
    <w:p>
      <w:pPr>
        <w:spacing w:line="500" w:lineRule="exact"/>
        <w:jc w:val="center"/>
        <w:rPr>
          <w:b/>
          <w:sz w:val="24"/>
        </w:rPr>
      </w:pPr>
      <w:r>
        <w:rPr>
          <w:b/>
          <w:sz w:val="24"/>
        </w:rPr>
        <w:t>表</w:t>
      </w:r>
      <w:r>
        <w:rPr>
          <w:rFonts w:hint="eastAsia"/>
          <w:b/>
          <w:sz w:val="24"/>
        </w:rPr>
        <w:t>3.4-5  本项目渗滤液处理设施进、出口水质检测结果统计表</w:t>
      </w:r>
    </w:p>
    <w:tbl>
      <w:tblPr>
        <w:tblStyle w:val="29"/>
        <w:tblW w:w="56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009"/>
        <w:gridCol w:w="1068"/>
        <w:gridCol w:w="1701"/>
        <w:gridCol w:w="1417"/>
        <w:gridCol w:w="993"/>
        <w:gridCol w:w="1134"/>
        <w:gridCol w:w="992"/>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tblHeader/>
          <w:jc w:val="center"/>
        </w:trPr>
        <w:tc>
          <w:tcPr>
            <w:tcW w:w="2077" w:type="dxa"/>
            <w:gridSpan w:val="2"/>
            <w:vMerge w:val="restart"/>
            <w:tcBorders>
              <w:tl2br w:val="nil"/>
              <w:tr2bl w:val="nil"/>
            </w:tcBorders>
            <w:vAlign w:val="center"/>
          </w:tcPr>
          <w:p>
            <w:pPr>
              <w:pStyle w:val="3"/>
              <w:adjustRightInd w:val="0"/>
              <w:spacing w:before="24" w:after="24" w:line="240" w:lineRule="atLeast"/>
              <w:ind w:left="1260" w:leftChars="500" w:hanging="210" w:hangingChars="100"/>
              <w:jc w:val="both"/>
              <w:rPr>
                <w:b/>
                <w:szCs w:val="21"/>
              </w:rPr>
            </w:pPr>
            <w:r>
              <mc:AlternateContent>
                <mc:Choice Requires="wps">
                  <w:drawing>
                    <wp:anchor distT="0" distB="0" distL="114300" distR="114300" simplePos="0" relativeHeight="251665408" behindDoc="0" locked="0" layoutInCell="1" allowOverlap="1">
                      <wp:simplePos x="0" y="0"/>
                      <wp:positionH relativeFrom="column">
                        <wp:posOffset>11430</wp:posOffset>
                      </wp:positionH>
                      <wp:positionV relativeFrom="paragraph">
                        <wp:posOffset>3810</wp:posOffset>
                      </wp:positionV>
                      <wp:extent cx="1267460" cy="586105"/>
                      <wp:effectExtent l="1905" t="4445" r="6985" b="19050"/>
                      <wp:wrapNone/>
                      <wp:docPr id="29" name="直接连接符 29"/>
                      <wp:cNvGraphicFramePr/>
                      <a:graphic xmlns:a="http://schemas.openxmlformats.org/drawingml/2006/main">
                        <a:graphicData uri="http://schemas.microsoft.com/office/word/2010/wordprocessingShape">
                          <wps:wsp>
                            <wps:cNvCnPr/>
                            <wps:spPr>
                              <a:xfrm>
                                <a:off x="499745" y="4631055"/>
                                <a:ext cx="1917065" cy="5861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9pt;margin-top:0.3pt;height:46.15pt;width:99.8pt;z-index:251665408;mso-width-relative:page;mso-height-relative:page;" filled="f" stroked="t" coordsize="21600,21600" o:gfxdata="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49nah0wAAAAUBAAAPAAAAAAAAAAEAIAAAACIAAABkcnMvZG93bnJldi54bWxQSwEC&#10;FAAUAAAACACHTuJALqmikfkBAADRAwAADgAAAAAAAAABACAAAAAiAQAAZHJzL2Uyb0RvYy54bWxQ&#10;SwUGAAAAAAYABgBZAQAAjQUAAAAA&#10;">
                      <v:fill on="f" focussize="0,0"/>
                      <v:stroke weight="0.5pt" color="#000000" miterlimit="8" joinstyle="miter"/>
                      <v:imagedata o:title=""/>
                      <o:lock v:ext="edit" aspectratio="f"/>
                    </v:line>
                  </w:pict>
                </mc:Fallback>
              </mc:AlternateContent>
            </w:r>
            <w:r>
              <w:rPr>
                <w:b/>
                <w:szCs w:val="21"/>
              </w:rPr>
              <w:t>项目</w:t>
            </w:r>
          </w:p>
          <w:p>
            <w:pPr>
              <w:pStyle w:val="3"/>
              <w:adjustRightInd w:val="0"/>
              <w:spacing w:before="24" w:after="24" w:line="240" w:lineRule="atLeast"/>
              <w:ind w:firstLine="340"/>
              <w:jc w:val="both"/>
              <w:rPr>
                <w:b/>
                <w:szCs w:val="21"/>
              </w:rPr>
            </w:pPr>
          </w:p>
          <w:p>
            <w:pPr>
              <w:pStyle w:val="3"/>
              <w:adjustRightInd w:val="0"/>
              <w:spacing w:before="24" w:after="24" w:line="240" w:lineRule="atLeast"/>
              <w:ind w:firstLine="340"/>
              <w:jc w:val="both"/>
              <w:rPr>
                <w:bCs w:val="0"/>
                <w:szCs w:val="21"/>
              </w:rPr>
            </w:pPr>
            <w:r>
              <w:rPr>
                <w:b/>
                <w:szCs w:val="21"/>
              </w:rPr>
              <w:t>结果</w:t>
            </w:r>
          </w:p>
        </w:tc>
        <w:tc>
          <w:tcPr>
            <w:tcW w:w="1701" w:type="dxa"/>
            <w:vMerge w:val="restart"/>
            <w:tcBorders>
              <w:tl2br w:val="nil"/>
              <w:tr2bl w:val="nil"/>
            </w:tcBorders>
            <w:vAlign w:val="center"/>
          </w:tcPr>
          <w:p>
            <w:pPr>
              <w:spacing w:line="240" w:lineRule="exact"/>
              <w:jc w:val="center"/>
              <w:rPr>
                <w:b/>
                <w:szCs w:val="21"/>
              </w:rPr>
            </w:pPr>
            <w:r>
              <w:rPr>
                <w:rFonts w:hint="eastAsia"/>
                <w:b/>
                <w:bCs/>
                <w:szCs w:val="21"/>
              </w:rPr>
              <w:t>渗滤液处理设施进口</w:t>
            </w:r>
          </w:p>
        </w:tc>
        <w:tc>
          <w:tcPr>
            <w:tcW w:w="1417" w:type="dxa"/>
            <w:vMerge w:val="restart"/>
            <w:tcBorders>
              <w:tl2br w:val="nil"/>
              <w:tr2bl w:val="nil"/>
            </w:tcBorders>
            <w:vAlign w:val="center"/>
          </w:tcPr>
          <w:p>
            <w:pPr>
              <w:spacing w:line="240" w:lineRule="exact"/>
              <w:jc w:val="center"/>
              <w:rPr>
                <w:b/>
                <w:szCs w:val="21"/>
              </w:rPr>
            </w:pPr>
            <w:r>
              <w:rPr>
                <w:rFonts w:hint="eastAsia"/>
                <w:b/>
                <w:szCs w:val="21"/>
              </w:rPr>
              <w:t>渗滤液处理设施出口</w:t>
            </w:r>
          </w:p>
        </w:tc>
        <w:tc>
          <w:tcPr>
            <w:tcW w:w="2127" w:type="dxa"/>
            <w:gridSpan w:val="2"/>
            <w:vMerge w:val="restart"/>
            <w:tcBorders>
              <w:tl2br w:val="nil"/>
              <w:tr2bl w:val="nil"/>
            </w:tcBorders>
            <w:vAlign w:val="center"/>
          </w:tcPr>
          <w:p>
            <w:pPr>
              <w:pStyle w:val="3"/>
              <w:adjustRightInd w:val="0"/>
              <w:spacing w:before="24" w:after="24" w:line="240" w:lineRule="atLeast"/>
              <w:rPr>
                <w:b/>
                <w:szCs w:val="21"/>
              </w:rPr>
            </w:pPr>
            <w:r>
              <w:rPr>
                <w:b/>
                <w:szCs w:val="21"/>
              </w:rPr>
              <w:t>GB16889-2008</w:t>
            </w:r>
          </w:p>
        </w:tc>
        <w:tc>
          <w:tcPr>
            <w:tcW w:w="2126" w:type="dxa"/>
            <w:gridSpan w:val="2"/>
            <w:tcBorders>
              <w:tl2br w:val="nil"/>
              <w:tr2bl w:val="nil"/>
            </w:tcBorders>
            <w:vAlign w:val="center"/>
          </w:tcPr>
          <w:p>
            <w:pPr>
              <w:pStyle w:val="3"/>
              <w:adjustRightInd w:val="0"/>
              <w:spacing w:before="24" w:after="24" w:line="240" w:lineRule="atLeast"/>
              <w:rPr>
                <w:b/>
                <w:szCs w:val="21"/>
              </w:rPr>
            </w:pPr>
            <w:r>
              <w:rPr>
                <w:b/>
                <w:szCs w:val="21"/>
              </w:rPr>
              <w:t>GB/T18920­20</w:t>
            </w:r>
            <w:r>
              <w:rPr>
                <w:rFonts w:hint="eastAsia"/>
                <w:b/>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tblHeader/>
          <w:jc w:val="center"/>
        </w:trPr>
        <w:tc>
          <w:tcPr>
            <w:tcW w:w="2077" w:type="dxa"/>
            <w:gridSpan w:val="2"/>
            <w:vMerge w:val="continue"/>
            <w:tcBorders>
              <w:tl2br w:val="nil"/>
              <w:tr2bl w:val="nil"/>
            </w:tcBorders>
            <w:vAlign w:val="center"/>
          </w:tcPr>
          <w:p>
            <w:pPr>
              <w:pStyle w:val="3"/>
              <w:adjustRightInd w:val="0"/>
              <w:spacing w:before="24" w:after="24" w:line="240" w:lineRule="atLeast"/>
              <w:ind w:firstLine="400"/>
              <w:jc w:val="both"/>
              <w:rPr>
                <w:bCs w:val="0"/>
                <w:szCs w:val="21"/>
              </w:rPr>
            </w:pPr>
          </w:p>
        </w:tc>
        <w:tc>
          <w:tcPr>
            <w:tcW w:w="1701" w:type="dxa"/>
            <w:vMerge w:val="continue"/>
            <w:tcBorders>
              <w:tl2br w:val="nil"/>
              <w:tr2bl w:val="nil"/>
            </w:tcBorders>
            <w:vAlign w:val="center"/>
          </w:tcPr>
          <w:p>
            <w:pPr>
              <w:pStyle w:val="3"/>
              <w:adjustRightInd w:val="0"/>
              <w:spacing w:before="24" w:after="24" w:line="240" w:lineRule="atLeast"/>
              <w:ind w:firstLine="402"/>
              <w:rPr>
                <w:b/>
                <w:szCs w:val="21"/>
              </w:rPr>
            </w:pPr>
          </w:p>
        </w:tc>
        <w:tc>
          <w:tcPr>
            <w:tcW w:w="1417" w:type="dxa"/>
            <w:vMerge w:val="continue"/>
            <w:tcBorders>
              <w:tl2br w:val="nil"/>
              <w:tr2bl w:val="nil"/>
            </w:tcBorders>
            <w:vAlign w:val="center"/>
          </w:tcPr>
          <w:p>
            <w:pPr>
              <w:pStyle w:val="3"/>
              <w:adjustRightInd w:val="0"/>
              <w:spacing w:before="24" w:after="24" w:line="240" w:lineRule="atLeast"/>
              <w:ind w:firstLine="402"/>
              <w:rPr>
                <w:b/>
                <w:szCs w:val="21"/>
              </w:rPr>
            </w:pPr>
          </w:p>
        </w:tc>
        <w:tc>
          <w:tcPr>
            <w:tcW w:w="2127" w:type="dxa"/>
            <w:gridSpan w:val="2"/>
            <w:vMerge w:val="continue"/>
            <w:tcBorders>
              <w:tl2br w:val="nil"/>
              <w:tr2bl w:val="nil"/>
            </w:tcBorders>
            <w:vAlign w:val="center"/>
          </w:tcPr>
          <w:p>
            <w:pPr>
              <w:spacing w:line="240" w:lineRule="exact"/>
              <w:jc w:val="center"/>
              <w:rPr>
                <w:b/>
                <w:bCs/>
                <w:szCs w:val="21"/>
              </w:rPr>
            </w:pPr>
          </w:p>
        </w:tc>
        <w:tc>
          <w:tcPr>
            <w:tcW w:w="2126" w:type="dxa"/>
            <w:gridSpan w:val="2"/>
            <w:tcBorders>
              <w:tl2br w:val="nil"/>
              <w:tr2bl w:val="nil"/>
            </w:tcBorders>
            <w:vAlign w:val="center"/>
          </w:tcPr>
          <w:p>
            <w:pPr>
              <w:spacing w:line="240" w:lineRule="exact"/>
              <w:jc w:val="center"/>
              <w:rPr>
                <w:b/>
                <w:bCs/>
                <w:szCs w:val="21"/>
              </w:rPr>
            </w:pPr>
            <w:r>
              <w:rPr>
                <w:b/>
                <w:bCs/>
                <w:szCs w:val="21"/>
              </w:rPr>
              <w:t>城市绿化</w:t>
            </w:r>
            <w:r>
              <w:rPr>
                <w:rFonts w:hint="eastAsia"/>
                <w:b/>
                <w:bCs/>
                <w:szCs w:val="21"/>
              </w:rPr>
              <w:t>、道路清扫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tblHeader/>
          <w:jc w:val="center"/>
        </w:trPr>
        <w:tc>
          <w:tcPr>
            <w:tcW w:w="2077" w:type="dxa"/>
            <w:gridSpan w:val="2"/>
            <w:vMerge w:val="continue"/>
            <w:tcBorders>
              <w:tl2br w:val="nil"/>
              <w:tr2bl w:val="nil"/>
            </w:tcBorders>
            <w:vAlign w:val="center"/>
          </w:tcPr>
          <w:p>
            <w:pPr>
              <w:pStyle w:val="3"/>
              <w:adjustRightInd w:val="0"/>
              <w:spacing w:before="24" w:after="24" w:line="240" w:lineRule="atLeast"/>
              <w:ind w:firstLine="400"/>
              <w:jc w:val="both"/>
              <w:rPr>
                <w:bCs w:val="0"/>
                <w:szCs w:val="21"/>
              </w:rPr>
            </w:pPr>
          </w:p>
        </w:tc>
        <w:tc>
          <w:tcPr>
            <w:tcW w:w="1701" w:type="dxa"/>
            <w:vMerge w:val="continue"/>
            <w:tcBorders>
              <w:tl2br w:val="nil"/>
              <w:tr2bl w:val="nil"/>
            </w:tcBorders>
            <w:vAlign w:val="center"/>
          </w:tcPr>
          <w:p>
            <w:pPr>
              <w:spacing w:line="240" w:lineRule="exact"/>
              <w:jc w:val="center"/>
              <w:rPr>
                <w:b/>
                <w:szCs w:val="21"/>
              </w:rPr>
            </w:pPr>
          </w:p>
        </w:tc>
        <w:tc>
          <w:tcPr>
            <w:tcW w:w="1417" w:type="dxa"/>
            <w:vMerge w:val="continue"/>
            <w:tcBorders>
              <w:tl2br w:val="nil"/>
              <w:tr2bl w:val="nil"/>
            </w:tcBorders>
            <w:vAlign w:val="center"/>
          </w:tcPr>
          <w:p>
            <w:pPr>
              <w:spacing w:line="240" w:lineRule="exact"/>
              <w:jc w:val="center"/>
              <w:rPr>
                <w:b/>
                <w:szCs w:val="21"/>
              </w:rPr>
            </w:pPr>
          </w:p>
        </w:tc>
        <w:tc>
          <w:tcPr>
            <w:tcW w:w="993" w:type="dxa"/>
            <w:tcBorders>
              <w:tl2br w:val="nil"/>
              <w:tr2bl w:val="nil"/>
            </w:tcBorders>
            <w:vAlign w:val="center"/>
          </w:tcPr>
          <w:p>
            <w:pPr>
              <w:spacing w:line="240" w:lineRule="exact"/>
              <w:jc w:val="center"/>
              <w:rPr>
                <w:b/>
                <w:szCs w:val="21"/>
              </w:rPr>
            </w:pPr>
            <w:r>
              <w:rPr>
                <w:b/>
                <w:bCs/>
                <w:szCs w:val="21"/>
              </w:rPr>
              <w:t>标准值</w:t>
            </w:r>
          </w:p>
        </w:tc>
        <w:tc>
          <w:tcPr>
            <w:tcW w:w="1134" w:type="dxa"/>
            <w:tcBorders>
              <w:tl2br w:val="nil"/>
              <w:tr2bl w:val="nil"/>
            </w:tcBorders>
            <w:vAlign w:val="center"/>
          </w:tcPr>
          <w:p>
            <w:pPr>
              <w:spacing w:line="240" w:lineRule="exact"/>
              <w:jc w:val="center"/>
              <w:rPr>
                <w:b/>
                <w:szCs w:val="21"/>
              </w:rPr>
            </w:pPr>
            <w:r>
              <w:rPr>
                <w:b/>
                <w:szCs w:val="21"/>
              </w:rPr>
              <w:t>达标</w:t>
            </w:r>
            <w:r>
              <w:rPr>
                <w:b/>
                <w:bCs/>
                <w:szCs w:val="21"/>
              </w:rPr>
              <w:t>情况</w:t>
            </w:r>
          </w:p>
        </w:tc>
        <w:tc>
          <w:tcPr>
            <w:tcW w:w="992" w:type="dxa"/>
            <w:tcBorders>
              <w:tl2br w:val="nil"/>
              <w:tr2bl w:val="nil"/>
            </w:tcBorders>
            <w:vAlign w:val="center"/>
          </w:tcPr>
          <w:p>
            <w:pPr>
              <w:spacing w:line="240" w:lineRule="exact"/>
              <w:jc w:val="center"/>
              <w:rPr>
                <w:b/>
                <w:bCs/>
                <w:szCs w:val="21"/>
              </w:rPr>
            </w:pPr>
            <w:r>
              <w:rPr>
                <w:b/>
                <w:bCs/>
                <w:szCs w:val="21"/>
              </w:rPr>
              <w:t>标准值</w:t>
            </w:r>
          </w:p>
        </w:tc>
        <w:tc>
          <w:tcPr>
            <w:tcW w:w="1134" w:type="dxa"/>
            <w:tcBorders>
              <w:tl2br w:val="nil"/>
              <w:tr2bl w:val="nil"/>
            </w:tcBorders>
            <w:vAlign w:val="center"/>
          </w:tcPr>
          <w:p>
            <w:pPr>
              <w:spacing w:line="240" w:lineRule="exact"/>
              <w:jc w:val="center"/>
              <w:rPr>
                <w:b/>
                <w:bCs/>
                <w:color w:val="000000"/>
                <w:kern w:val="0"/>
                <w:szCs w:val="21"/>
              </w:rPr>
            </w:pPr>
            <w:r>
              <w:rPr>
                <w:b/>
                <w:bCs/>
                <w:szCs w:val="21"/>
              </w:rPr>
              <w:t>达标</w:t>
            </w:r>
            <w:r>
              <w:rPr>
                <w:b/>
                <w:szCs w:val="21"/>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tLeast"/>
              <w:rPr>
                <w:bCs w:val="0"/>
                <w:color w:val="auto"/>
                <w:szCs w:val="21"/>
              </w:rPr>
            </w:pPr>
            <w:r>
              <w:rPr>
                <w:bCs w:val="0"/>
                <w:color w:val="auto"/>
                <w:szCs w:val="21"/>
              </w:rPr>
              <w:t>PH</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无量纲</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7.97</w:t>
            </w:r>
            <w:r>
              <w:rPr>
                <w:bCs w:val="0"/>
                <w:szCs w:val="21"/>
              </w:rPr>
              <w:t>~</w:t>
            </w:r>
            <w:r>
              <w:rPr>
                <w:rFonts w:hint="eastAsia"/>
                <w:bCs w:val="0"/>
                <w:szCs w:val="21"/>
              </w:rPr>
              <w:t>8.63</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7.67</w:t>
            </w:r>
            <w:r>
              <w:rPr>
                <w:bCs w:val="0"/>
                <w:szCs w:val="21"/>
              </w:rPr>
              <w:t>~</w:t>
            </w:r>
            <w:r>
              <w:rPr>
                <w:rFonts w:hint="eastAsia"/>
                <w:bCs w:val="0"/>
                <w:szCs w:val="21"/>
              </w:rPr>
              <w:t>7.94</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6~9</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tabs>
                <w:tab w:val="left" w:pos="640"/>
              </w:tabs>
              <w:adjustRightInd w:val="0"/>
              <w:spacing w:line="240" w:lineRule="exact"/>
              <w:jc w:val="center"/>
              <w:rPr>
                <w:szCs w:val="21"/>
              </w:rPr>
            </w:pPr>
            <w:r>
              <w:rPr>
                <w:szCs w:val="21"/>
              </w:rPr>
              <w:t>COD</w:t>
            </w:r>
            <w:r>
              <w:rPr>
                <w:szCs w:val="21"/>
                <w:vertAlign w:val="subscript"/>
              </w:rPr>
              <w:t>cr</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897</w:t>
            </w:r>
            <w:r>
              <w:rPr>
                <w:bCs w:val="0"/>
                <w:szCs w:val="21"/>
              </w:rPr>
              <w:t>~</w:t>
            </w:r>
            <w:r>
              <w:rPr>
                <w:rFonts w:hint="eastAsia"/>
                <w:bCs w:val="0"/>
                <w:szCs w:val="21"/>
              </w:rPr>
              <w:t>984</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16</w:t>
            </w:r>
            <w:r>
              <w:rPr>
                <w:bCs w:val="0"/>
                <w:szCs w:val="21"/>
              </w:rPr>
              <w:t>~</w:t>
            </w:r>
            <w:r>
              <w:rPr>
                <w:rFonts w:hint="eastAsia"/>
                <w:bCs w:val="0"/>
                <w:szCs w:val="21"/>
              </w:rPr>
              <w:t>28</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60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bCs w:val="0"/>
                <w:color w:val="auto"/>
                <w:szCs w:val="21"/>
              </w:rPr>
              <w:t>BOD</w:t>
            </w:r>
            <w:r>
              <w:rPr>
                <w:bCs w:val="0"/>
                <w:color w:val="auto"/>
                <w:szCs w:val="21"/>
                <w:vertAlign w:val="subscript"/>
              </w:rPr>
              <w:t>5</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451</w:t>
            </w:r>
            <w:r>
              <w:rPr>
                <w:bCs w:val="0"/>
                <w:szCs w:val="21"/>
              </w:rPr>
              <w:t>~</w:t>
            </w:r>
            <w:r>
              <w:rPr>
                <w:rFonts w:hint="eastAsia"/>
                <w:bCs w:val="0"/>
                <w:szCs w:val="21"/>
              </w:rPr>
              <w:t>471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5.4</w:t>
            </w:r>
            <w:r>
              <w:rPr>
                <w:bCs w:val="0"/>
                <w:szCs w:val="21"/>
              </w:rPr>
              <w:t>~</w:t>
            </w:r>
            <w:r>
              <w:rPr>
                <w:rFonts w:hint="eastAsia"/>
                <w:bCs w:val="0"/>
                <w:szCs w:val="21"/>
              </w:rPr>
              <w:t>8.5</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color w:val="auto"/>
                <w:szCs w:val="21"/>
              </w:rPr>
            </w:pPr>
            <w:r>
              <w:rPr>
                <w:bCs w:val="0"/>
                <w:color w:val="auto"/>
                <w:szCs w:val="21"/>
              </w:rPr>
              <w:t>氨氮</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369</w:t>
            </w:r>
            <w:r>
              <w:rPr>
                <w:bCs w:val="0"/>
                <w:szCs w:val="21"/>
              </w:rPr>
              <w:t>~</w:t>
            </w:r>
            <w:r>
              <w:rPr>
                <w:rFonts w:hint="eastAsia"/>
                <w:bCs w:val="0"/>
                <w:szCs w:val="21"/>
              </w:rPr>
              <w:t>411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0.90</w:t>
            </w:r>
            <w:r>
              <w:rPr>
                <w:bCs w:val="0"/>
                <w:szCs w:val="21"/>
              </w:rPr>
              <w:t>~</w:t>
            </w:r>
            <w:r>
              <w:rPr>
                <w:rFonts w:hint="eastAsia"/>
                <w:bCs w:val="0"/>
                <w:szCs w:val="21"/>
              </w:rPr>
              <w:t>1.41</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8</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8</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bCs w:val="0"/>
                <w:szCs w:val="21"/>
              </w:rPr>
              <w:t>总氮</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456</w:t>
            </w:r>
            <w:r>
              <w:rPr>
                <w:bCs w:val="0"/>
                <w:szCs w:val="21"/>
              </w:rPr>
              <w:t>~</w:t>
            </w:r>
            <w:r>
              <w:rPr>
                <w:rFonts w:hint="eastAsia"/>
                <w:bCs w:val="0"/>
                <w:szCs w:val="21"/>
              </w:rPr>
              <w:t>501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1.05</w:t>
            </w:r>
            <w:r>
              <w:rPr>
                <w:bCs w:val="0"/>
                <w:szCs w:val="21"/>
              </w:rPr>
              <w:t>~</w:t>
            </w:r>
            <w:r>
              <w:rPr>
                <w:rFonts w:hint="eastAsia"/>
                <w:bCs w:val="0"/>
                <w:szCs w:val="21"/>
              </w:rPr>
              <w:t>2.45</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bCs w:val="0"/>
                <w:szCs w:val="21"/>
              </w:rPr>
              <w:t>SS</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57</w:t>
            </w:r>
            <w:r>
              <w:rPr>
                <w:bCs w:val="0"/>
                <w:szCs w:val="21"/>
              </w:rPr>
              <w:t>~</w:t>
            </w:r>
            <w:r>
              <w:rPr>
                <w:rFonts w:hint="eastAsia"/>
                <w:bCs w:val="0"/>
                <w:szCs w:val="21"/>
              </w:rPr>
              <w:t>71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4</w:t>
            </w:r>
            <w:r>
              <w:rPr>
                <w:bCs w:val="0"/>
                <w:szCs w:val="21"/>
              </w:rPr>
              <w:t>~</w:t>
            </w:r>
            <w:r>
              <w:rPr>
                <w:rFonts w:hint="eastAsia"/>
                <w:bCs w:val="0"/>
                <w:szCs w:val="21"/>
              </w:rPr>
              <w:t>7</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30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总磷</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7.92</w:t>
            </w:r>
            <w:r>
              <w:rPr>
                <w:bCs w:val="0"/>
                <w:szCs w:val="21"/>
              </w:rPr>
              <w:t>~</w:t>
            </w:r>
            <w:r>
              <w:rPr>
                <w:rFonts w:hint="eastAsia"/>
                <w:bCs w:val="0"/>
                <w:szCs w:val="21"/>
              </w:rPr>
              <w:t>8.63</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0.21</w:t>
            </w:r>
            <w:r>
              <w:rPr>
                <w:bCs w:val="0"/>
                <w:szCs w:val="21"/>
              </w:rPr>
              <w:t>~</w:t>
            </w:r>
            <w:r>
              <w:rPr>
                <w:rFonts w:hint="eastAsia"/>
                <w:bCs w:val="0"/>
                <w:szCs w:val="21"/>
              </w:rPr>
              <w:t>0.32</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1.5</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总汞</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417"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0.001</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总镉</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417"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0.01</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总铬</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0.009</w:t>
            </w:r>
            <w:r>
              <w:rPr>
                <w:bCs w:val="0"/>
                <w:szCs w:val="21"/>
              </w:rPr>
              <w:t>~</w:t>
            </w:r>
            <w:r>
              <w:rPr>
                <w:rFonts w:hint="eastAsia"/>
                <w:bCs w:val="0"/>
                <w:szCs w:val="21"/>
              </w:rPr>
              <w:t>0.012</w:t>
            </w:r>
          </w:p>
        </w:tc>
        <w:tc>
          <w:tcPr>
            <w:tcW w:w="1417"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0.1</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六价铬</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0.007</w:t>
            </w:r>
            <w:r>
              <w:rPr>
                <w:bCs w:val="0"/>
                <w:szCs w:val="21"/>
              </w:rPr>
              <w:t>~</w:t>
            </w:r>
            <w:r>
              <w:rPr>
                <w:rFonts w:hint="eastAsia"/>
                <w:bCs w:val="0"/>
                <w:szCs w:val="21"/>
              </w:rPr>
              <w:t>0.011</w:t>
            </w:r>
          </w:p>
        </w:tc>
        <w:tc>
          <w:tcPr>
            <w:tcW w:w="1417"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0.05</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总砷</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0.004</w:t>
            </w:r>
            <w:r>
              <w:rPr>
                <w:bCs w:val="0"/>
                <w:szCs w:val="21"/>
              </w:rPr>
              <w:t>~</w:t>
            </w:r>
            <w:r>
              <w:rPr>
                <w:rFonts w:hint="eastAsia"/>
                <w:bCs w:val="0"/>
                <w:szCs w:val="21"/>
              </w:rPr>
              <w:t>0.007</w:t>
            </w:r>
          </w:p>
        </w:tc>
        <w:tc>
          <w:tcPr>
            <w:tcW w:w="1417"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0.1</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总铅</w:t>
            </w:r>
          </w:p>
        </w:tc>
        <w:tc>
          <w:tcPr>
            <w:tcW w:w="1068" w:type="dxa"/>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417"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0.1</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rPr>
                <w:bCs w:val="0"/>
                <w:szCs w:val="21"/>
              </w:rPr>
            </w:pPr>
            <w:r>
              <w:rPr>
                <w:rFonts w:hint="eastAsia"/>
                <w:bCs w:val="0"/>
                <w:szCs w:val="21"/>
              </w:rPr>
              <w:t>色度</w:t>
            </w:r>
          </w:p>
        </w:tc>
        <w:tc>
          <w:tcPr>
            <w:tcW w:w="1068"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稀释倍数</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褐色液体</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5</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30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30</w:t>
            </w:r>
          </w:p>
        </w:tc>
        <w:tc>
          <w:tcPr>
            <w:tcW w:w="1134"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84" w:hRule="exact"/>
          <w:jc w:val="center"/>
        </w:trPr>
        <w:tc>
          <w:tcPr>
            <w:tcW w:w="1009"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粪大肠菌群数</w:t>
            </w:r>
          </w:p>
        </w:tc>
        <w:tc>
          <w:tcPr>
            <w:tcW w:w="1068"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个/L</w:t>
            </w:r>
          </w:p>
        </w:tc>
        <w:tc>
          <w:tcPr>
            <w:tcW w:w="170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1.9</w:t>
            </w:r>
            <w:r>
              <w:rPr>
                <w:rFonts w:ascii="Arial" w:hAnsi="Arial" w:cs="Arial"/>
                <w:bCs w:val="0"/>
                <w:szCs w:val="21"/>
              </w:rPr>
              <w:t>×</w:t>
            </w:r>
            <w:r>
              <w:rPr>
                <w:rFonts w:hint="eastAsia"/>
                <w:bCs w:val="0"/>
                <w:szCs w:val="21"/>
              </w:rPr>
              <w:t>10</w:t>
            </w:r>
            <w:r>
              <w:rPr>
                <w:rFonts w:hint="eastAsia"/>
                <w:bCs w:val="0"/>
                <w:szCs w:val="21"/>
                <w:vertAlign w:val="superscript"/>
              </w:rPr>
              <w:t>5</w:t>
            </w:r>
            <w:r>
              <w:rPr>
                <w:bCs w:val="0"/>
                <w:szCs w:val="21"/>
              </w:rPr>
              <w:t>~</w:t>
            </w:r>
            <w:r>
              <w:rPr>
                <w:rFonts w:hint="eastAsia"/>
                <w:bCs w:val="0"/>
                <w:szCs w:val="21"/>
              </w:rPr>
              <w:t>3.9</w:t>
            </w:r>
            <w:r>
              <w:rPr>
                <w:rFonts w:ascii="Arial" w:hAnsi="Arial" w:cs="Arial"/>
                <w:bCs w:val="0"/>
                <w:szCs w:val="21"/>
              </w:rPr>
              <w:t>×</w:t>
            </w:r>
            <w:r>
              <w:rPr>
                <w:rFonts w:hint="eastAsia"/>
                <w:bCs w:val="0"/>
                <w:szCs w:val="21"/>
              </w:rPr>
              <w:t>10</w:t>
            </w:r>
            <w:r>
              <w:rPr>
                <w:rFonts w:hint="eastAsia"/>
                <w:bCs w:val="0"/>
                <w:szCs w:val="21"/>
                <w:vertAlign w:val="superscript"/>
              </w:rPr>
              <w:t>5</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210</w:t>
            </w:r>
            <w:r>
              <w:rPr>
                <w:bCs w:val="0"/>
                <w:szCs w:val="21"/>
              </w:rPr>
              <w:t>~</w:t>
            </w:r>
            <w:r>
              <w:rPr>
                <w:rFonts w:hint="eastAsia"/>
                <w:bCs w:val="0"/>
                <w:szCs w:val="21"/>
              </w:rPr>
              <w:t>380</w:t>
            </w:r>
          </w:p>
        </w:tc>
        <w:tc>
          <w:tcPr>
            <w:tcW w:w="993"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10000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c>
          <w:tcPr>
            <w:tcW w:w="992"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1" w:hRule="exact"/>
          <w:jc w:val="center"/>
        </w:trPr>
        <w:tc>
          <w:tcPr>
            <w:tcW w:w="1009" w:type="dxa"/>
            <w:tcBorders>
              <w:tl2br w:val="nil"/>
              <w:tr2bl w:val="nil"/>
            </w:tcBorders>
            <w:vAlign w:val="center"/>
          </w:tcPr>
          <w:p>
            <w:pPr>
              <w:pStyle w:val="3"/>
              <w:adjustRightInd w:val="0"/>
              <w:spacing w:before="24" w:after="24" w:line="240" w:lineRule="exact"/>
              <w:rPr>
                <w:bCs w:val="0"/>
                <w:szCs w:val="21"/>
              </w:rPr>
            </w:pPr>
            <w:r>
              <w:rPr>
                <w:rFonts w:hint="eastAsia"/>
              </w:rPr>
              <w:t>大肠埃希氏菌</w:t>
            </w:r>
          </w:p>
        </w:tc>
        <w:tc>
          <w:tcPr>
            <w:tcW w:w="1068" w:type="dxa"/>
            <w:tcBorders>
              <w:tl2br w:val="nil"/>
              <w:tr2bl w:val="nil"/>
            </w:tcBorders>
            <w:vAlign w:val="center"/>
          </w:tcPr>
          <w:p>
            <w:pPr>
              <w:pStyle w:val="3"/>
              <w:adjustRightInd w:val="0"/>
              <w:spacing w:before="24" w:after="24" w:line="240" w:lineRule="exact"/>
              <w:rPr>
                <w:bCs w:val="0"/>
                <w:szCs w:val="21"/>
              </w:rPr>
            </w:pPr>
            <w:r>
              <w:rPr>
                <w:rFonts w:hint="eastAsia"/>
                <w:szCs w:val="21"/>
              </w:rPr>
              <w:t>CFU/100mL</w:t>
            </w:r>
          </w:p>
        </w:tc>
        <w:tc>
          <w:tcPr>
            <w:tcW w:w="170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39</w:t>
            </w:r>
            <w:r>
              <w:rPr>
                <w:bCs w:val="0"/>
                <w:szCs w:val="21"/>
              </w:rPr>
              <w:t>~</w:t>
            </w:r>
            <w:r>
              <w:rPr>
                <w:rFonts w:hint="eastAsia"/>
                <w:bCs w:val="0"/>
                <w:szCs w:val="21"/>
              </w:rPr>
              <w:t>61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&lt;3</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rPr>
                <w:rFonts w:hint="eastAsia"/>
              </w:rPr>
              <w:t>无</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22" w:hRule="exact"/>
          <w:jc w:val="center"/>
        </w:trPr>
        <w:tc>
          <w:tcPr>
            <w:tcW w:w="1009" w:type="dxa"/>
            <w:tcBorders>
              <w:tl2br w:val="nil"/>
              <w:tr2bl w:val="nil"/>
            </w:tcBorders>
            <w:vAlign w:val="center"/>
          </w:tcPr>
          <w:p>
            <w:pPr>
              <w:pStyle w:val="3"/>
              <w:adjustRightInd w:val="0"/>
              <w:spacing w:before="24" w:after="24" w:line="240" w:lineRule="exact"/>
              <w:rPr>
                <w:bCs w:val="0"/>
                <w:szCs w:val="21"/>
              </w:rPr>
            </w:pPr>
            <w:r>
              <w:rPr>
                <w:rFonts w:hint="eastAsia"/>
              </w:rPr>
              <w:t>阴离子表面活性剂</w:t>
            </w:r>
          </w:p>
        </w:tc>
        <w:tc>
          <w:tcPr>
            <w:tcW w:w="1068" w:type="dxa"/>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170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7.51</w:t>
            </w:r>
            <w:r>
              <w:rPr>
                <w:bCs w:val="0"/>
                <w:szCs w:val="21"/>
              </w:rPr>
              <w:t>~</w:t>
            </w:r>
            <w:r>
              <w:rPr>
                <w:rFonts w:hint="eastAsia"/>
                <w:bCs w:val="0"/>
                <w:szCs w:val="21"/>
              </w:rPr>
              <w:t>9.61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0.28</w:t>
            </w:r>
            <w:r>
              <w:rPr>
                <w:bCs w:val="0"/>
                <w:szCs w:val="21"/>
              </w:rPr>
              <w:t>~</w:t>
            </w:r>
            <w:r>
              <w:rPr>
                <w:rFonts w:hint="eastAsia"/>
                <w:bCs w:val="0"/>
                <w:szCs w:val="21"/>
              </w:rPr>
              <w:t>0.50</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t>≤</w:t>
            </w:r>
            <w:r>
              <w:rPr>
                <w:rFonts w:hint="eastAsia"/>
              </w:rPr>
              <w:t>0.5</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exact"/>
              <w:rPr>
                <w:bCs w:val="0"/>
                <w:szCs w:val="21"/>
              </w:rPr>
            </w:pPr>
            <w:r>
              <w:rPr>
                <w:rFonts w:hint="eastAsia"/>
              </w:rPr>
              <w:t>溶解氧</w:t>
            </w:r>
          </w:p>
        </w:tc>
        <w:tc>
          <w:tcPr>
            <w:tcW w:w="1068" w:type="dxa"/>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170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18.6</w:t>
            </w:r>
            <w:r>
              <w:rPr>
                <w:bCs w:val="0"/>
                <w:szCs w:val="21"/>
              </w:rPr>
              <w:t>~</w:t>
            </w:r>
            <w:r>
              <w:rPr>
                <w:rFonts w:hint="eastAsia"/>
                <w:bCs w:val="0"/>
                <w:szCs w:val="21"/>
              </w:rPr>
              <w:t>21.8</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5</w:t>
            </w:r>
            <w:r>
              <w:rPr>
                <w:bCs w:val="0"/>
                <w:szCs w:val="21"/>
              </w:rPr>
              <w:t>~</w:t>
            </w:r>
            <w:r>
              <w:rPr>
                <w:rFonts w:hint="eastAsia"/>
                <w:bCs w:val="0"/>
                <w:szCs w:val="21"/>
              </w:rPr>
              <w:t>6.1</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t>≥</w:t>
            </w:r>
            <w:r>
              <w:rPr>
                <w:rFonts w:hint="eastAsia"/>
              </w:rPr>
              <w:t>2.0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exact"/>
          <w:jc w:val="center"/>
        </w:trPr>
        <w:tc>
          <w:tcPr>
            <w:tcW w:w="1009" w:type="dxa"/>
            <w:tcBorders>
              <w:tl2br w:val="nil"/>
              <w:tr2bl w:val="nil"/>
            </w:tcBorders>
            <w:vAlign w:val="center"/>
          </w:tcPr>
          <w:p>
            <w:pPr>
              <w:pStyle w:val="3"/>
              <w:adjustRightInd w:val="0"/>
              <w:spacing w:before="24" w:after="24" w:line="240" w:lineRule="exact"/>
              <w:rPr>
                <w:bCs w:val="0"/>
                <w:szCs w:val="21"/>
              </w:rPr>
            </w:pPr>
            <w:r>
              <w:rPr>
                <w:rFonts w:hint="eastAsia"/>
              </w:rPr>
              <w:t>溶解性总固体</w:t>
            </w:r>
          </w:p>
        </w:tc>
        <w:tc>
          <w:tcPr>
            <w:tcW w:w="1068" w:type="dxa"/>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170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255</w:t>
            </w:r>
            <w:r>
              <w:rPr>
                <w:bCs w:val="0"/>
                <w:szCs w:val="21"/>
              </w:rPr>
              <w:t>~</w:t>
            </w:r>
            <w:r>
              <w:rPr>
                <w:rFonts w:hint="eastAsia"/>
                <w:bCs w:val="0"/>
                <w:szCs w:val="21"/>
              </w:rPr>
              <w:t>962</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159</w:t>
            </w:r>
            <w:r>
              <w:rPr>
                <w:bCs w:val="0"/>
                <w:szCs w:val="21"/>
              </w:rPr>
              <w:t>~</w:t>
            </w:r>
            <w:r>
              <w:rPr>
                <w:rFonts w:hint="eastAsia"/>
                <w:bCs w:val="0"/>
                <w:szCs w:val="21"/>
              </w:rPr>
              <w:t>302</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rPr>
                <w:bCs w:val="0"/>
                <w:szCs w:val="21"/>
              </w:rPr>
            </w:pPr>
            <w:r>
              <w:t>≤1000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exact"/>
            </w:pPr>
            <w:r>
              <w:rPr>
                <w:rFonts w:hint="eastAsia"/>
              </w:rPr>
              <w:t>嗅</w:t>
            </w:r>
          </w:p>
        </w:tc>
        <w:tc>
          <w:tcPr>
            <w:tcW w:w="1068" w:type="dxa"/>
            <w:tcBorders>
              <w:tl2br w:val="nil"/>
              <w:tr2bl w:val="nil"/>
            </w:tcBorders>
            <w:vAlign w:val="center"/>
          </w:tcPr>
          <w:p>
            <w:pPr>
              <w:pStyle w:val="3"/>
              <w:adjustRightInd w:val="0"/>
              <w:spacing w:before="24" w:after="24" w:line="240" w:lineRule="exact"/>
              <w:rPr>
                <w:szCs w:val="21"/>
              </w:rPr>
            </w:pPr>
          </w:p>
        </w:tc>
        <w:tc>
          <w:tcPr>
            <w:tcW w:w="1701" w:type="dxa"/>
            <w:tcBorders>
              <w:tl2br w:val="nil"/>
              <w:tr2bl w:val="nil"/>
            </w:tcBorders>
            <w:vAlign w:val="center"/>
          </w:tcPr>
          <w:p>
            <w:pPr>
              <w:pStyle w:val="3"/>
              <w:adjustRightInd w:val="0"/>
              <w:spacing w:before="24" w:after="24" w:line="240" w:lineRule="exact"/>
              <w:rPr>
                <w:bCs w:val="0"/>
                <w:szCs w:val="21"/>
              </w:rPr>
            </w:pPr>
            <w:r>
              <w:rPr>
                <w:rFonts w:hint="eastAsia"/>
                <w:bCs w:val="0"/>
                <w:szCs w:val="21"/>
              </w:rPr>
              <w:t>明显</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无</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pPr>
            <w:r>
              <w:rPr>
                <w:rFonts w:hint="eastAsia"/>
              </w:rPr>
              <w:t>无不快感</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1009" w:type="dxa"/>
            <w:tcBorders>
              <w:tl2br w:val="nil"/>
              <w:tr2bl w:val="nil"/>
            </w:tcBorders>
            <w:vAlign w:val="center"/>
          </w:tcPr>
          <w:p>
            <w:pPr>
              <w:pStyle w:val="3"/>
              <w:adjustRightInd w:val="0"/>
              <w:spacing w:before="24" w:after="24" w:line="240" w:lineRule="auto"/>
            </w:pPr>
            <w:r>
              <w:rPr>
                <w:rFonts w:hint="eastAsia"/>
              </w:rPr>
              <w:t>浊度</w:t>
            </w:r>
          </w:p>
        </w:tc>
        <w:tc>
          <w:tcPr>
            <w:tcW w:w="1068" w:type="dxa"/>
            <w:tcBorders>
              <w:tl2br w:val="nil"/>
              <w:tr2bl w:val="nil"/>
            </w:tcBorders>
            <w:vAlign w:val="center"/>
          </w:tcPr>
          <w:p>
            <w:pPr>
              <w:pStyle w:val="3"/>
              <w:adjustRightInd w:val="0"/>
              <w:spacing w:before="24" w:after="24" w:line="240" w:lineRule="atLeast"/>
              <w:rPr>
                <w:szCs w:val="21"/>
              </w:rPr>
            </w:pPr>
            <w:r>
              <w:rPr>
                <w:rFonts w:hint="eastAsia"/>
                <w:szCs w:val="21"/>
              </w:rPr>
              <w:t>NTU</w:t>
            </w:r>
          </w:p>
        </w:tc>
        <w:tc>
          <w:tcPr>
            <w:tcW w:w="1701"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23</w:t>
            </w:r>
            <w:r>
              <w:rPr>
                <w:bCs w:val="0"/>
                <w:szCs w:val="21"/>
              </w:rPr>
              <w:t>~</w:t>
            </w:r>
            <w:r>
              <w:rPr>
                <w:rFonts w:hint="eastAsia"/>
                <w:bCs w:val="0"/>
                <w:szCs w:val="21"/>
              </w:rPr>
              <w:t>31</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4</w:t>
            </w:r>
            <w:r>
              <w:rPr>
                <w:bCs w:val="0"/>
                <w:szCs w:val="21"/>
              </w:rPr>
              <w:t>~</w:t>
            </w:r>
            <w:r>
              <w:rPr>
                <w:rFonts w:hint="eastAsia"/>
                <w:bCs w:val="0"/>
                <w:szCs w:val="21"/>
              </w:rPr>
              <w:t>5</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atLeast"/>
            </w:pPr>
            <w:r>
              <w:t>≤</w:t>
            </w:r>
            <w:r>
              <w:rPr>
                <w:rFonts w:hint="eastAsia"/>
              </w:rPr>
              <w:t>10</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6" w:hRule="exact"/>
          <w:jc w:val="center"/>
        </w:trPr>
        <w:tc>
          <w:tcPr>
            <w:tcW w:w="1009" w:type="dxa"/>
            <w:tcBorders>
              <w:tl2br w:val="nil"/>
              <w:tr2bl w:val="nil"/>
            </w:tcBorders>
            <w:vAlign w:val="center"/>
          </w:tcPr>
          <w:p>
            <w:pPr>
              <w:pStyle w:val="3"/>
              <w:adjustRightInd w:val="0"/>
              <w:spacing w:before="24" w:after="24" w:line="240" w:lineRule="auto"/>
            </w:pPr>
            <w:r>
              <w:rPr>
                <w:rFonts w:hint="eastAsia"/>
              </w:rPr>
              <w:t>总氯</w:t>
            </w:r>
          </w:p>
        </w:tc>
        <w:tc>
          <w:tcPr>
            <w:tcW w:w="1068" w:type="dxa"/>
            <w:tcBorders>
              <w:tl2br w:val="nil"/>
              <w:tr2bl w:val="nil"/>
            </w:tcBorders>
            <w:vAlign w:val="center"/>
          </w:tcPr>
          <w:p>
            <w:pPr>
              <w:pStyle w:val="3"/>
              <w:adjustRightInd w:val="0"/>
              <w:spacing w:before="24" w:after="24" w:line="240" w:lineRule="atLeast"/>
              <w:rPr>
                <w:szCs w:val="21"/>
              </w:rPr>
            </w:pPr>
            <w:r>
              <w:rPr>
                <w:rFonts w:hint="eastAsia"/>
                <w:szCs w:val="21"/>
              </w:rPr>
              <w:t>mg/L</w:t>
            </w:r>
          </w:p>
        </w:tc>
        <w:tc>
          <w:tcPr>
            <w:tcW w:w="1701" w:type="dxa"/>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417" w:type="dxa"/>
            <w:tcBorders>
              <w:tl2br w:val="nil"/>
              <w:tr2bl w:val="nil"/>
            </w:tcBorders>
            <w:vAlign w:val="center"/>
          </w:tcPr>
          <w:p>
            <w:pPr>
              <w:pStyle w:val="3"/>
              <w:adjustRightInd w:val="0"/>
              <w:spacing w:before="24" w:after="24" w:line="240" w:lineRule="atLeast"/>
              <w:rPr>
                <w:bCs w:val="0"/>
                <w:szCs w:val="21"/>
              </w:rPr>
            </w:pPr>
            <w:r>
              <w:rPr>
                <w:rFonts w:hint="eastAsia"/>
                <w:bCs w:val="0"/>
                <w:szCs w:val="21"/>
              </w:rPr>
              <w:t>1.53</w:t>
            </w:r>
            <w:r>
              <w:rPr>
                <w:bCs w:val="0"/>
                <w:szCs w:val="21"/>
              </w:rPr>
              <w:t>~</w:t>
            </w:r>
            <w:r>
              <w:rPr>
                <w:rFonts w:hint="eastAsia"/>
                <w:bCs w:val="0"/>
                <w:szCs w:val="21"/>
              </w:rPr>
              <w:t>2.08</w:t>
            </w:r>
          </w:p>
        </w:tc>
        <w:tc>
          <w:tcPr>
            <w:tcW w:w="993"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992" w:type="dxa"/>
            <w:tcBorders>
              <w:tl2br w:val="nil"/>
              <w:tr2bl w:val="nil"/>
            </w:tcBorders>
            <w:vAlign w:val="center"/>
          </w:tcPr>
          <w:p>
            <w:pPr>
              <w:pStyle w:val="3"/>
              <w:adjustRightInd w:val="0"/>
              <w:spacing w:before="24" w:after="24" w:line="240" w:lineRule="exact"/>
            </w:pPr>
            <w:r>
              <w:t>≥</w:t>
            </w:r>
            <w:r>
              <w:rPr>
                <w:rFonts w:hint="eastAsia"/>
              </w:rPr>
              <w:t>1.0，绿化时不超2.5</w:t>
            </w:r>
          </w:p>
        </w:tc>
        <w:tc>
          <w:tcPr>
            <w:tcW w:w="1134" w:type="dxa"/>
            <w:tcBorders>
              <w:tl2br w:val="nil"/>
              <w:tr2bl w:val="nil"/>
            </w:tcBorders>
            <w:vAlign w:val="center"/>
          </w:tcPr>
          <w:p>
            <w:pPr>
              <w:pStyle w:val="3"/>
              <w:adjustRightInd w:val="0"/>
              <w:spacing w:before="24" w:after="24" w:line="240" w:lineRule="atLeast"/>
              <w:rPr>
                <w:bCs w:val="0"/>
                <w:szCs w:val="21"/>
              </w:rPr>
            </w:pPr>
            <w:r>
              <w:rPr>
                <w:bCs w:val="0"/>
                <w:szCs w:val="21"/>
              </w:rPr>
              <w:t>达标</w:t>
            </w:r>
          </w:p>
        </w:tc>
      </w:tr>
    </w:tbl>
    <w:p>
      <w:pPr>
        <w:pStyle w:val="38"/>
        <w:spacing w:line="480" w:lineRule="exact"/>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w:t>
      </w:r>
      <w:r>
        <w:rPr>
          <w:rFonts w:ascii="Times New Roman" w:hAnsi="Times New Roman" w:eastAsia="宋体" w:cs="Times New Roman"/>
          <w:color w:val="auto"/>
          <w:sz w:val="24"/>
          <w:lang w:val="zh-CN"/>
        </w:rPr>
        <w:t>渗滤液调节池</w:t>
      </w:r>
      <w:r>
        <w:rPr>
          <w:rFonts w:hint="eastAsia" w:ascii="Times New Roman" w:hAnsi="Times New Roman" w:eastAsia="宋体" w:cs="Times New Roman"/>
          <w:color w:val="auto"/>
          <w:sz w:val="24"/>
          <w:lang w:val="zh-CN"/>
        </w:rPr>
        <w:t>容积规模</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库区垃圾滤液经盲沟导排后自流进入北侧坝前提升井，先被泵入渗滤液调节池，然后进入渗滤液处理车间进行处理。本项目渗滤液处理车间设计处理能力40m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/d，生活废水排放量约0.88m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/d，洗车废水排放量约0.68m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/d，逐月渗滤液产生量按《生活垃圾卫生填埋处理技术规范》(GB50869-2013)附录B中的公式进行计算，并按最不利填埋阶段进行考虑。</w:t>
      </w:r>
    </w:p>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参照《生活垃圾卫生填埋处理技术规范》(GB50869-2013)附录C计算方法，本项目渗滤液调节池容积规模估算如下。</w:t>
      </w:r>
    </w:p>
    <w:p>
      <w:pPr>
        <w:snapToGrid w:val="0"/>
        <w:spacing w:line="500" w:lineRule="atLeast"/>
        <w:jc w:val="center"/>
        <w:rPr>
          <w:b/>
          <w:spacing w:val="4"/>
          <w:sz w:val="24"/>
        </w:rPr>
      </w:pPr>
      <w:r>
        <w:rPr>
          <w:rFonts w:hint="eastAsia"/>
          <w:b/>
          <w:spacing w:val="4"/>
          <w:sz w:val="24"/>
        </w:rPr>
        <w:t>表3.4-6  GB50869-2013附录C中调节池容量计算表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66"/>
        <w:gridCol w:w="2196"/>
        <w:gridCol w:w="2004"/>
        <w:gridCol w:w="1932"/>
        <w:gridCol w:w="17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666" w:type="dxa"/>
            <w:tcBorders>
              <w:tl2br w:val="nil"/>
              <w:tr2bl w:val="nil"/>
            </w:tcBorders>
            <w:vAlign w:val="center"/>
          </w:tcPr>
          <w:p>
            <w:pPr>
              <w:spacing w:line="240" w:lineRule="exact"/>
              <w:jc w:val="center"/>
              <w:rPr>
                <w:szCs w:val="21"/>
              </w:rPr>
            </w:pPr>
            <w:r>
              <w:rPr>
                <w:rFonts w:hint="eastAsia"/>
                <w:color w:val="000000"/>
                <w:kern w:val="0"/>
                <w:szCs w:val="21"/>
              </w:rPr>
              <w:t>月份</w:t>
            </w:r>
          </w:p>
        </w:tc>
        <w:tc>
          <w:tcPr>
            <w:tcW w:w="2196" w:type="dxa"/>
            <w:tcBorders>
              <w:tl2br w:val="nil"/>
              <w:tr2bl w:val="nil"/>
            </w:tcBorders>
            <w:vAlign w:val="center"/>
          </w:tcPr>
          <w:p>
            <w:pPr>
              <w:spacing w:line="240" w:lineRule="exact"/>
              <w:jc w:val="center"/>
              <w:rPr>
                <w:color w:val="000000"/>
                <w:kern w:val="0"/>
                <w:szCs w:val="21"/>
              </w:rPr>
            </w:pPr>
            <w:r>
              <w:rPr>
                <w:color w:val="000000"/>
                <w:kern w:val="0"/>
                <w:szCs w:val="21"/>
              </w:rPr>
              <w:t>多年平均逐月</w:t>
            </w:r>
          </w:p>
          <w:p>
            <w:pPr>
              <w:spacing w:line="240" w:lineRule="exact"/>
              <w:jc w:val="center"/>
              <w:rPr>
                <w:szCs w:val="21"/>
              </w:rPr>
            </w:pPr>
            <w:r>
              <w:rPr>
                <w:rFonts w:hint="eastAsia"/>
                <w:color w:val="000000"/>
                <w:kern w:val="0"/>
                <w:szCs w:val="21"/>
              </w:rPr>
              <w:t>降雨量（mm）</w:t>
            </w:r>
          </w:p>
        </w:tc>
        <w:tc>
          <w:tcPr>
            <w:tcW w:w="2004" w:type="dxa"/>
            <w:tcBorders>
              <w:tl2br w:val="nil"/>
              <w:tr2bl w:val="nil"/>
            </w:tcBorders>
            <w:vAlign w:val="center"/>
          </w:tcPr>
          <w:p>
            <w:pPr>
              <w:adjustRightInd w:val="0"/>
              <w:snapToGrid w:val="0"/>
              <w:spacing w:line="240" w:lineRule="exact"/>
              <w:jc w:val="center"/>
              <w:textAlignment w:val="center"/>
              <w:rPr>
                <w:color w:val="000000"/>
                <w:kern w:val="0"/>
                <w:szCs w:val="21"/>
              </w:rPr>
            </w:pPr>
            <w:r>
              <w:rPr>
                <w:rFonts w:hint="eastAsia"/>
                <w:color w:val="000000"/>
                <w:kern w:val="0"/>
                <w:szCs w:val="21"/>
              </w:rPr>
              <w:t>逐月渗滤液</w:t>
            </w:r>
          </w:p>
          <w:p>
            <w:pPr>
              <w:adjustRightInd w:val="0"/>
              <w:snapToGrid w:val="0"/>
              <w:spacing w:line="240" w:lineRule="exact"/>
              <w:jc w:val="center"/>
              <w:textAlignment w:val="center"/>
              <w:rPr>
                <w:szCs w:val="21"/>
              </w:rPr>
            </w:pPr>
            <w:r>
              <w:rPr>
                <w:rFonts w:hint="eastAsia"/>
                <w:color w:val="000000"/>
                <w:kern w:val="0"/>
                <w:szCs w:val="21"/>
              </w:rPr>
              <w:t>产生量（m</w:t>
            </w:r>
            <w:r>
              <w:rPr>
                <w:rFonts w:hint="eastAsia"/>
                <w:color w:val="000000"/>
                <w:kern w:val="0"/>
                <w:szCs w:val="21"/>
                <w:vertAlign w:val="superscript"/>
              </w:rPr>
              <w:t>3</w:t>
            </w:r>
            <w:r>
              <w:rPr>
                <w:rFonts w:hint="eastAsia"/>
                <w:color w:val="000000"/>
                <w:kern w:val="0"/>
                <w:szCs w:val="21"/>
              </w:rPr>
              <w:t>）</w:t>
            </w:r>
          </w:p>
        </w:tc>
        <w:tc>
          <w:tcPr>
            <w:tcW w:w="193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逐月渗滤液</w:t>
            </w:r>
          </w:p>
          <w:p>
            <w:pPr>
              <w:spacing w:line="240" w:lineRule="exact"/>
              <w:jc w:val="center"/>
              <w:rPr>
                <w:szCs w:val="21"/>
              </w:rPr>
            </w:pPr>
            <w:r>
              <w:rPr>
                <w:rFonts w:hint="eastAsia"/>
                <w:color w:val="000000"/>
                <w:kern w:val="0"/>
                <w:szCs w:val="21"/>
              </w:rPr>
              <w:t>处理量（m</w:t>
            </w:r>
            <w:r>
              <w:rPr>
                <w:rFonts w:hint="eastAsia"/>
                <w:color w:val="000000"/>
                <w:kern w:val="0"/>
                <w:szCs w:val="21"/>
                <w:vertAlign w:val="superscript"/>
              </w:rPr>
              <w:t>3</w:t>
            </w:r>
            <w:r>
              <w:rPr>
                <w:rFonts w:hint="eastAsia"/>
                <w:color w:val="000000"/>
                <w:kern w:val="0"/>
                <w:szCs w:val="21"/>
              </w:rPr>
              <w:t>）</w:t>
            </w:r>
          </w:p>
        </w:tc>
        <w:tc>
          <w:tcPr>
            <w:tcW w:w="1721"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逐月渗滤液</w:t>
            </w:r>
          </w:p>
          <w:p>
            <w:pPr>
              <w:spacing w:line="240" w:lineRule="exact"/>
              <w:jc w:val="center"/>
              <w:rPr>
                <w:color w:val="000000"/>
                <w:kern w:val="0"/>
                <w:szCs w:val="21"/>
              </w:rPr>
            </w:pPr>
            <w:r>
              <w:rPr>
                <w:rFonts w:hint="eastAsia"/>
                <w:color w:val="000000"/>
                <w:kern w:val="0"/>
                <w:szCs w:val="21"/>
              </w:rPr>
              <w:t>余量（m</w:t>
            </w:r>
            <w:r>
              <w:rPr>
                <w:rFonts w:hint="eastAsia"/>
                <w:color w:val="000000"/>
                <w:kern w:val="0"/>
                <w:szCs w:val="21"/>
                <w:vertAlign w:val="superscript"/>
              </w:rPr>
              <w:t>3</w:t>
            </w:r>
            <w:r>
              <w:rPr>
                <w:rFonts w:hint="eastAsia"/>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1</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1</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1</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1</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1</w:t>
            </w:r>
            <w:r>
              <w:rPr>
                <w:rFonts w:hint="eastAsia"/>
                <w:color w:val="000000"/>
                <w:kern w:val="0"/>
                <w:szCs w:val="21"/>
              </w:rPr>
              <w:t>-B</w:t>
            </w:r>
            <w:r>
              <w:rPr>
                <w:rFonts w:hint="eastAsia"/>
                <w:color w:val="000000"/>
                <w:kern w:val="0"/>
                <w:szCs w:val="21"/>
                <w:vertAlign w:val="subscript"/>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2</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2</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2</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2</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2</w:t>
            </w:r>
            <w:r>
              <w:rPr>
                <w:rFonts w:hint="eastAsia"/>
                <w:color w:val="000000"/>
                <w:kern w:val="0"/>
                <w:szCs w:val="21"/>
              </w:rPr>
              <w:t>-B</w:t>
            </w:r>
            <w:r>
              <w:rPr>
                <w:rFonts w:hint="eastAsia"/>
                <w:color w:val="000000"/>
                <w:kern w:val="0"/>
                <w:szCs w:val="21"/>
                <w:vertAlign w:val="sub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3</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3</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3</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3</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3</w:t>
            </w:r>
            <w:r>
              <w:rPr>
                <w:rFonts w:hint="eastAsia"/>
                <w:color w:val="000000"/>
                <w:kern w:val="0"/>
                <w:szCs w:val="21"/>
              </w:rPr>
              <w:t>-B</w:t>
            </w:r>
            <w:r>
              <w:rPr>
                <w:rFonts w:hint="eastAsia"/>
                <w:color w:val="000000"/>
                <w:kern w:val="0"/>
                <w:szCs w:val="21"/>
                <w:vertAlign w:val="sub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4</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4</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4</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4</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4</w:t>
            </w:r>
            <w:r>
              <w:rPr>
                <w:rFonts w:hint="eastAsia"/>
                <w:color w:val="000000"/>
                <w:kern w:val="0"/>
                <w:szCs w:val="21"/>
              </w:rPr>
              <w:t>-B</w:t>
            </w:r>
            <w:r>
              <w:rPr>
                <w:rFonts w:hint="eastAsia"/>
                <w:color w:val="000000"/>
                <w:kern w:val="0"/>
                <w:szCs w:val="21"/>
                <w:vertAlign w:val="subscript"/>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5</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5</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5</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5</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5</w:t>
            </w:r>
            <w:r>
              <w:rPr>
                <w:rFonts w:hint="eastAsia"/>
                <w:color w:val="000000"/>
                <w:kern w:val="0"/>
                <w:szCs w:val="21"/>
              </w:rPr>
              <w:t>-B</w:t>
            </w:r>
            <w:r>
              <w:rPr>
                <w:rFonts w:hint="eastAsia"/>
                <w:color w:val="000000"/>
                <w:kern w:val="0"/>
                <w:szCs w:val="21"/>
                <w:vertAlign w:val="subscript"/>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6</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6</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6</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6</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6</w:t>
            </w:r>
            <w:r>
              <w:rPr>
                <w:rFonts w:hint="eastAsia"/>
                <w:color w:val="000000"/>
                <w:kern w:val="0"/>
                <w:szCs w:val="21"/>
              </w:rPr>
              <w:t>-B</w:t>
            </w:r>
            <w:r>
              <w:rPr>
                <w:rFonts w:hint="eastAsia"/>
                <w:color w:val="000000"/>
                <w:kern w:val="0"/>
                <w:szCs w:val="21"/>
                <w:vertAlign w:val="subscript"/>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7</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7</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7</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7</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7</w:t>
            </w:r>
            <w:r>
              <w:rPr>
                <w:rFonts w:hint="eastAsia"/>
                <w:color w:val="000000"/>
                <w:kern w:val="0"/>
                <w:szCs w:val="21"/>
              </w:rPr>
              <w:t>-B</w:t>
            </w:r>
            <w:r>
              <w:rPr>
                <w:rFonts w:hint="eastAsia"/>
                <w:color w:val="000000"/>
                <w:kern w:val="0"/>
                <w:szCs w:val="21"/>
                <w:vertAlign w:val="subscript"/>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8</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8</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8</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8</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8</w:t>
            </w:r>
            <w:r>
              <w:rPr>
                <w:rFonts w:hint="eastAsia"/>
                <w:color w:val="000000"/>
                <w:kern w:val="0"/>
                <w:szCs w:val="21"/>
              </w:rPr>
              <w:t>-B</w:t>
            </w:r>
            <w:r>
              <w:rPr>
                <w:rFonts w:hint="eastAsia"/>
                <w:color w:val="000000"/>
                <w:kern w:val="0"/>
                <w:szCs w:val="21"/>
                <w:vertAlign w:val="subscript"/>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9</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9</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9</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9</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9</w:t>
            </w:r>
            <w:r>
              <w:rPr>
                <w:rFonts w:hint="eastAsia"/>
                <w:color w:val="000000"/>
                <w:kern w:val="0"/>
                <w:szCs w:val="21"/>
              </w:rPr>
              <w:t>-B</w:t>
            </w:r>
            <w:r>
              <w:rPr>
                <w:rFonts w:hint="eastAsia"/>
                <w:color w:val="000000"/>
                <w:kern w:val="0"/>
                <w:szCs w:val="21"/>
                <w:vertAlign w:val="subscript"/>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10</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10</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10</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10</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10</w:t>
            </w:r>
            <w:r>
              <w:rPr>
                <w:rFonts w:hint="eastAsia"/>
                <w:color w:val="000000"/>
                <w:kern w:val="0"/>
                <w:szCs w:val="21"/>
              </w:rPr>
              <w:t>-B</w:t>
            </w:r>
            <w:r>
              <w:rPr>
                <w:rFonts w:hint="eastAsia"/>
                <w:color w:val="000000"/>
                <w:kern w:val="0"/>
                <w:szCs w:val="21"/>
                <w:vertAlign w:val="subscript"/>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11</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11</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11</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11</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11</w:t>
            </w:r>
            <w:r>
              <w:rPr>
                <w:rFonts w:hint="eastAsia"/>
                <w:color w:val="000000"/>
                <w:kern w:val="0"/>
                <w:szCs w:val="21"/>
              </w:rPr>
              <w:t>-B</w:t>
            </w:r>
            <w:r>
              <w:rPr>
                <w:rFonts w:hint="eastAsia"/>
                <w:color w:val="000000"/>
                <w:kern w:val="0"/>
                <w:szCs w:val="21"/>
                <w:vertAlign w:val="subscript"/>
              </w:rPr>
              <w:t>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666" w:type="dxa"/>
            <w:tcBorders>
              <w:tl2br w:val="nil"/>
              <w:tr2bl w:val="nil"/>
            </w:tcBorders>
            <w:vAlign w:val="center"/>
          </w:tcPr>
          <w:p>
            <w:pPr>
              <w:pStyle w:val="63"/>
              <w:spacing w:line="288" w:lineRule="auto"/>
              <w:jc w:val="center"/>
              <w:rPr>
                <w:szCs w:val="21"/>
              </w:rPr>
            </w:pPr>
            <w:r>
              <w:rPr>
                <w:rFonts w:hint="eastAsia"/>
                <w:szCs w:val="21"/>
              </w:rPr>
              <w:t>12</w:t>
            </w:r>
          </w:p>
        </w:tc>
        <w:tc>
          <w:tcPr>
            <w:tcW w:w="2196" w:type="dxa"/>
            <w:tcBorders>
              <w:tl2br w:val="nil"/>
              <w:tr2bl w:val="nil"/>
            </w:tcBorders>
            <w:vAlign w:val="center"/>
          </w:tcPr>
          <w:p>
            <w:pPr>
              <w:spacing w:line="240" w:lineRule="exact"/>
              <w:jc w:val="center"/>
              <w:rPr>
                <w:szCs w:val="21"/>
              </w:rPr>
            </w:pPr>
            <w:r>
              <w:rPr>
                <w:rFonts w:hint="eastAsia"/>
                <w:color w:val="000000"/>
                <w:kern w:val="0"/>
                <w:szCs w:val="21"/>
              </w:rPr>
              <w:t>M</w:t>
            </w:r>
            <w:r>
              <w:rPr>
                <w:rFonts w:hint="eastAsia"/>
                <w:color w:val="000000"/>
                <w:kern w:val="0"/>
                <w:szCs w:val="21"/>
                <w:vertAlign w:val="subscript"/>
              </w:rPr>
              <w:t>12</w:t>
            </w:r>
          </w:p>
        </w:tc>
        <w:tc>
          <w:tcPr>
            <w:tcW w:w="2004" w:type="dxa"/>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A</w:t>
            </w:r>
            <w:r>
              <w:rPr>
                <w:rFonts w:hint="eastAsia"/>
                <w:color w:val="000000"/>
                <w:kern w:val="0"/>
                <w:szCs w:val="21"/>
                <w:vertAlign w:val="subscript"/>
              </w:rPr>
              <w:t>12</w:t>
            </w:r>
          </w:p>
        </w:tc>
        <w:tc>
          <w:tcPr>
            <w:tcW w:w="1932" w:type="dxa"/>
            <w:tcBorders>
              <w:tl2br w:val="nil"/>
              <w:tr2bl w:val="nil"/>
            </w:tcBorders>
            <w:vAlign w:val="center"/>
          </w:tcPr>
          <w:p>
            <w:pPr>
              <w:spacing w:line="240" w:lineRule="exact"/>
              <w:jc w:val="center"/>
              <w:rPr>
                <w:szCs w:val="21"/>
              </w:rPr>
            </w:pPr>
            <w:r>
              <w:rPr>
                <w:rFonts w:hint="eastAsia"/>
                <w:color w:val="000000"/>
                <w:kern w:val="0"/>
                <w:szCs w:val="21"/>
              </w:rPr>
              <w:t>B</w:t>
            </w:r>
            <w:r>
              <w:rPr>
                <w:rFonts w:hint="eastAsia"/>
                <w:color w:val="000000"/>
                <w:kern w:val="0"/>
                <w:szCs w:val="21"/>
                <w:vertAlign w:val="subscript"/>
              </w:rPr>
              <w:t>12</w:t>
            </w:r>
          </w:p>
        </w:tc>
        <w:tc>
          <w:tcPr>
            <w:tcW w:w="1721" w:type="dxa"/>
            <w:tcBorders>
              <w:tl2br w:val="nil"/>
              <w:tr2bl w:val="nil"/>
            </w:tcBorders>
            <w:vAlign w:val="center"/>
          </w:tcPr>
          <w:p>
            <w:pPr>
              <w:spacing w:line="240" w:lineRule="exact"/>
              <w:jc w:val="center"/>
              <w:rPr>
                <w:szCs w:val="21"/>
              </w:rPr>
            </w:pPr>
            <w:r>
              <w:rPr>
                <w:rFonts w:hint="eastAsia"/>
                <w:color w:val="000000"/>
                <w:kern w:val="0"/>
                <w:szCs w:val="21"/>
              </w:rPr>
              <w:t>C</w:t>
            </w:r>
            <w:r>
              <w:rPr>
                <w:rFonts w:hint="eastAsia"/>
                <w:color w:val="000000"/>
                <w:kern w:val="0"/>
                <w:szCs w:val="21"/>
                <w:vertAlign w:val="subscript"/>
              </w:rPr>
              <w:t>1</w:t>
            </w:r>
            <w:r>
              <w:rPr>
                <w:rFonts w:hint="eastAsia"/>
                <w:color w:val="000000"/>
                <w:kern w:val="0"/>
                <w:szCs w:val="21"/>
              </w:rPr>
              <w:t>=A</w:t>
            </w:r>
            <w:r>
              <w:rPr>
                <w:rFonts w:hint="eastAsia"/>
                <w:color w:val="000000"/>
                <w:kern w:val="0"/>
                <w:szCs w:val="21"/>
                <w:vertAlign w:val="subscript"/>
              </w:rPr>
              <w:t>12</w:t>
            </w:r>
            <w:r>
              <w:rPr>
                <w:rFonts w:hint="eastAsia"/>
                <w:color w:val="000000"/>
                <w:kern w:val="0"/>
                <w:szCs w:val="21"/>
              </w:rPr>
              <w:t>-B</w:t>
            </w:r>
            <w:r>
              <w:rPr>
                <w:rFonts w:hint="eastAsia"/>
                <w:color w:val="000000"/>
                <w:kern w:val="0"/>
                <w:szCs w:val="21"/>
                <w:vertAlign w:val="subscript"/>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8519" w:type="dxa"/>
            <w:gridSpan w:val="5"/>
            <w:tcBorders>
              <w:tl2br w:val="nil"/>
              <w:tr2bl w:val="nil"/>
            </w:tcBorders>
            <w:vAlign w:val="center"/>
          </w:tcPr>
          <w:p>
            <w:pPr>
              <w:pStyle w:val="63"/>
              <w:spacing w:line="240" w:lineRule="exact"/>
              <w:jc w:val="center"/>
              <w:rPr>
                <w:szCs w:val="21"/>
              </w:rPr>
            </w:pPr>
            <w:r>
              <w:rPr>
                <w:rFonts w:hint="eastAsia"/>
                <w:b/>
                <w:bCs/>
                <w:szCs w:val="21"/>
              </w:rPr>
              <w:t>备注：将1〜12月中C&gt; 0的月渗沥液余量累计相加，即为需要调节的总容量</w:t>
            </w:r>
          </w:p>
        </w:tc>
      </w:tr>
    </w:tbl>
    <w:p>
      <w:pPr>
        <w:snapToGrid w:val="0"/>
        <w:spacing w:line="500" w:lineRule="atLeast"/>
        <w:jc w:val="center"/>
        <w:rPr>
          <w:b/>
          <w:spacing w:val="4"/>
          <w:sz w:val="24"/>
        </w:rPr>
      </w:pPr>
      <w:r>
        <w:rPr>
          <w:rFonts w:hint="eastAsia"/>
          <w:b/>
          <w:spacing w:val="4"/>
          <w:sz w:val="24"/>
        </w:rPr>
        <w:t>表3.4-7本项目渗滤液调节池容量估算表</w:t>
      </w:r>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77"/>
        <w:gridCol w:w="1489"/>
        <w:gridCol w:w="1358"/>
        <w:gridCol w:w="1142"/>
        <w:gridCol w:w="1346"/>
        <w:gridCol w:w="1394"/>
        <w:gridCol w:w="13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280" w:type="pct"/>
            <w:tcBorders>
              <w:tl2br w:val="nil"/>
              <w:tr2bl w:val="nil"/>
            </w:tcBorders>
            <w:vAlign w:val="center"/>
          </w:tcPr>
          <w:p>
            <w:pPr>
              <w:spacing w:line="240" w:lineRule="exact"/>
              <w:jc w:val="center"/>
              <w:rPr>
                <w:szCs w:val="21"/>
              </w:rPr>
            </w:pPr>
            <w:r>
              <w:rPr>
                <w:rFonts w:hint="eastAsia"/>
                <w:color w:val="000000"/>
                <w:kern w:val="0"/>
                <w:szCs w:val="21"/>
              </w:rPr>
              <w:t>月份</w:t>
            </w:r>
          </w:p>
        </w:tc>
        <w:tc>
          <w:tcPr>
            <w:tcW w:w="874" w:type="pct"/>
            <w:tcBorders>
              <w:tl2br w:val="nil"/>
              <w:tr2bl w:val="nil"/>
            </w:tcBorders>
            <w:vAlign w:val="center"/>
          </w:tcPr>
          <w:p>
            <w:pPr>
              <w:spacing w:line="240" w:lineRule="exact"/>
              <w:jc w:val="center"/>
              <w:rPr>
                <w:szCs w:val="21"/>
              </w:rPr>
            </w:pPr>
            <w:r>
              <w:rPr>
                <w:color w:val="000000"/>
                <w:kern w:val="0"/>
                <w:szCs w:val="21"/>
              </w:rPr>
              <w:t>多年平均逐月</w:t>
            </w:r>
            <w:r>
              <w:rPr>
                <w:rFonts w:hint="eastAsia"/>
                <w:color w:val="000000"/>
                <w:kern w:val="0"/>
                <w:szCs w:val="21"/>
              </w:rPr>
              <w:t>降雨量（mm）</w:t>
            </w:r>
          </w:p>
        </w:tc>
        <w:tc>
          <w:tcPr>
            <w:tcW w:w="797" w:type="pct"/>
            <w:tcBorders>
              <w:tl2br w:val="nil"/>
              <w:tr2bl w:val="nil"/>
            </w:tcBorders>
            <w:vAlign w:val="center"/>
          </w:tcPr>
          <w:p>
            <w:pPr>
              <w:adjustRightInd w:val="0"/>
              <w:snapToGrid w:val="0"/>
              <w:spacing w:line="240" w:lineRule="exact"/>
              <w:jc w:val="center"/>
              <w:textAlignment w:val="center"/>
              <w:rPr>
                <w:szCs w:val="21"/>
              </w:rPr>
            </w:pPr>
            <w:r>
              <w:rPr>
                <w:rFonts w:hint="eastAsia"/>
                <w:color w:val="000000"/>
                <w:kern w:val="0"/>
                <w:szCs w:val="21"/>
              </w:rPr>
              <w:t>逐月渗滤液产生量（m</w:t>
            </w:r>
            <w:r>
              <w:rPr>
                <w:rFonts w:hint="eastAsia"/>
                <w:color w:val="000000"/>
                <w:kern w:val="0"/>
                <w:szCs w:val="21"/>
                <w:vertAlign w:val="superscript"/>
              </w:rPr>
              <w:t>3</w:t>
            </w:r>
            <w:r>
              <w:rPr>
                <w:rFonts w:hint="eastAsia"/>
                <w:color w:val="000000"/>
                <w:kern w:val="0"/>
                <w:szCs w:val="21"/>
              </w:rPr>
              <w:t>）</w:t>
            </w:r>
          </w:p>
        </w:tc>
        <w:tc>
          <w:tcPr>
            <w:tcW w:w="670" w:type="pct"/>
            <w:tcBorders>
              <w:tl2br w:val="nil"/>
              <w:tr2bl w:val="nil"/>
            </w:tcBorders>
            <w:vAlign w:val="center"/>
          </w:tcPr>
          <w:p>
            <w:pPr>
              <w:spacing w:line="240" w:lineRule="exact"/>
              <w:jc w:val="center"/>
              <w:rPr>
                <w:color w:val="000000"/>
                <w:kern w:val="0"/>
                <w:szCs w:val="21"/>
              </w:rPr>
            </w:pPr>
            <w:r>
              <w:rPr>
                <w:rFonts w:hint="eastAsia"/>
                <w:color w:val="000000"/>
                <w:kern w:val="0"/>
                <w:szCs w:val="21"/>
              </w:rPr>
              <w:t>生活污水量（m</w:t>
            </w:r>
            <w:r>
              <w:rPr>
                <w:rFonts w:hint="eastAsia"/>
                <w:color w:val="000000"/>
                <w:kern w:val="0"/>
                <w:szCs w:val="21"/>
                <w:vertAlign w:val="superscript"/>
              </w:rPr>
              <w:t>3</w:t>
            </w:r>
            <w:r>
              <w:rPr>
                <w:rFonts w:hint="eastAsia"/>
                <w:color w:val="000000"/>
                <w:kern w:val="0"/>
                <w:szCs w:val="21"/>
              </w:rPr>
              <w:t>）</w:t>
            </w:r>
          </w:p>
        </w:tc>
        <w:tc>
          <w:tcPr>
            <w:tcW w:w="790" w:type="pct"/>
            <w:tcBorders>
              <w:tl2br w:val="nil"/>
              <w:tr2bl w:val="nil"/>
            </w:tcBorders>
            <w:vAlign w:val="center"/>
          </w:tcPr>
          <w:p>
            <w:pPr>
              <w:spacing w:line="240" w:lineRule="exact"/>
              <w:jc w:val="center"/>
              <w:rPr>
                <w:color w:val="000000"/>
                <w:kern w:val="0"/>
                <w:szCs w:val="21"/>
              </w:rPr>
            </w:pPr>
            <w:r>
              <w:rPr>
                <w:rFonts w:hint="eastAsia"/>
                <w:color w:val="000000"/>
                <w:kern w:val="0"/>
                <w:szCs w:val="21"/>
              </w:rPr>
              <w:t>车辆冲洗废水量（m</w:t>
            </w:r>
            <w:r>
              <w:rPr>
                <w:rFonts w:hint="eastAsia"/>
                <w:color w:val="000000"/>
                <w:kern w:val="0"/>
                <w:szCs w:val="21"/>
                <w:vertAlign w:val="superscript"/>
              </w:rPr>
              <w:t>3</w:t>
            </w:r>
            <w:r>
              <w:rPr>
                <w:rFonts w:hint="eastAsia"/>
                <w:color w:val="000000"/>
                <w:kern w:val="0"/>
                <w:szCs w:val="21"/>
              </w:rPr>
              <w:t>）</w:t>
            </w:r>
          </w:p>
        </w:tc>
        <w:tc>
          <w:tcPr>
            <w:tcW w:w="818" w:type="pct"/>
            <w:tcBorders>
              <w:tl2br w:val="nil"/>
              <w:tr2bl w:val="nil"/>
            </w:tcBorders>
            <w:vAlign w:val="center"/>
          </w:tcPr>
          <w:p>
            <w:pPr>
              <w:spacing w:line="240" w:lineRule="exact"/>
              <w:jc w:val="center"/>
              <w:rPr>
                <w:szCs w:val="21"/>
              </w:rPr>
            </w:pPr>
            <w:r>
              <w:rPr>
                <w:rFonts w:hint="eastAsia"/>
                <w:color w:val="000000"/>
                <w:kern w:val="0"/>
                <w:szCs w:val="21"/>
              </w:rPr>
              <w:t>逐月渗滤液处理量（m</w:t>
            </w:r>
            <w:r>
              <w:rPr>
                <w:rFonts w:hint="eastAsia"/>
                <w:color w:val="000000"/>
                <w:kern w:val="0"/>
                <w:szCs w:val="21"/>
                <w:vertAlign w:val="superscript"/>
              </w:rPr>
              <w:t>3</w:t>
            </w:r>
            <w:r>
              <w:rPr>
                <w:rFonts w:hint="eastAsia"/>
                <w:color w:val="000000"/>
                <w:kern w:val="0"/>
                <w:szCs w:val="21"/>
              </w:rPr>
              <w:t>）</w:t>
            </w:r>
          </w:p>
        </w:tc>
        <w:tc>
          <w:tcPr>
            <w:tcW w:w="769" w:type="pct"/>
            <w:tcBorders>
              <w:tl2br w:val="nil"/>
              <w:tr2bl w:val="nil"/>
            </w:tcBorders>
            <w:vAlign w:val="center"/>
          </w:tcPr>
          <w:p>
            <w:pPr>
              <w:spacing w:line="240" w:lineRule="exact"/>
              <w:jc w:val="center"/>
              <w:rPr>
                <w:color w:val="000000"/>
                <w:kern w:val="0"/>
                <w:szCs w:val="21"/>
              </w:rPr>
            </w:pPr>
            <w:r>
              <w:rPr>
                <w:rFonts w:hint="eastAsia"/>
                <w:color w:val="000000"/>
                <w:kern w:val="0"/>
                <w:szCs w:val="21"/>
              </w:rPr>
              <w:t>逐月渗滤液余量（m</w:t>
            </w:r>
            <w:r>
              <w:rPr>
                <w:rFonts w:hint="eastAsia"/>
                <w:color w:val="000000"/>
                <w:kern w:val="0"/>
                <w:szCs w:val="21"/>
                <w:vertAlign w:val="superscript"/>
              </w:rPr>
              <w:t>3</w:t>
            </w:r>
            <w:r>
              <w:rPr>
                <w:rFonts w:hint="eastAsia"/>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1</w:t>
            </w:r>
          </w:p>
        </w:tc>
        <w:tc>
          <w:tcPr>
            <w:tcW w:w="1489" w:type="dxa"/>
            <w:tcBorders>
              <w:tl2br w:val="nil"/>
              <w:tr2bl w:val="nil"/>
            </w:tcBorders>
            <w:vAlign w:val="center"/>
          </w:tcPr>
          <w:p>
            <w:pPr>
              <w:jc w:val="center"/>
              <w:textAlignment w:val="center"/>
              <w:rPr>
                <w:szCs w:val="21"/>
              </w:rPr>
            </w:pPr>
            <w:r>
              <w:rPr>
                <w:color w:val="000000"/>
                <w:kern w:val="0"/>
                <w:szCs w:val="21"/>
              </w:rPr>
              <w:t>1.8</w:t>
            </w:r>
          </w:p>
        </w:tc>
        <w:tc>
          <w:tcPr>
            <w:tcW w:w="1358" w:type="dxa"/>
            <w:tcBorders>
              <w:tl2br w:val="nil"/>
              <w:tr2bl w:val="nil"/>
            </w:tcBorders>
            <w:vAlign w:val="center"/>
          </w:tcPr>
          <w:p>
            <w:pPr>
              <w:jc w:val="center"/>
              <w:textAlignment w:val="center"/>
              <w:rPr>
                <w:szCs w:val="21"/>
              </w:rPr>
            </w:pPr>
            <w:r>
              <w:rPr>
                <w:rFonts w:hint="eastAsia"/>
                <w:szCs w:val="21"/>
              </w:rPr>
              <w:t>23.06</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szCs w:val="21"/>
              </w:rPr>
            </w:pPr>
            <w:r>
              <w:rPr>
                <w:rFonts w:hint="eastAsia" w:ascii="宋体" w:hAnsi="宋体" w:cs="宋体"/>
                <w:color w:val="000000"/>
                <w:kern w:val="0"/>
                <w:szCs w:val="21"/>
              </w:rPr>
              <w:t>-</w:t>
            </w:r>
            <w:r>
              <w:rPr>
                <w:rFonts w:hint="eastAsia"/>
                <w:szCs w:val="21"/>
              </w:rPr>
              <w:t>1168</w:t>
            </w:r>
            <w:r>
              <w:rPr>
                <w:rFonts w:hint="eastAsia" w:ascii="宋体" w:hAnsi="宋体" w:cs="宋体"/>
                <w:color w:val="000000"/>
                <w:kern w:val="0"/>
                <w:szCs w:val="21"/>
              </w:rPr>
              <w:t>.</w:t>
            </w:r>
            <w:r>
              <w:rPr>
                <w:rFonts w:hint="eastAsia"/>
                <w:szCs w:val="21"/>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2</w:t>
            </w:r>
          </w:p>
        </w:tc>
        <w:tc>
          <w:tcPr>
            <w:tcW w:w="1489" w:type="dxa"/>
            <w:tcBorders>
              <w:tl2br w:val="nil"/>
              <w:tr2bl w:val="nil"/>
            </w:tcBorders>
            <w:vAlign w:val="center"/>
          </w:tcPr>
          <w:p>
            <w:pPr>
              <w:jc w:val="center"/>
              <w:textAlignment w:val="center"/>
              <w:rPr>
                <w:szCs w:val="21"/>
              </w:rPr>
            </w:pPr>
            <w:r>
              <w:rPr>
                <w:color w:val="000000"/>
                <w:kern w:val="0"/>
                <w:szCs w:val="21"/>
              </w:rPr>
              <w:t>5.4</w:t>
            </w:r>
          </w:p>
        </w:tc>
        <w:tc>
          <w:tcPr>
            <w:tcW w:w="1358" w:type="dxa"/>
            <w:tcBorders>
              <w:tl2br w:val="nil"/>
              <w:tr2bl w:val="nil"/>
            </w:tcBorders>
            <w:vAlign w:val="center"/>
          </w:tcPr>
          <w:p>
            <w:pPr>
              <w:jc w:val="center"/>
              <w:textAlignment w:val="center"/>
              <w:rPr>
                <w:szCs w:val="21"/>
              </w:rPr>
            </w:pPr>
            <w:r>
              <w:rPr>
                <w:rFonts w:hint="eastAsia"/>
                <w:szCs w:val="21"/>
              </w:rPr>
              <w:t>69.17</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24.64</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19.04</w:t>
            </w:r>
          </w:p>
        </w:tc>
        <w:tc>
          <w:tcPr>
            <w:tcW w:w="1394" w:type="dxa"/>
            <w:tcBorders>
              <w:tl2br w:val="nil"/>
              <w:tr2bl w:val="nil"/>
            </w:tcBorders>
            <w:vAlign w:val="center"/>
          </w:tcPr>
          <w:p>
            <w:pPr>
              <w:jc w:val="center"/>
              <w:textAlignment w:val="center"/>
              <w:rPr>
                <w:szCs w:val="21"/>
              </w:rPr>
            </w:pPr>
            <w:r>
              <w:rPr>
                <w:color w:val="000000"/>
                <w:kern w:val="0"/>
                <w:szCs w:val="21"/>
              </w:rPr>
              <w:t>1120</w:t>
            </w:r>
          </w:p>
        </w:tc>
        <w:tc>
          <w:tcPr>
            <w:tcW w:w="1311" w:type="dxa"/>
            <w:tcBorders>
              <w:tl2br w:val="nil"/>
              <w:tr2bl w:val="nil"/>
            </w:tcBorders>
            <w:vAlign w:val="center"/>
          </w:tcPr>
          <w:p>
            <w:pPr>
              <w:jc w:val="center"/>
              <w:textAlignment w:val="center"/>
              <w:rPr>
                <w:szCs w:val="21"/>
              </w:rPr>
            </w:pPr>
            <w:r>
              <w:rPr>
                <w:rFonts w:hint="eastAsia" w:ascii="宋体" w:hAnsi="宋体" w:cs="宋体"/>
                <w:color w:val="000000"/>
                <w:kern w:val="0"/>
                <w:szCs w:val="21"/>
              </w:rPr>
              <w:t>-</w:t>
            </w:r>
            <w:r>
              <w:rPr>
                <w:rFonts w:hint="eastAsia"/>
                <w:szCs w:val="21"/>
              </w:rPr>
              <w:t>1007</w:t>
            </w:r>
            <w:r>
              <w:rPr>
                <w:rFonts w:hint="eastAsia" w:ascii="宋体" w:hAnsi="宋体" w:cs="宋体"/>
                <w:color w:val="000000"/>
                <w:kern w:val="0"/>
                <w:szCs w:val="21"/>
              </w:rPr>
              <w:t>.</w:t>
            </w:r>
            <w:r>
              <w:rPr>
                <w:rFonts w:hint="eastAsia"/>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3</w:t>
            </w:r>
          </w:p>
        </w:tc>
        <w:tc>
          <w:tcPr>
            <w:tcW w:w="1489" w:type="dxa"/>
            <w:tcBorders>
              <w:tl2br w:val="nil"/>
              <w:tr2bl w:val="nil"/>
            </w:tcBorders>
            <w:vAlign w:val="center"/>
          </w:tcPr>
          <w:p>
            <w:pPr>
              <w:jc w:val="center"/>
              <w:textAlignment w:val="center"/>
              <w:rPr>
                <w:szCs w:val="21"/>
              </w:rPr>
            </w:pPr>
            <w:r>
              <w:rPr>
                <w:color w:val="000000"/>
                <w:kern w:val="0"/>
                <w:szCs w:val="21"/>
              </w:rPr>
              <w:t>9.9</w:t>
            </w:r>
          </w:p>
        </w:tc>
        <w:tc>
          <w:tcPr>
            <w:tcW w:w="1358" w:type="dxa"/>
            <w:tcBorders>
              <w:tl2br w:val="nil"/>
              <w:tr2bl w:val="nil"/>
            </w:tcBorders>
            <w:vAlign w:val="center"/>
          </w:tcPr>
          <w:p>
            <w:pPr>
              <w:jc w:val="center"/>
              <w:textAlignment w:val="center"/>
              <w:rPr>
                <w:szCs w:val="21"/>
              </w:rPr>
            </w:pPr>
            <w:r>
              <w:rPr>
                <w:rFonts w:hint="eastAsia"/>
                <w:szCs w:val="21"/>
              </w:rPr>
              <w:t>126.82</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szCs w:val="21"/>
              </w:rPr>
            </w:pPr>
            <w:r>
              <w:rPr>
                <w:rFonts w:hint="eastAsia" w:ascii="宋体" w:hAnsi="宋体" w:cs="宋体"/>
                <w:color w:val="000000"/>
                <w:kern w:val="0"/>
                <w:szCs w:val="21"/>
              </w:rPr>
              <w:t>-</w:t>
            </w:r>
            <w:r>
              <w:rPr>
                <w:rFonts w:hint="eastAsia"/>
                <w:szCs w:val="21"/>
              </w:rPr>
              <w:t>1064</w:t>
            </w:r>
            <w:r>
              <w:rPr>
                <w:rFonts w:hint="eastAsia" w:ascii="宋体" w:hAnsi="宋体" w:cs="宋体"/>
                <w:color w:val="000000"/>
                <w:kern w:val="0"/>
                <w:szCs w:val="21"/>
              </w:rPr>
              <w:t>.</w:t>
            </w:r>
            <w:r>
              <w:rPr>
                <w:rFonts w:hint="eastAsia"/>
                <w:szCs w:val="21"/>
              </w:rPr>
              <w:t>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4</w:t>
            </w:r>
          </w:p>
        </w:tc>
        <w:tc>
          <w:tcPr>
            <w:tcW w:w="1489" w:type="dxa"/>
            <w:tcBorders>
              <w:tl2br w:val="nil"/>
              <w:tr2bl w:val="nil"/>
            </w:tcBorders>
            <w:vAlign w:val="center"/>
          </w:tcPr>
          <w:p>
            <w:pPr>
              <w:jc w:val="center"/>
              <w:textAlignment w:val="center"/>
              <w:rPr>
                <w:szCs w:val="21"/>
              </w:rPr>
            </w:pPr>
            <w:r>
              <w:rPr>
                <w:color w:val="000000"/>
                <w:kern w:val="0"/>
                <w:szCs w:val="21"/>
              </w:rPr>
              <w:t>26.5</w:t>
            </w:r>
          </w:p>
        </w:tc>
        <w:tc>
          <w:tcPr>
            <w:tcW w:w="1358" w:type="dxa"/>
            <w:tcBorders>
              <w:tl2br w:val="nil"/>
              <w:tr2bl w:val="nil"/>
            </w:tcBorders>
            <w:vAlign w:val="center"/>
          </w:tcPr>
          <w:p>
            <w:pPr>
              <w:jc w:val="center"/>
              <w:textAlignment w:val="center"/>
              <w:rPr>
                <w:szCs w:val="21"/>
              </w:rPr>
            </w:pPr>
            <w:r>
              <w:rPr>
                <w:rFonts w:hint="eastAsia"/>
                <w:szCs w:val="21"/>
              </w:rPr>
              <w:t>339.47</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26.4</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20.4</w:t>
            </w:r>
          </w:p>
        </w:tc>
        <w:tc>
          <w:tcPr>
            <w:tcW w:w="1394" w:type="dxa"/>
            <w:tcBorders>
              <w:tl2br w:val="nil"/>
              <w:tr2bl w:val="nil"/>
            </w:tcBorders>
            <w:vAlign w:val="center"/>
          </w:tcPr>
          <w:p>
            <w:pPr>
              <w:jc w:val="center"/>
              <w:textAlignment w:val="center"/>
              <w:rPr>
                <w:szCs w:val="21"/>
              </w:rPr>
            </w:pPr>
            <w:r>
              <w:rPr>
                <w:color w:val="000000"/>
                <w:kern w:val="0"/>
                <w:szCs w:val="21"/>
              </w:rPr>
              <w:t>1200</w:t>
            </w:r>
          </w:p>
        </w:tc>
        <w:tc>
          <w:tcPr>
            <w:tcW w:w="1311" w:type="dxa"/>
            <w:tcBorders>
              <w:tl2br w:val="nil"/>
              <w:tr2bl w:val="nil"/>
            </w:tcBorders>
            <w:vAlign w:val="center"/>
          </w:tcPr>
          <w:p>
            <w:pPr>
              <w:jc w:val="center"/>
              <w:textAlignment w:val="center"/>
              <w:rPr>
                <w:szCs w:val="21"/>
              </w:rPr>
            </w:pPr>
            <w:r>
              <w:rPr>
                <w:rFonts w:hint="eastAsia" w:ascii="宋体" w:hAnsi="宋体" w:cs="宋体"/>
                <w:color w:val="000000"/>
                <w:kern w:val="0"/>
                <w:szCs w:val="21"/>
              </w:rPr>
              <w:t>-</w:t>
            </w:r>
            <w:r>
              <w:rPr>
                <w:rFonts w:hint="eastAsia"/>
                <w:szCs w:val="21"/>
              </w:rPr>
              <w:t>813.73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5</w:t>
            </w:r>
          </w:p>
        </w:tc>
        <w:tc>
          <w:tcPr>
            <w:tcW w:w="1489" w:type="dxa"/>
            <w:tcBorders>
              <w:tl2br w:val="nil"/>
              <w:tr2bl w:val="nil"/>
            </w:tcBorders>
            <w:vAlign w:val="center"/>
          </w:tcPr>
          <w:p>
            <w:pPr>
              <w:jc w:val="center"/>
              <w:textAlignment w:val="center"/>
              <w:rPr>
                <w:szCs w:val="21"/>
              </w:rPr>
            </w:pPr>
            <w:r>
              <w:rPr>
                <w:color w:val="000000"/>
                <w:kern w:val="0"/>
                <w:szCs w:val="21"/>
              </w:rPr>
              <w:t>35.1</w:t>
            </w:r>
          </w:p>
        </w:tc>
        <w:tc>
          <w:tcPr>
            <w:tcW w:w="1358" w:type="dxa"/>
            <w:tcBorders>
              <w:tl2br w:val="nil"/>
              <w:tr2bl w:val="nil"/>
            </w:tcBorders>
            <w:vAlign w:val="center"/>
          </w:tcPr>
          <w:p>
            <w:pPr>
              <w:jc w:val="center"/>
              <w:textAlignment w:val="center"/>
              <w:rPr>
                <w:szCs w:val="21"/>
              </w:rPr>
            </w:pPr>
            <w:r>
              <w:rPr>
                <w:rFonts w:hint="eastAsia"/>
                <w:szCs w:val="21"/>
              </w:rPr>
              <w:t>449.63</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szCs w:val="21"/>
              </w:rPr>
            </w:pPr>
            <w:r>
              <w:rPr>
                <w:rFonts w:hint="eastAsia"/>
                <w:szCs w:val="21"/>
              </w:rPr>
              <w:t>-742.01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6</w:t>
            </w:r>
          </w:p>
        </w:tc>
        <w:tc>
          <w:tcPr>
            <w:tcW w:w="1489" w:type="dxa"/>
            <w:tcBorders>
              <w:tl2br w:val="nil"/>
              <w:tr2bl w:val="nil"/>
            </w:tcBorders>
            <w:vAlign w:val="center"/>
          </w:tcPr>
          <w:p>
            <w:pPr>
              <w:jc w:val="center"/>
              <w:textAlignment w:val="center"/>
              <w:rPr>
                <w:szCs w:val="21"/>
              </w:rPr>
            </w:pPr>
            <w:r>
              <w:rPr>
                <w:color w:val="000000"/>
                <w:kern w:val="0"/>
                <w:szCs w:val="21"/>
              </w:rPr>
              <w:t>76.1</w:t>
            </w:r>
          </w:p>
        </w:tc>
        <w:tc>
          <w:tcPr>
            <w:tcW w:w="1358" w:type="dxa"/>
            <w:tcBorders>
              <w:tl2br w:val="nil"/>
              <w:tr2bl w:val="nil"/>
            </w:tcBorders>
            <w:vAlign w:val="center"/>
          </w:tcPr>
          <w:p>
            <w:pPr>
              <w:jc w:val="center"/>
              <w:textAlignment w:val="center"/>
              <w:rPr>
                <w:szCs w:val="21"/>
              </w:rPr>
            </w:pPr>
            <w:r>
              <w:rPr>
                <w:rFonts w:hint="eastAsia"/>
                <w:szCs w:val="21"/>
              </w:rPr>
              <w:t>974.84</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26.4</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20.4</w:t>
            </w:r>
          </w:p>
        </w:tc>
        <w:tc>
          <w:tcPr>
            <w:tcW w:w="1394" w:type="dxa"/>
            <w:tcBorders>
              <w:tl2br w:val="nil"/>
              <w:tr2bl w:val="nil"/>
            </w:tcBorders>
            <w:vAlign w:val="center"/>
          </w:tcPr>
          <w:p>
            <w:pPr>
              <w:jc w:val="center"/>
              <w:textAlignment w:val="center"/>
              <w:rPr>
                <w:szCs w:val="21"/>
              </w:rPr>
            </w:pPr>
            <w:r>
              <w:rPr>
                <w:color w:val="000000"/>
                <w:kern w:val="0"/>
                <w:szCs w:val="21"/>
              </w:rPr>
              <w:t>1200</w:t>
            </w:r>
          </w:p>
        </w:tc>
        <w:tc>
          <w:tcPr>
            <w:tcW w:w="1311" w:type="dxa"/>
            <w:tcBorders>
              <w:tl2br w:val="nil"/>
              <w:tr2bl w:val="nil"/>
            </w:tcBorders>
            <w:vAlign w:val="center"/>
          </w:tcPr>
          <w:p>
            <w:pPr>
              <w:jc w:val="center"/>
              <w:textAlignment w:val="center"/>
              <w:rPr>
                <w:szCs w:val="21"/>
              </w:rPr>
            </w:pPr>
            <w:r>
              <w:rPr>
                <w:rFonts w:hint="eastAsia"/>
                <w:szCs w:val="21"/>
              </w:rPr>
              <w:t>-178.36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7</w:t>
            </w:r>
          </w:p>
        </w:tc>
        <w:tc>
          <w:tcPr>
            <w:tcW w:w="1489" w:type="dxa"/>
            <w:tcBorders>
              <w:tl2br w:val="nil"/>
              <w:tr2bl w:val="nil"/>
            </w:tcBorders>
            <w:vAlign w:val="center"/>
          </w:tcPr>
          <w:p>
            <w:pPr>
              <w:jc w:val="center"/>
              <w:textAlignment w:val="center"/>
              <w:rPr>
                <w:szCs w:val="21"/>
              </w:rPr>
            </w:pPr>
            <w:r>
              <w:rPr>
                <w:color w:val="000000"/>
                <w:kern w:val="0"/>
                <w:szCs w:val="21"/>
              </w:rPr>
              <w:t>126.3</w:t>
            </w:r>
          </w:p>
        </w:tc>
        <w:tc>
          <w:tcPr>
            <w:tcW w:w="1358" w:type="dxa"/>
            <w:tcBorders>
              <w:tl2br w:val="nil"/>
              <w:tr2bl w:val="nil"/>
            </w:tcBorders>
            <w:vAlign w:val="center"/>
          </w:tcPr>
          <w:p>
            <w:pPr>
              <w:jc w:val="center"/>
              <w:textAlignment w:val="center"/>
              <w:rPr>
                <w:szCs w:val="21"/>
              </w:rPr>
            </w:pPr>
            <w:r>
              <w:rPr>
                <w:rFonts w:hint="eastAsia"/>
                <w:szCs w:val="21"/>
              </w:rPr>
              <w:t>1617.9</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b/>
                <w:bCs/>
                <w:szCs w:val="21"/>
              </w:rPr>
            </w:pPr>
            <w:r>
              <w:rPr>
                <w:rFonts w:hint="eastAsia"/>
                <w:b/>
                <w:bCs/>
                <w:szCs w:val="21"/>
              </w:rPr>
              <w:t>426.26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8</w:t>
            </w:r>
          </w:p>
        </w:tc>
        <w:tc>
          <w:tcPr>
            <w:tcW w:w="1489" w:type="dxa"/>
            <w:tcBorders>
              <w:tl2br w:val="nil"/>
              <w:tr2bl w:val="nil"/>
            </w:tcBorders>
            <w:vAlign w:val="center"/>
          </w:tcPr>
          <w:p>
            <w:pPr>
              <w:jc w:val="center"/>
              <w:textAlignment w:val="center"/>
              <w:rPr>
                <w:szCs w:val="21"/>
              </w:rPr>
            </w:pPr>
            <w:r>
              <w:rPr>
                <w:color w:val="000000"/>
                <w:kern w:val="0"/>
                <w:szCs w:val="21"/>
              </w:rPr>
              <w:t>147.7</w:t>
            </w:r>
          </w:p>
        </w:tc>
        <w:tc>
          <w:tcPr>
            <w:tcW w:w="1358" w:type="dxa"/>
            <w:tcBorders>
              <w:tl2br w:val="nil"/>
              <w:tr2bl w:val="nil"/>
            </w:tcBorders>
            <w:vAlign w:val="center"/>
          </w:tcPr>
          <w:p>
            <w:pPr>
              <w:jc w:val="center"/>
              <w:textAlignment w:val="center"/>
              <w:rPr>
                <w:szCs w:val="21"/>
              </w:rPr>
            </w:pPr>
            <w:r>
              <w:rPr>
                <w:rFonts w:hint="eastAsia"/>
                <w:szCs w:val="21"/>
              </w:rPr>
              <w:t>1892.04</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b/>
                <w:bCs/>
                <w:szCs w:val="21"/>
              </w:rPr>
            </w:pPr>
            <w:r>
              <w:rPr>
                <w:rFonts w:hint="eastAsia"/>
                <w:b/>
                <w:bCs/>
                <w:szCs w:val="21"/>
              </w:rPr>
              <w:t>700.4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9</w:t>
            </w:r>
          </w:p>
        </w:tc>
        <w:tc>
          <w:tcPr>
            <w:tcW w:w="1489" w:type="dxa"/>
            <w:tcBorders>
              <w:tl2br w:val="nil"/>
              <w:tr2bl w:val="nil"/>
            </w:tcBorders>
            <w:vAlign w:val="center"/>
          </w:tcPr>
          <w:p>
            <w:pPr>
              <w:jc w:val="center"/>
              <w:textAlignment w:val="center"/>
              <w:rPr>
                <w:szCs w:val="21"/>
              </w:rPr>
            </w:pPr>
            <w:r>
              <w:rPr>
                <w:color w:val="000000"/>
                <w:kern w:val="0"/>
                <w:szCs w:val="21"/>
              </w:rPr>
              <w:t>73.6</w:t>
            </w:r>
          </w:p>
        </w:tc>
        <w:tc>
          <w:tcPr>
            <w:tcW w:w="1358" w:type="dxa"/>
            <w:tcBorders>
              <w:tl2br w:val="nil"/>
              <w:tr2bl w:val="nil"/>
            </w:tcBorders>
            <w:vAlign w:val="center"/>
          </w:tcPr>
          <w:p>
            <w:pPr>
              <w:jc w:val="center"/>
              <w:textAlignment w:val="center"/>
              <w:rPr>
                <w:szCs w:val="21"/>
              </w:rPr>
            </w:pPr>
            <w:r>
              <w:rPr>
                <w:rFonts w:hint="eastAsia"/>
                <w:szCs w:val="21"/>
              </w:rPr>
              <w:t>942.82</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26.4</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20.4</w:t>
            </w:r>
          </w:p>
        </w:tc>
        <w:tc>
          <w:tcPr>
            <w:tcW w:w="1394" w:type="dxa"/>
            <w:tcBorders>
              <w:tl2br w:val="nil"/>
              <w:tr2bl w:val="nil"/>
            </w:tcBorders>
            <w:vAlign w:val="center"/>
          </w:tcPr>
          <w:p>
            <w:pPr>
              <w:jc w:val="center"/>
              <w:textAlignment w:val="center"/>
              <w:rPr>
                <w:szCs w:val="21"/>
              </w:rPr>
            </w:pPr>
            <w:r>
              <w:rPr>
                <w:color w:val="000000"/>
                <w:kern w:val="0"/>
                <w:szCs w:val="21"/>
              </w:rPr>
              <w:t>1200</w:t>
            </w:r>
          </w:p>
        </w:tc>
        <w:tc>
          <w:tcPr>
            <w:tcW w:w="1311" w:type="dxa"/>
            <w:tcBorders>
              <w:tl2br w:val="nil"/>
              <w:tr2bl w:val="nil"/>
            </w:tcBorders>
            <w:vAlign w:val="center"/>
          </w:tcPr>
          <w:p>
            <w:pPr>
              <w:jc w:val="center"/>
              <w:textAlignment w:val="center"/>
              <w:rPr>
                <w:szCs w:val="21"/>
              </w:rPr>
            </w:pPr>
            <w:r>
              <w:rPr>
                <w:rFonts w:hint="eastAsia"/>
                <w:szCs w:val="21"/>
              </w:rPr>
              <w:t>-210.38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10</w:t>
            </w:r>
          </w:p>
        </w:tc>
        <w:tc>
          <w:tcPr>
            <w:tcW w:w="1489" w:type="dxa"/>
            <w:tcBorders>
              <w:tl2br w:val="nil"/>
              <w:tr2bl w:val="nil"/>
            </w:tcBorders>
            <w:vAlign w:val="center"/>
          </w:tcPr>
          <w:p>
            <w:pPr>
              <w:jc w:val="center"/>
              <w:textAlignment w:val="center"/>
              <w:rPr>
                <w:szCs w:val="21"/>
              </w:rPr>
            </w:pPr>
            <w:r>
              <w:rPr>
                <w:color w:val="000000"/>
                <w:kern w:val="0"/>
                <w:szCs w:val="21"/>
              </w:rPr>
              <w:t>28.1</w:t>
            </w:r>
          </w:p>
        </w:tc>
        <w:tc>
          <w:tcPr>
            <w:tcW w:w="1358" w:type="dxa"/>
            <w:tcBorders>
              <w:tl2br w:val="nil"/>
              <w:tr2bl w:val="nil"/>
            </w:tcBorders>
            <w:vAlign w:val="center"/>
          </w:tcPr>
          <w:p>
            <w:pPr>
              <w:jc w:val="center"/>
              <w:textAlignment w:val="center"/>
              <w:rPr>
                <w:szCs w:val="21"/>
              </w:rPr>
            </w:pPr>
            <w:r>
              <w:rPr>
                <w:rFonts w:hint="eastAsia"/>
                <w:szCs w:val="21"/>
              </w:rPr>
              <w:t>359.96</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szCs w:val="21"/>
              </w:rPr>
            </w:pPr>
            <w:r>
              <w:rPr>
                <w:rFonts w:hint="eastAsia"/>
                <w:szCs w:val="21"/>
              </w:rPr>
              <w:t>-831.68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11</w:t>
            </w:r>
          </w:p>
        </w:tc>
        <w:tc>
          <w:tcPr>
            <w:tcW w:w="1489" w:type="dxa"/>
            <w:tcBorders>
              <w:tl2br w:val="nil"/>
              <w:tr2bl w:val="nil"/>
            </w:tcBorders>
            <w:vAlign w:val="center"/>
          </w:tcPr>
          <w:p>
            <w:pPr>
              <w:jc w:val="center"/>
              <w:textAlignment w:val="center"/>
              <w:rPr>
                <w:szCs w:val="21"/>
              </w:rPr>
            </w:pPr>
            <w:r>
              <w:rPr>
                <w:color w:val="000000"/>
                <w:kern w:val="0"/>
                <w:szCs w:val="21"/>
              </w:rPr>
              <w:t>11.1</w:t>
            </w:r>
          </w:p>
        </w:tc>
        <w:tc>
          <w:tcPr>
            <w:tcW w:w="1358" w:type="dxa"/>
            <w:tcBorders>
              <w:tl2br w:val="nil"/>
              <w:tr2bl w:val="nil"/>
            </w:tcBorders>
            <w:vAlign w:val="center"/>
          </w:tcPr>
          <w:p>
            <w:pPr>
              <w:jc w:val="center"/>
              <w:textAlignment w:val="center"/>
              <w:rPr>
                <w:szCs w:val="21"/>
              </w:rPr>
            </w:pPr>
            <w:r>
              <w:rPr>
                <w:rFonts w:hint="eastAsia"/>
                <w:szCs w:val="21"/>
              </w:rPr>
              <w:t>142.19</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26.4</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20.4</w:t>
            </w:r>
          </w:p>
        </w:tc>
        <w:tc>
          <w:tcPr>
            <w:tcW w:w="1394" w:type="dxa"/>
            <w:tcBorders>
              <w:tl2br w:val="nil"/>
              <w:tr2bl w:val="nil"/>
            </w:tcBorders>
            <w:vAlign w:val="center"/>
          </w:tcPr>
          <w:p>
            <w:pPr>
              <w:jc w:val="center"/>
              <w:textAlignment w:val="center"/>
              <w:rPr>
                <w:szCs w:val="21"/>
              </w:rPr>
            </w:pPr>
            <w:r>
              <w:rPr>
                <w:color w:val="000000"/>
                <w:kern w:val="0"/>
                <w:szCs w:val="21"/>
              </w:rPr>
              <w:t>1200</w:t>
            </w:r>
          </w:p>
        </w:tc>
        <w:tc>
          <w:tcPr>
            <w:tcW w:w="1311" w:type="dxa"/>
            <w:tcBorders>
              <w:tl2br w:val="nil"/>
              <w:tr2bl w:val="nil"/>
            </w:tcBorders>
            <w:vAlign w:val="center"/>
          </w:tcPr>
          <w:p>
            <w:pPr>
              <w:jc w:val="center"/>
              <w:textAlignment w:val="center"/>
              <w:rPr>
                <w:szCs w:val="21"/>
              </w:rPr>
            </w:pPr>
            <w:r>
              <w:rPr>
                <w:rFonts w:hint="eastAsia"/>
                <w:szCs w:val="21"/>
              </w:rPr>
              <w:t>-1011.01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exact"/>
          <w:jc w:val="center"/>
        </w:trPr>
        <w:tc>
          <w:tcPr>
            <w:tcW w:w="280" w:type="pct"/>
            <w:tcBorders>
              <w:tl2br w:val="nil"/>
              <w:tr2bl w:val="nil"/>
            </w:tcBorders>
            <w:vAlign w:val="center"/>
          </w:tcPr>
          <w:p>
            <w:pPr>
              <w:pStyle w:val="63"/>
              <w:spacing w:line="288" w:lineRule="auto"/>
              <w:jc w:val="center"/>
              <w:rPr>
                <w:szCs w:val="21"/>
              </w:rPr>
            </w:pPr>
            <w:r>
              <w:rPr>
                <w:rFonts w:hint="eastAsia"/>
                <w:szCs w:val="21"/>
              </w:rPr>
              <w:t>12</w:t>
            </w:r>
          </w:p>
        </w:tc>
        <w:tc>
          <w:tcPr>
            <w:tcW w:w="1489" w:type="dxa"/>
            <w:tcBorders>
              <w:tl2br w:val="nil"/>
              <w:tr2bl w:val="nil"/>
            </w:tcBorders>
            <w:vAlign w:val="center"/>
          </w:tcPr>
          <w:p>
            <w:pPr>
              <w:jc w:val="center"/>
              <w:textAlignment w:val="center"/>
              <w:rPr>
                <w:szCs w:val="21"/>
              </w:rPr>
            </w:pPr>
            <w:r>
              <w:rPr>
                <w:color w:val="000000"/>
                <w:kern w:val="0"/>
                <w:szCs w:val="21"/>
              </w:rPr>
              <w:t>2.8</w:t>
            </w:r>
          </w:p>
        </w:tc>
        <w:tc>
          <w:tcPr>
            <w:tcW w:w="1358" w:type="dxa"/>
            <w:tcBorders>
              <w:tl2br w:val="nil"/>
              <w:tr2bl w:val="nil"/>
            </w:tcBorders>
            <w:vAlign w:val="center"/>
          </w:tcPr>
          <w:p>
            <w:pPr>
              <w:jc w:val="center"/>
              <w:textAlignment w:val="center"/>
              <w:rPr>
                <w:szCs w:val="21"/>
              </w:rPr>
            </w:pPr>
            <w:r>
              <w:rPr>
                <w:rFonts w:hint="eastAsia"/>
                <w:szCs w:val="21"/>
              </w:rPr>
              <w:t>35.87</w:t>
            </w:r>
          </w:p>
        </w:tc>
        <w:tc>
          <w:tcPr>
            <w:tcW w:w="1142"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27.28</w:t>
            </w:r>
          </w:p>
        </w:tc>
        <w:tc>
          <w:tcPr>
            <w:tcW w:w="1346" w:type="dxa"/>
            <w:tcBorders>
              <w:tl2br w:val="nil"/>
              <w:tr2bl w:val="nil"/>
            </w:tcBorders>
            <w:vAlign w:val="center"/>
          </w:tcPr>
          <w:p>
            <w:pPr>
              <w:spacing w:line="240" w:lineRule="exact"/>
              <w:jc w:val="center"/>
              <w:rPr>
                <w:color w:val="000000"/>
                <w:kern w:val="0"/>
                <w:szCs w:val="21"/>
              </w:rPr>
            </w:pPr>
            <w:r>
              <w:rPr>
                <w:rFonts w:hint="eastAsia"/>
                <w:color w:val="000000"/>
                <w:kern w:val="0"/>
                <w:szCs w:val="21"/>
              </w:rPr>
              <w:t>21.08</w:t>
            </w:r>
          </w:p>
        </w:tc>
        <w:tc>
          <w:tcPr>
            <w:tcW w:w="1394" w:type="dxa"/>
            <w:tcBorders>
              <w:tl2br w:val="nil"/>
              <w:tr2bl w:val="nil"/>
            </w:tcBorders>
            <w:vAlign w:val="center"/>
          </w:tcPr>
          <w:p>
            <w:pPr>
              <w:jc w:val="center"/>
              <w:textAlignment w:val="center"/>
              <w:rPr>
                <w:szCs w:val="21"/>
              </w:rPr>
            </w:pPr>
            <w:r>
              <w:rPr>
                <w:color w:val="000000"/>
                <w:kern w:val="0"/>
                <w:szCs w:val="21"/>
              </w:rPr>
              <w:t>1240</w:t>
            </w:r>
          </w:p>
        </w:tc>
        <w:tc>
          <w:tcPr>
            <w:tcW w:w="1311" w:type="dxa"/>
            <w:tcBorders>
              <w:tl2br w:val="nil"/>
              <w:tr2bl w:val="nil"/>
            </w:tcBorders>
            <w:vAlign w:val="center"/>
          </w:tcPr>
          <w:p>
            <w:pPr>
              <w:jc w:val="center"/>
              <w:textAlignment w:val="center"/>
              <w:rPr>
                <w:szCs w:val="21"/>
              </w:rPr>
            </w:pPr>
            <w:r>
              <w:rPr>
                <w:rFonts w:hint="eastAsia" w:ascii="宋体" w:hAnsi="宋体" w:cs="宋体"/>
                <w:color w:val="000000"/>
                <w:kern w:val="0"/>
                <w:szCs w:val="21"/>
              </w:rPr>
              <w:t>-</w:t>
            </w:r>
            <w:r>
              <w:rPr>
                <w:rFonts w:hint="eastAsia"/>
                <w:szCs w:val="21"/>
              </w:rPr>
              <w:t>1155</w:t>
            </w:r>
            <w:r>
              <w:rPr>
                <w:rFonts w:hint="eastAsia" w:ascii="宋体" w:hAnsi="宋体" w:cs="宋体"/>
                <w:color w:val="000000"/>
                <w:kern w:val="0"/>
                <w:szCs w:val="21"/>
              </w:rPr>
              <w:t>.</w:t>
            </w:r>
            <w:r>
              <w:rPr>
                <w:rFonts w:hint="eastAsia"/>
                <w:szCs w:val="21"/>
              </w:rPr>
              <w:t>77</w:t>
            </w:r>
          </w:p>
        </w:tc>
      </w:tr>
    </w:tbl>
    <w:p>
      <w:pPr>
        <w:pStyle w:val="38"/>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经估算，渗滤液在7、8月有余量，余量累计相加为1126.66m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。该计算值按历史最大日降雨量进行校核，校核计算公式同《生活垃圾卫生填埋处理技术规范》(GB50869-2013)附录B中渗滤液产生量计算方法，具体如下。</w:t>
      </w:r>
    </w:p>
    <w:p>
      <w:pPr>
        <w:spacing w:beforeLines="50" w:line="500" w:lineRule="exact"/>
        <w:ind w:firstLine="480" w:firstLineChars="200"/>
        <w:rPr>
          <w:sz w:val="24"/>
        </w:rPr>
      </w:pPr>
      <w:r>
        <w:rPr>
          <w:rFonts w:hint="eastAsia"/>
          <w:sz w:val="24"/>
        </w:rPr>
        <w:t>Q</w:t>
      </w:r>
      <w:r>
        <w:rPr>
          <w:rFonts w:hint="eastAsia"/>
          <w:sz w:val="24"/>
          <w:vertAlign w:val="subscript"/>
        </w:rPr>
        <w:t>1</w:t>
      </w:r>
      <w:r>
        <w:rPr>
          <w:rFonts w:hint="eastAsia"/>
          <w:sz w:val="24"/>
        </w:rPr>
        <w:t>=I</w:t>
      </w:r>
      <w:r>
        <w:rPr>
          <w:rFonts w:hint="eastAsia"/>
          <w:sz w:val="24"/>
          <w:vertAlign w:val="subscript"/>
        </w:rPr>
        <w:t>1</w:t>
      </w:r>
      <w:r>
        <w:rPr>
          <w:rFonts w:hint="eastAsia"/>
          <w:sz w:val="24"/>
        </w:rPr>
        <w:t>×(C</w:t>
      </w:r>
      <w:r>
        <w:rPr>
          <w:rFonts w:hint="eastAsia"/>
          <w:sz w:val="24"/>
          <w:vertAlign w:val="subscript"/>
        </w:rPr>
        <w:t>1</w:t>
      </w:r>
      <w:r>
        <w:rPr>
          <w:rFonts w:hint="eastAsia"/>
          <w:sz w:val="24"/>
        </w:rPr>
        <w:t>×A</w:t>
      </w:r>
      <w:r>
        <w:rPr>
          <w:rFonts w:hint="eastAsia"/>
          <w:sz w:val="24"/>
          <w:vertAlign w:val="subscript"/>
        </w:rPr>
        <w:t>1</w:t>
      </w:r>
      <w:r>
        <w:rPr>
          <w:rFonts w:hint="eastAsia"/>
          <w:sz w:val="24"/>
        </w:rPr>
        <w:t>+C</w:t>
      </w:r>
      <w:r>
        <w:rPr>
          <w:rFonts w:hint="eastAsia"/>
          <w:sz w:val="24"/>
          <w:vertAlign w:val="subscript"/>
        </w:rPr>
        <w:t>2</w:t>
      </w:r>
      <w:r>
        <w:rPr>
          <w:rFonts w:hint="eastAsia"/>
          <w:sz w:val="24"/>
        </w:rPr>
        <w:t>×A</w:t>
      </w:r>
      <w:r>
        <w:rPr>
          <w:rFonts w:hint="eastAsia"/>
          <w:sz w:val="24"/>
          <w:vertAlign w:val="subscript"/>
        </w:rPr>
        <w:t>2</w:t>
      </w:r>
      <w:r>
        <w:rPr>
          <w:rFonts w:hint="eastAsia"/>
          <w:sz w:val="24"/>
        </w:rPr>
        <w:t>+C</w:t>
      </w:r>
      <w:r>
        <w:rPr>
          <w:rFonts w:hint="eastAsia"/>
          <w:sz w:val="24"/>
          <w:vertAlign w:val="subscript"/>
        </w:rPr>
        <w:t>3</w:t>
      </w:r>
      <w:r>
        <w:rPr>
          <w:rFonts w:hint="eastAsia"/>
          <w:sz w:val="24"/>
        </w:rPr>
        <w:t>×A</w:t>
      </w:r>
      <w:r>
        <w:rPr>
          <w:rFonts w:hint="eastAsia"/>
          <w:sz w:val="24"/>
          <w:vertAlign w:val="subscript"/>
        </w:rPr>
        <w:t>3</w:t>
      </w:r>
      <w:r>
        <w:rPr>
          <w:rFonts w:hint="eastAsia"/>
          <w:sz w:val="24"/>
        </w:rPr>
        <w:t>+C</w:t>
      </w:r>
      <w:r>
        <w:rPr>
          <w:rFonts w:hint="eastAsia"/>
          <w:sz w:val="24"/>
          <w:vertAlign w:val="subscript"/>
        </w:rPr>
        <w:t>4</w:t>
      </w:r>
      <w:r>
        <w:rPr>
          <w:rFonts w:hint="eastAsia"/>
          <w:sz w:val="24"/>
        </w:rPr>
        <w:t>×A</w:t>
      </w:r>
      <w:r>
        <w:rPr>
          <w:rFonts w:hint="eastAsia"/>
          <w:sz w:val="24"/>
          <w:vertAlign w:val="subscript"/>
        </w:rPr>
        <w:t>4</w:t>
      </w:r>
      <w:r>
        <w:rPr>
          <w:rFonts w:hint="eastAsia"/>
          <w:sz w:val="24"/>
        </w:rPr>
        <w:t>)/1000</w:t>
      </w:r>
    </w:p>
    <w:p>
      <w:pPr>
        <w:spacing w:beforeLines="50" w:line="500" w:lineRule="exact"/>
        <w:ind w:firstLine="480" w:firstLineChars="200"/>
        <w:rPr>
          <w:sz w:val="24"/>
        </w:rPr>
      </w:pPr>
      <w:r>
        <w:rPr>
          <w:sz w:val="24"/>
        </w:rPr>
        <w:t>式中：</w:t>
      </w:r>
      <w:r>
        <w:rPr>
          <w:rStyle w:val="64"/>
          <w:rFonts w:ascii="Times New Roman" w:hAnsi="Times New Roman"/>
          <w:b w:val="0"/>
          <w:kern w:val="0"/>
          <w:sz w:val="24"/>
        </w:rPr>
        <w:t>Q</w:t>
      </w:r>
      <w:r>
        <w:rPr>
          <w:rStyle w:val="64"/>
          <w:rFonts w:hint="eastAsia"/>
          <w:b w:val="0"/>
          <w:kern w:val="0"/>
          <w:sz w:val="24"/>
          <w:vertAlign w:val="subscript"/>
        </w:rPr>
        <w:t>1</w:t>
      </w:r>
      <w:r>
        <w:rPr>
          <w:rStyle w:val="64"/>
          <w:rFonts w:ascii="Times New Roman" w:hAnsi="Times New Roman"/>
          <w:b w:val="0"/>
          <w:kern w:val="0"/>
          <w:sz w:val="24"/>
        </w:rPr>
        <w:t>——</w:t>
      </w:r>
      <w:r>
        <w:rPr>
          <w:rStyle w:val="64"/>
          <w:rFonts w:hint="eastAsia"/>
          <w:b w:val="0"/>
          <w:kern w:val="0"/>
          <w:sz w:val="24"/>
        </w:rPr>
        <w:t>校核容积</w:t>
      </w:r>
      <w:r>
        <w:rPr>
          <w:rStyle w:val="64"/>
          <w:rFonts w:ascii="Times New Roman" w:hAnsi="Times New Roman"/>
          <w:b w:val="0"/>
          <w:kern w:val="0"/>
          <w:sz w:val="24"/>
        </w:rPr>
        <w:t>，</w:t>
      </w:r>
      <w:r>
        <w:rPr>
          <w:sz w:val="24"/>
        </w:rPr>
        <w:t>m</w:t>
      </w:r>
      <w:r>
        <w:rPr>
          <w:rStyle w:val="64"/>
          <w:rFonts w:ascii="Times New Roman" w:hAnsi="Times New Roman"/>
          <w:b w:val="0"/>
          <w:kern w:val="0"/>
          <w:sz w:val="24"/>
          <w:vertAlign w:val="superscript"/>
        </w:rPr>
        <w:t>3</w:t>
      </w:r>
      <w:r>
        <w:rPr>
          <w:sz w:val="24"/>
        </w:rPr>
        <w:t>；</w:t>
      </w:r>
    </w:p>
    <w:p>
      <w:pPr>
        <w:spacing w:line="500" w:lineRule="exact"/>
        <w:ind w:firstLine="480" w:firstLineChars="200"/>
        <w:rPr>
          <w:sz w:val="24"/>
          <w:shd w:val="clear" w:color="FFFFFF" w:fill="D9D9D9"/>
        </w:rPr>
      </w:pPr>
      <w:r>
        <w:rPr>
          <w:rStyle w:val="64"/>
          <w:rFonts w:ascii="Times New Roman" w:hAnsi="Times New Roman"/>
          <w:b w:val="0"/>
          <w:kern w:val="0"/>
          <w:sz w:val="24"/>
        </w:rPr>
        <w:t>I</w:t>
      </w:r>
      <w:r>
        <w:rPr>
          <w:rStyle w:val="64"/>
          <w:rFonts w:hint="eastAsia"/>
          <w:b w:val="0"/>
          <w:kern w:val="0"/>
          <w:sz w:val="24"/>
          <w:vertAlign w:val="subscript"/>
        </w:rPr>
        <w:t>1</w:t>
      </w:r>
      <w:r>
        <w:rPr>
          <w:rStyle w:val="64"/>
          <w:rFonts w:ascii="Times New Roman" w:hAnsi="Times New Roman"/>
          <w:b w:val="0"/>
          <w:kern w:val="0"/>
          <w:sz w:val="24"/>
        </w:rPr>
        <w:t>——</w:t>
      </w:r>
      <w:r>
        <w:rPr>
          <w:rStyle w:val="64"/>
          <w:rFonts w:hint="eastAsia"/>
          <w:b w:val="0"/>
          <w:kern w:val="0"/>
          <w:sz w:val="24"/>
        </w:rPr>
        <w:t>历史最大日降水量</w:t>
      </w:r>
      <w:r>
        <w:rPr>
          <w:rStyle w:val="64"/>
          <w:rFonts w:ascii="Times New Roman" w:hAnsi="Times New Roman"/>
          <w:b w:val="0"/>
          <w:kern w:val="0"/>
          <w:sz w:val="24"/>
        </w:rPr>
        <w:t>，（</w:t>
      </w:r>
      <w:r>
        <w:rPr>
          <w:sz w:val="24"/>
        </w:rPr>
        <w:t>mm），</w:t>
      </w:r>
      <w:r>
        <w:rPr>
          <w:rFonts w:hint="eastAsia"/>
          <w:sz w:val="24"/>
        </w:rPr>
        <w:t>按127.3</w:t>
      </w:r>
      <w:r>
        <w:rPr>
          <w:sz w:val="24"/>
        </w:rPr>
        <w:t>mm</w:t>
      </w:r>
      <w:r>
        <w:rPr>
          <w:rFonts w:hint="eastAsia"/>
          <w:sz w:val="24"/>
        </w:rPr>
        <w:t>（1972年7月7日）计</w:t>
      </w:r>
      <w:r>
        <w:rPr>
          <w:sz w:val="24"/>
        </w:rPr>
        <w:t>；</w:t>
      </w:r>
    </w:p>
    <w:p>
      <w:pPr>
        <w:spacing w:line="50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ascii="Times New Roman" w:hAnsi="Times New Roman"/>
          <w:b w:val="0"/>
          <w:kern w:val="0"/>
          <w:sz w:val="24"/>
          <w:vertAlign w:val="subscript"/>
        </w:rPr>
        <w:t>1</w:t>
      </w:r>
      <w:r>
        <w:rPr>
          <w:rStyle w:val="64"/>
          <w:rFonts w:ascii="Times New Roman" w:hAnsi="Times New Roman"/>
          <w:b w:val="0"/>
          <w:kern w:val="0"/>
          <w:sz w:val="24"/>
        </w:rPr>
        <w:t>——</w:t>
      </w:r>
      <w:r>
        <w:rPr>
          <w:rStyle w:val="64"/>
          <w:rFonts w:hint="eastAsia"/>
          <w:b w:val="0"/>
          <w:kern w:val="0"/>
          <w:sz w:val="24"/>
        </w:rPr>
        <w:t>正在填埋作业区</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r>
        <w:rPr>
          <w:rStyle w:val="64"/>
          <w:rFonts w:ascii="Times New Roman" w:hAnsi="Times New Roman"/>
          <w:b w:val="0"/>
          <w:kern w:val="0"/>
          <w:sz w:val="24"/>
        </w:rPr>
        <w:t>；</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ascii="Times New Roman" w:hAnsi="Times New Roman"/>
          <w:b w:val="0"/>
          <w:kern w:val="0"/>
          <w:sz w:val="24"/>
          <w:vertAlign w:val="subscript"/>
        </w:rPr>
        <w:t>1</w:t>
      </w:r>
      <w:r>
        <w:rPr>
          <w:rStyle w:val="64"/>
          <w:rFonts w:ascii="Times New Roman" w:hAnsi="Times New Roman"/>
          <w:b w:val="0"/>
          <w:kern w:val="0"/>
          <w:sz w:val="24"/>
        </w:rPr>
        <w:t>——</w:t>
      </w:r>
      <w:r>
        <w:rPr>
          <w:rStyle w:val="64"/>
          <w:rFonts w:hint="eastAsia"/>
          <w:b w:val="0"/>
          <w:kern w:val="0"/>
          <w:sz w:val="24"/>
        </w:rPr>
        <w:t>正在填埋作业区浸</w:t>
      </w:r>
      <w:r>
        <w:rPr>
          <w:rStyle w:val="64"/>
          <w:rFonts w:ascii="Times New Roman" w:hAnsi="Times New Roman"/>
          <w:b w:val="0"/>
          <w:kern w:val="0"/>
          <w:sz w:val="24"/>
        </w:rPr>
        <w:t>出系数，</w:t>
      </w:r>
      <w:r>
        <w:rPr>
          <w:rStyle w:val="64"/>
          <w:rFonts w:hint="eastAsia"/>
          <w:b w:val="0"/>
          <w:kern w:val="0"/>
          <w:sz w:val="24"/>
        </w:rPr>
        <w:t>按</w:t>
      </w:r>
      <w:r>
        <w:rPr>
          <w:rFonts w:hint="eastAsia"/>
          <w:sz w:val="24"/>
        </w:rPr>
        <w:t>0.50</w:t>
      </w:r>
      <w:r>
        <w:rPr>
          <w:rStyle w:val="64"/>
          <w:rFonts w:hint="eastAsia"/>
          <w:b w:val="0"/>
          <w:kern w:val="0"/>
          <w:sz w:val="24"/>
        </w:rPr>
        <w:t>计</w:t>
      </w:r>
      <w:r>
        <w:rPr>
          <w:rStyle w:val="64"/>
          <w:rFonts w:ascii="Times New Roman" w:hAnsi="Times New Roman"/>
          <w:b w:val="0"/>
          <w:kern w:val="0"/>
          <w:sz w:val="24"/>
        </w:rPr>
        <w:t>；</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ascii="Times New Roman" w:hAnsi="Times New Roman"/>
          <w:b w:val="0"/>
          <w:kern w:val="0"/>
          <w:sz w:val="24"/>
          <w:vertAlign w:val="subscript"/>
        </w:rPr>
        <w:t>2</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中间覆盖</w:t>
      </w:r>
      <w:r>
        <w:rPr>
          <w:rStyle w:val="64"/>
          <w:rFonts w:hint="eastAsia"/>
          <w:b w:val="0"/>
          <w:kern w:val="0"/>
          <w:sz w:val="24"/>
        </w:rPr>
        <w:t>区</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ascii="Times New Roman" w:hAnsi="Times New Roman"/>
          <w:b w:val="0"/>
          <w:kern w:val="0"/>
          <w:sz w:val="24"/>
          <w:vertAlign w:val="subscript"/>
        </w:rPr>
        <w:t>2</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中间覆盖</w:t>
      </w:r>
      <w:r>
        <w:rPr>
          <w:rStyle w:val="64"/>
          <w:rFonts w:hint="eastAsia"/>
          <w:b w:val="0"/>
          <w:kern w:val="0"/>
          <w:sz w:val="24"/>
        </w:rPr>
        <w:t>区浸</w:t>
      </w:r>
      <w:r>
        <w:rPr>
          <w:rStyle w:val="64"/>
          <w:rFonts w:ascii="Times New Roman" w:hAnsi="Times New Roman"/>
          <w:b w:val="0"/>
          <w:kern w:val="0"/>
          <w:sz w:val="24"/>
        </w:rPr>
        <w:t>出系数，</w:t>
      </w:r>
      <w:r>
        <w:rPr>
          <w:rStyle w:val="64"/>
          <w:rFonts w:hint="eastAsia"/>
          <w:b w:val="0"/>
          <w:kern w:val="0"/>
          <w:sz w:val="24"/>
        </w:rPr>
        <w:t>按</w:t>
      </w:r>
      <w:r>
        <w:rPr>
          <w:rFonts w:hint="eastAsia"/>
          <w:sz w:val="24"/>
        </w:rPr>
        <w:t>0.20</w:t>
      </w:r>
      <w:r>
        <w:rPr>
          <w:rStyle w:val="64"/>
          <w:rFonts w:hint="eastAsia"/>
          <w:b w:val="0"/>
          <w:kern w:val="0"/>
          <w:sz w:val="24"/>
        </w:rPr>
        <w:t>计</w:t>
      </w:r>
      <w:r>
        <w:rPr>
          <w:rStyle w:val="64"/>
          <w:rFonts w:ascii="Times New Roman" w:hAnsi="Times New Roman"/>
          <w:b w:val="0"/>
          <w:kern w:val="0"/>
          <w:sz w:val="24"/>
        </w:rPr>
        <w:t>；</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ascii="Times New Roman" w:hAnsi="Times New Roman"/>
          <w:b w:val="0"/>
          <w:kern w:val="0"/>
          <w:sz w:val="24"/>
          <w:vertAlign w:val="subscript"/>
        </w:rPr>
        <w:t>3</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终场覆盖</w:t>
      </w:r>
      <w:r>
        <w:rPr>
          <w:rStyle w:val="64"/>
          <w:rFonts w:hint="eastAsia"/>
          <w:b w:val="0"/>
          <w:kern w:val="0"/>
          <w:sz w:val="24"/>
        </w:rPr>
        <w:t>区</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r>
        <w:rPr>
          <w:rStyle w:val="64"/>
          <w:rFonts w:hint="eastAsia"/>
          <w:b w:val="0"/>
          <w:kern w:val="0"/>
          <w:sz w:val="24"/>
        </w:rPr>
        <w:t>；</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ascii="Times New Roman" w:hAnsi="Times New Roman"/>
          <w:b w:val="0"/>
          <w:kern w:val="0"/>
          <w:sz w:val="24"/>
          <w:vertAlign w:val="subscript"/>
        </w:rPr>
        <w:t>3</w:t>
      </w:r>
      <w:r>
        <w:rPr>
          <w:rStyle w:val="64"/>
          <w:rFonts w:ascii="Times New Roman" w:hAnsi="Times New Roman"/>
          <w:b w:val="0"/>
          <w:kern w:val="0"/>
          <w:sz w:val="24"/>
        </w:rPr>
        <w:t>——</w:t>
      </w:r>
      <w:r>
        <w:rPr>
          <w:rStyle w:val="64"/>
          <w:rFonts w:hint="eastAsia"/>
          <w:b w:val="0"/>
          <w:kern w:val="0"/>
          <w:sz w:val="24"/>
        </w:rPr>
        <w:t>已</w:t>
      </w:r>
      <w:r>
        <w:rPr>
          <w:rStyle w:val="64"/>
          <w:rFonts w:ascii="Times New Roman" w:hAnsi="Times New Roman"/>
          <w:b w:val="0"/>
          <w:kern w:val="0"/>
          <w:sz w:val="24"/>
        </w:rPr>
        <w:t>终场覆盖</w:t>
      </w:r>
      <w:r>
        <w:rPr>
          <w:rStyle w:val="64"/>
          <w:rFonts w:hint="eastAsia"/>
          <w:b w:val="0"/>
          <w:kern w:val="0"/>
          <w:sz w:val="24"/>
        </w:rPr>
        <w:t>区浸</w:t>
      </w:r>
      <w:r>
        <w:rPr>
          <w:rStyle w:val="64"/>
          <w:rFonts w:ascii="Times New Roman" w:hAnsi="Times New Roman"/>
          <w:b w:val="0"/>
          <w:kern w:val="0"/>
          <w:sz w:val="24"/>
        </w:rPr>
        <w:t>出系数，</w:t>
      </w:r>
      <w:r>
        <w:rPr>
          <w:rStyle w:val="64"/>
          <w:rFonts w:hint="eastAsia"/>
          <w:b w:val="0"/>
          <w:kern w:val="0"/>
          <w:sz w:val="24"/>
        </w:rPr>
        <w:t>按</w:t>
      </w:r>
      <w:r>
        <w:rPr>
          <w:rFonts w:hint="eastAsia"/>
          <w:sz w:val="24"/>
        </w:rPr>
        <w:t>0.10</w:t>
      </w:r>
      <w:r>
        <w:rPr>
          <w:rStyle w:val="64"/>
          <w:rFonts w:hint="eastAsia"/>
          <w:b w:val="0"/>
          <w:kern w:val="0"/>
          <w:sz w:val="24"/>
        </w:rPr>
        <w:t>计；</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A</w:t>
      </w:r>
      <w:r>
        <w:rPr>
          <w:rStyle w:val="64"/>
          <w:rFonts w:hint="eastAsia" w:ascii="Times New Roman" w:hAnsi="Times New Roman"/>
          <w:b w:val="0"/>
          <w:kern w:val="0"/>
          <w:sz w:val="24"/>
          <w:vertAlign w:val="subscript"/>
        </w:rPr>
        <w:t>4</w:t>
      </w:r>
      <w:r>
        <w:rPr>
          <w:rStyle w:val="64"/>
          <w:rFonts w:ascii="Times New Roman" w:hAnsi="Times New Roman"/>
          <w:b w:val="0"/>
          <w:kern w:val="0"/>
          <w:sz w:val="24"/>
        </w:rPr>
        <w:t>——</w:t>
      </w:r>
      <w:r>
        <w:rPr>
          <w:rStyle w:val="64"/>
          <w:rFonts w:hint="eastAsia" w:ascii="Times New Roman" w:hAnsi="Times New Roman"/>
          <w:b w:val="0"/>
          <w:kern w:val="0"/>
          <w:sz w:val="24"/>
        </w:rPr>
        <w:t>调节池</w:t>
      </w:r>
      <w:r>
        <w:rPr>
          <w:rStyle w:val="64"/>
          <w:rFonts w:ascii="Times New Roman" w:hAnsi="Times New Roman"/>
          <w:b w:val="0"/>
          <w:kern w:val="0"/>
          <w:sz w:val="24"/>
        </w:rPr>
        <w:t>汇水面积，m</w:t>
      </w:r>
      <w:r>
        <w:rPr>
          <w:rStyle w:val="64"/>
          <w:rFonts w:ascii="Times New Roman" w:hAnsi="Times New Roman"/>
          <w:b w:val="0"/>
          <w:kern w:val="0"/>
          <w:sz w:val="24"/>
          <w:vertAlign w:val="superscript"/>
        </w:rPr>
        <w:t>2</w:t>
      </w:r>
      <w:r>
        <w:rPr>
          <w:rStyle w:val="64"/>
          <w:rFonts w:ascii="Times New Roman" w:hAnsi="Times New Roman"/>
          <w:b w:val="0"/>
          <w:kern w:val="0"/>
          <w:sz w:val="24"/>
        </w:rPr>
        <w:t>；</w:t>
      </w:r>
    </w:p>
    <w:p>
      <w:pPr>
        <w:spacing w:line="480" w:lineRule="exact"/>
        <w:ind w:firstLine="480" w:firstLineChars="200"/>
        <w:rPr>
          <w:rStyle w:val="64"/>
          <w:rFonts w:ascii="Times New Roman" w:hAnsi="Times New Roman"/>
          <w:b w:val="0"/>
          <w:kern w:val="0"/>
          <w:sz w:val="24"/>
        </w:rPr>
      </w:pPr>
      <w:r>
        <w:rPr>
          <w:rStyle w:val="64"/>
          <w:rFonts w:ascii="Times New Roman" w:hAnsi="Times New Roman"/>
          <w:b w:val="0"/>
          <w:kern w:val="0"/>
          <w:sz w:val="24"/>
        </w:rPr>
        <w:t>C</w:t>
      </w:r>
      <w:r>
        <w:rPr>
          <w:rStyle w:val="64"/>
          <w:rFonts w:hint="eastAsia" w:ascii="Times New Roman" w:hAnsi="Times New Roman"/>
          <w:b w:val="0"/>
          <w:kern w:val="0"/>
          <w:sz w:val="24"/>
          <w:vertAlign w:val="subscript"/>
        </w:rPr>
        <w:t>4</w:t>
      </w:r>
      <w:r>
        <w:rPr>
          <w:rStyle w:val="64"/>
          <w:rFonts w:ascii="Times New Roman" w:hAnsi="Times New Roman"/>
          <w:b w:val="0"/>
          <w:kern w:val="0"/>
          <w:sz w:val="24"/>
        </w:rPr>
        <w:t>——</w:t>
      </w:r>
      <w:r>
        <w:rPr>
          <w:rStyle w:val="64"/>
          <w:rFonts w:hint="eastAsia" w:ascii="Times New Roman" w:hAnsi="Times New Roman"/>
          <w:b w:val="0"/>
          <w:kern w:val="0"/>
          <w:sz w:val="24"/>
        </w:rPr>
        <w:t>调节池</w:t>
      </w:r>
      <w:r>
        <w:rPr>
          <w:rStyle w:val="64"/>
          <w:rFonts w:hint="eastAsia"/>
          <w:b w:val="0"/>
          <w:kern w:val="0"/>
          <w:sz w:val="24"/>
        </w:rPr>
        <w:t>浸</w:t>
      </w:r>
      <w:r>
        <w:rPr>
          <w:rStyle w:val="64"/>
          <w:rFonts w:ascii="Times New Roman" w:hAnsi="Times New Roman"/>
          <w:b w:val="0"/>
          <w:kern w:val="0"/>
          <w:sz w:val="24"/>
        </w:rPr>
        <w:t>出系数，</w:t>
      </w:r>
      <w:r>
        <w:rPr>
          <w:rStyle w:val="64"/>
          <w:rFonts w:hint="eastAsia"/>
          <w:b w:val="0"/>
          <w:kern w:val="0"/>
          <w:sz w:val="24"/>
        </w:rPr>
        <w:t>按</w:t>
      </w:r>
      <w:r>
        <w:rPr>
          <w:rStyle w:val="64"/>
          <w:rFonts w:hint="eastAsia" w:ascii="Times New Roman" w:hAnsi="Times New Roman"/>
          <w:b w:val="0"/>
          <w:kern w:val="0"/>
          <w:sz w:val="24"/>
        </w:rPr>
        <w:t>0</w:t>
      </w:r>
      <w:r>
        <w:rPr>
          <w:rStyle w:val="64"/>
          <w:rFonts w:hint="eastAsia"/>
          <w:b w:val="0"/>
          <w:kern w:val="0"/>
          <w:sz w:val="24"/>
        </w:rPr>
        <w:t>计</w:t>
      </w:r>
      <w:r>
        <w:rPr>
          <w:rStyle w:val="64"/>
          <w:rFonts w:ascii="Times New Roman" w:hAnsi="Times New Roman"/>
          <w:b w:val="0"/>
          <w:kern w:val="0"/>
          <w:sz w:val="24"/>
        </w:rPr>
        <w:t>。</w:t>
      </w:r>
    </w:p>
    <w:p>
      <w:pPr>
        <w:pStyle w:val="38"/>
        <w:spacing w:line="48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经计算，校核容积为1630.73m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&gt;1126.66m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，取两者中的较大值并乘以1.1的安全系数后，本项目渗滤液调节池容积规模应不小于1800m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，另外，项目单位运营过程中还应根据降雨、季节变化等情况保持渗滤液处理设施正常运行，确保调节池渗滤液不发生外溢。</w:t>
      </w:r>
    </w:p>
    <w:p>
      <w:pPr>
        <w:pStyle w:val="38"/>
        <w:spacing w:line="480" w:lineRule="exact"/>
        <w:ind w:firstLine="482"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2、其它废水</w:t>
      </w:r>
    </w:p>
    <w:p>
      <w:pPr>
        <w:pStyle w:val="38"/>
        <w:spacing w:line="48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项目其他废水主要为少量职工生活废水和垃圾运输车辆洗车废水。场内劳动定员10人，职工生活废水排放量约0.88m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/d，生活垃圾利用厢式垃圾压缩车进行运输，车次平均按10次/天计，洗车废水排放量约0.68m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/d，上述废水经收集后均进入渗滤液调节池随垃圾渗滤液一起处理。</w:t>
      </w:r>
    </w:p>
    <w:p>
      <w:pPr>
        <w:pStyle w:val="8"/>
        <w:spacing w:line="480" w:lineRule="exact"/>
        <w:rPr>
          <w:b/>
          <w:bCs/>
          <w:color w:val="auto"/>
          <w:sz w:val="24"/>
          <w:szCs w:val="24"/>
          <w:lang w:eastAsia="zh-CN"/>
        </w:rPr>
      </w:pPr>
      <w:r>
        <w:rPr>
          <w:rFonts w:hint="eastAsia"/>
          <w:b/>
          <w:bCs/>
          <w:color w:val="auto"/>
          <w:sz w:val="24"/>
          <w:szCs w:val="24"/>
          <w:lang w:eastAsia="zh-CN"/>
        </w:rPr>
        <w:t>3.4.2.3 噪声污染源</w:t>
      </w:r>
    </w:p>
    <w:p>
      <w:pPr>
        <w:spacing w:line="480" w:lineRule="exact"/>
        <w:ind w:firstLine="480" w:firstLineChars="200"/>
        <w:rPr>
          <w:sz w:val="24"/>
        </w:rPr>
      </w:pPr>
      <w:r>
        <w:rPr>
          <w:rFonts w:hint="eastAsia"/>
          <w:sz w:val="24"/>
        </w:rPr>
        <w:t>本项目运营过程噪声源主要为填埋作业车辆机械、渗滤液处理站水泵、填埋气抽气机房风机等，具体详见下表。</w:t>
      </w:r>
    </w:p>
    <w:p>
      <w:pPr>
        <w:spacing w:line="500" w:lineRule="exact"/>
        <w:jc w:val="center"/>
        <w:rPr>
          <w:b/>
          <w:sz w:val="24"/>
        </w:rPr>
      </w:pPr>
      <w:r>
        <w:rPr>
          <w:b/>
          <w:sz w:val="24"/>
        </w:rPr>
        <w:t>表</w:t>
      </w:r>
      <w:r>
        <w:rPr>
          <w:rFonts w:hint="eastAsia"/>
          <w:b/>
          <w:sz w:val="24"/>
        </w:rPr>
        <w:t>3.4-8项目主要噪声源强一览表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545"/>
        <w:gridCol w:w="726"/>
        <w:gridCol w:w="1936"/>
        <w:gridCol w:w="1261"/>
        <w:gridCol w:w="1620"/>
        <w:gridCol w:w="7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szCs w:val="21"/>
              </w:rPr>
              <w:t>序号</w:t>
            </w:r>
          </w:p>
        </w:tc>
        <w:tc>
          <w:tcPr>
            <w:tcW w:w="906" w:type="pct"/>
            <w:tcBorders>
              <w:tl2br w:val="nil"/>
              <w:tr2bl w:val="nil"/>
            </w:tcBorders>
            <w:vAlign w:val="center"/>
          </w:tcPr>
          <w:p>
            <w:pPr>
              <w:spacing w:line="280" w:lineRule="exact"/>
              <w:jc w:val="center"/>
              <w:rPr>
                <w:rFonts w:eastAsiaTheme="minorEastAsia"/>
                <w:szCs w:val="21"/>
              </w:rPr>
            </w:pPr>
            <w:r>
              <w:rPr>
                <w:rFonts w:hint="eastAsia"/>
                <w:szCs w:val="21"/>
              </w:rPr>
              <w:t>噪声源</w:t>
            </w:r>
          </w:p>
        </w:tc>
        <w:tc>
          <w:tcPr>
            <w:tcW w:w="426" w:type="pct"/>
            <w:tcBorders>
              <w:tl2br w:val="nil"/>
              <w:tr2bl w:val="nil"/>
            </w:tcBorders>
            <w:vAlign w:val="center"/>
          </w:tcPr>
          <w:p>
            <w:pPr>
              <w:spacing w:line="280" w:lineRule="exact"/>
              <w:jc w:val="center"/>
              <w:rPr>
                <w:rFonts w:eastAsiaTheme="minorEastAsia"/>
                <w:szCs w:val="21"/>
              </w:rPr>
            </w:pPr>
            <w:r>
              <w:rPr>
                <w:rFonts w:hint="eastAsia"/>
                <w:szCs w:val="21"/>
              </w:rPr>
              <w:t>台数</w:t>
            </w:r>
          </w:p>
        </w:tc>
        <w:tc>
          <w:tcPr>
            <w:tcW w:w="1135" w:type="pct"/>
            <w:tcBorders>
              <w:tl2br w:val="nil"/>
              <w:tr2bl w:val="nil"/>
            </w:tcBorders>
            <w:vAlign w:val="center"/>
          </w:tcPr>
          <w:p>
            <w:pPr>
              <w:spacing w:line="280" w:lineRule="exact"/>
              <w:jc w:val="center"/>
              <w:rPr>
                <w:szCs w:val="21"/>
              </w:rPr>
            </w:pPr>
            <w:r>
              <w:rPr>
                <w:rFonts w:hint="eastAsia"/>
                <w:szCs w:val="21"/>
              </w:rPr>
              <w:t>位置</w:t>
            </w:r>
          </w:p>
        </w:tc>
        <w:tc>
          <w:tcPr>
            <w:tcW w:w="739" w:type="pct"/>
            <w:tcBorders>
              <w:tl2br w:val="nil"/>
              <w:tr2bl w:val="nil"/>
            </w:tcBorders>
            <w:vAlign w:val="center"/>
          </w:tcPr>
          <w:p>
            <w:pPr>
              <w:spacing w:line="280" w:lineRule="exact"/>
              <w:jc w:val="center"/>
              <w:rPr>
                <w:rFonts w:eastAsiaTheme="minorEastAsia"/>
                <w:szCs w:val="21"/>
              </w:rPr>
            </w:pPr>
            <w:r>
              <w:rPr>
                <w:rFonts w:hint="eastAsia"/>
                <w:szCs w:val="21"/>
              </w:rPr>
              <w:t>噪声级</w:t>
            </w:r>
          </w:p>
        </w:tc>
        <w:tc>
          <w:tcPr>
            <w:tcW w:w="950" w:type="pct"/>
            <w:tcBorders>
              <w:tl2br w:val="nil"/>
              <w:tr2bl w:val="nil"/>
            </w:tcBorders>
            <w:vAlign w:val="center"/>
          </w:tcPr>
          <w:p>
            <w:pPr>
              <w:spacing w:line="280" w:lineRule="exact"/>
              <w:jc w:val="center"/>
              <w:rPr>
                <w:szCs w:val="21"/>
              </w:rPr>
            </w:pPr>
            <w:r>
              <w:rPr>
                <w:rFonts w:hint="eastAsia"/>
                <w:szCs w:val="21"/>
              </w:rPr>
              <w:t>特性</w:t>
            </w:r>
          </w:p>
        </w:tc>
        <w:tc>
          <w:tcPr>
            <w:tcW w:w="453" w:type="pct"/>
            <w:tcBorders>
              <w:tl2br w:val="nil"/>
              <w:tr2bl w:val="nil"/>
            </w:tcBorders>
            <w:vAlign w:val="center"/>
          </w:tcPr>
          <w:p>
            <w:pPr>
              <w:spacing w:line="280" w:lineRule="exact"/>
              <w:jc w:val="center"/>
              <w:rPr>
                <w:szCs w:val="21"/>
              </w:rPr>
            </w:pPr>
            <w:r>
              <w:rPr>
                <w:rFonts w:hint="eastAsia"/>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1</w:t>
            </w:r>
          </w:p>
        </w:tc>
        <w:tc>
          <w:tcPr>
            <w:tcW w:w="906" w:type="pct"/>
            <w:tcBorders>
              <w:tl2br w:val="nil"/>
              <w:tr2bl w:val="nil"/>
            </w:tcBorders>
            <w:vAlign w:val="center"/>
          </w:tcPr>
          <w:p>
            <w:pPr>
              <w:tabs>
                <w:tab w:val="left" w:pos="640"/>
              </w:tabs>
              <w:snapToGrid w:val="0"/>
              <w:spacing w:line="24" w:lineRule="atLeast"/>
              <w:jc w:val="center"/>
              <w:rPr>
                <w:szCs w:val="21"/>
              </w:rPr>
            </w:pPr>
            <w:r>
              <w:rPr>
                <w:rFonts w:hint="eastAsia"/>
                <w:spacing w:val="-1"/>
                <w:szCs w:val="21"/>
              </w:rPr>
              <w:t>垃圾压缩车</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rFonts w:hint="eastAsia"/>
                <w:color w:val="000000"/>
                <w:szCs w:val="21"/>
              </w:rPr>
              <w:t>10</w:t>
            </w:r>
          </w:p>
        </w:tc>
        <w:tc>
          <w:tcPr>
            <w:tcW w:w="1135" w:type="pct"/>
            <w:tcBorders>
              <w:tl2br w:val="nil"/>
              <w:tr2bl w:val="nil"/>
            </w:tcBorders>
            <w:shd w:val="clear" w:color="auto" w:fill="auto"/>
            <w:vAlign w:val="center"/>
          </w:tcPr>
          <w:p>
            <w:pPr>
              <w:jc w:val="center"/>
              <w:rPr>
                <w:szCs w:val="21"/>
              </w:rPr>
            </w:pPr>
            <w:r>
              <w:rPr>
                <w:rFonts w:hint="eastAsia"/>
                <w:szCs w:val="21"/>
              </w:rPr>
              <w:t>运输道路</w:t>
            </w:r>
          </w:p>
        </w:tc>
        <w:tc>
          <w:tcPr>
            <w:tcW w:w="739" w:type="pct"/>
            <w:tcBorders>
              <w:tl2br w:val="nil"/>
              <w:tr2bl w:val="nil"/>
            </w:tcBorders>
            <w:shd w:val="clear" w:color="auto" w:fill="auto"/>
            <w:vAlign w:val="center"/>
          </w:tcPr>
          <w:p>
            <w:pPr>
              <w:jc w:val="center"/>
              <w:rPr>
                <w:szCs w:val="21"/>
              </w:rPr>
            </w:pPr>
            <w:r>
              <w:rPr>
                <w:rFonts w:hint="eastAsia"/>
                <w:szCs w:val="21"/>
              </w:rPr>
              <w:t>80dB(A)</w:t>
            </w:r>
          </w:p>
        </w:tc>
        <w:tc>
          <w:tcPr>
            <w:tcW w:w="950" w:type="pct"/>
            <w:tcBorders>
              <w:tl2br w:val="nil"/>
              <w:tr2bl w:val="nil"/>
            </w:tcBorders>
            <w:vAlign w:val="center"/>
          </w:tcPr>
          <w:p>
            <w:pPr>
              <w:jc w:val="center"/>
              <w:rPr>
                <w:szCs w:val="21"/>
              </w:rPr>
            </w:pPr>
            <w:r>
              <w:rPr>
                <w:rFonts w:hint="eastAsia"/>
                <w:szCs w:val="21"/>
              </w:rPr>
              <w:t>流动源，间歇</w:t>
            </w:r>
          </w:p>
        </w:tc>
        <w:tc>
          <w:tcPr>
            <w:tcW w:w="453" w:type="pct"/>
            <w:tcBorders>
              <w:tl2br w:val="nil"/>
              <w:tr2bl w:val="nil"/>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2</w:t>
            </w:r>
          </w:p>
        </w:tc>
        <w:tc>
          <w:tcPr>
            <w:tcW w:w="906" w:type="pct"/>
            <w:tcBorders>
              <w:tl2br w:val="nil"/>
              <w:tr2bl w:val="nil"/>
            </w:tcBorders>
            <w:vAlign w:val="center"/>
          </w:tcPr>
          <w:p>
            <w:pPr>
              <w:tabs>
                <w:tab w:val="left" w:pos="640"/>
              </w:tabs>
              <w:snapToGrid w:val="0"/>
              <w:spacing w:line="24" w:lineRule="atLeast"/>
              <w:jc w:val="center"/>
              <w:rPr>
                <w:szCs w:val="21"/>
              </w:rPr>
            </w:pPr>
            <w:r>
              <w:rPr>
                <w:szCs w:val="21"/>
              </w:rPr>
              <w:t>履带式挖掘机</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135" w:type="pct"/>
            <w:tcBorders>
              <w:tl2br w:val="nil"/>
              <w:tr2bl w:val="nil"/>
            </w:tcBorders>
            <w:shd w:val="clear" w:color="auto" w:fill="auto"/>
            <w:vAlign w:val="center"/>
          </w:tcPr>
          <w:p>
            <w:pPr>
              <w:autoSpaceDE w:val="0"/>
              <w:autoSpaceDN w:val="0"/>
              <w:adjustRightInd w:val="0"/>
              <w:jc w:val="center"/>
              <w:rPr>
                <w:szCs w:val="21"/>
              </w:rPr>
            </w:pPr>
            <w:r>
              <w:rPr>
                <w:rFonts w:hint="eastAsia"/>
                <w:szCs w:val="21"/>
              </w:rPr>
              <w:t>场内临时堆土场</w:t>
            </w:r>
          </w:p>
        </w:tc>
        <w:tc>
          <w:tcPr>
            <w:tcW w:w="739" w:type="pct"/>
            <w:tcBorders>
              <w:tl2br w:val="nil"/>
              <w:tr2bl w:val="nil"/>
            </w:tcBorders>
            <w:shd w:val="clear" w:color="auto" w:fill="auto"/>
            <w:vAlign w:val="center"/>
          </w:tcPr>
          <w:p>
            <w:pPr>
              <w:autoSpaceDE w:val="0"/>
              <w:autoSpaceDN w:val="0"/>
              <w:adjustRightInd w:val="0"/>
              <w:jc w:val="center"/>
              <w:rPr>
                <w:rFonts w:eastAsiaTheme="minorEastAsia"/>
                <w:szCs w:val="21"/>
              </w:rPr>
            </w:pPr>
            <w:r>
              <w:rPr>
                <w:rFonts w:hint="eastAsia"/>
                <w:szCs w:val="21"/>
              </w:rPr>
              <w:t>85dB(A)</w:t>
            </w:r>
          </w:p>
        </w:tc>
        <w:tc>
          <w:tcPr>
            <w:tcW w:w="950" w:type="pct"/>
            <w:tcBorders>
              <w:tl2br w:val="nil"/>
              <w:tr2bl w:val="nil"/>
            </w:tcBorders>
            <w:vAlign w:val="center"/>
          </w:tcPr>
          <w:p>
            <w:pPr>
              <w:autoSpaceDE w:val="0"/>
              <w:autoSpaceDN w:val="0"/>
              <w:adjustRightInd w:val="0"/>
              <w:jc w:val="center"/>
              <w:rPr>
                <w:szCs w:val="21"/>
              </w:rPr>
            </w:pPr>
            <w:r>
              <w:rPr>
                <w:rFonts w:hint="eastAsia"/>
                <w:szCs w:val="21"/>
              </w:rPr>
              <w:t>流动源，间歇</w:t>
            </w:r>
          </w:p>
        </w:tc>
        <w:tc>
          <w:tcPr>
            <w:tcW w:w="453" w:type="pct"/>
            <w:tcBorders>
              <w:tl2br w:val="nil"/>
              <w:tr2bl w:val="nil"/>
            </w:tcBorders>
            <w:vAlign w:val="center"/>
          </w:tcPr>
          <w:p>
            <w:pPr>
              <w:autoSpaceDE w:val="0"/>
              <w:autoSpaceDN w:val="0"/>
              <w:adjustRightIn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3</w:t>
            </w:r>
          </w:p>
        </w:tc>
        <w:tc>
          <w:tcPr>
            <w:tcW w:w="906" w:type="pct"/>
            <w:tcBorders>
              <w:tl2br w:val="nil"/>
              <w:tr2bl w:val="nil"/>
            </w:tcBorders>
            <w:vAlign w:val="center"/>
          </w:tcPr>
          <w:p>
            <w:pPr>
              <w:tabs>
                <w:tab w:val="left" w:pos="640"/>
              </w:tabs>
              <w:snapToGrid w:val="0"/>
              <w:spacing w:line="24" w:lineRule="atLeast"/>
              <w:jc w:val="center"/>
              <w:rPr>
                <w:szCs w:val="21"/>
              </w:rPr>
            </w:pPr>
            <w:r>
              <w:rPr>
                <w:spacing w:val="-1"/>
                <w:szCs w:val="21"/>
              </w:rPr>
              <w:t>自</w:t>
            </w:r>
            <w:r>
              <w:rPr>
                <w:color w:val="000000"/>
                <w:szCs w:val="21"/>
              </w:rPr>
              <w:t>卸</w:t>
            </w:r>
            <w:r>
              <w:rPr>
                <w:spacing w:val="-1"/>
                <w:szCs w:val="21"/>
              </w:rPr>
              <w:t>汽车</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rFonts w:hint="eastAsia"/>
                <w:color w:val="000000"/>
                <w:szCs w:val="21"/>
              </w:rPr>
              <w:t>2</w:t>
            </w:r>
          </w:p>
        </w:tc>
        <w:tc>
          <w:tcPr>
            <w:tcW w:w="1135" w:type="pct"/>
            <w:tcBorders>
              <w:tl2br w:val="nil"/>
              <w:tr2bl w:val="nil"/>
            </w:tcBorders>
            <w:shd w:val="clear" w:color="auto" w:fill="auto"/>
            <w:vAlign w:val="center"/>
          </w:tcPr>
          <w:p>
            <w:pPr>
              <w:autoSpaceDE w:val="0"/>
              <w:autoSpaceDN w:val="0"/>
              <w:adjustRightInd w:val="0"/>
              <w:jc w:val="center"/>
              <w:rPr>
                <w:szCs w:val="21"/>
              </w:rPr>
            </w:pPr>
            <w:r>
              <w:rPr>
                <w:rFonts w:hint="eastAsia"/>
                <w:szCs w:val="21"/>
              </w:rPr>
              <w:t>场内道路及填埋区</w:t>
            </w:r>
          </w:p>
        </w:tc>
        <w:tc>
          <w:tcPr>
            <w:tcW w:w="739" w:type="pct"/>
            <w:tcBorders>
              <w:tl2br w:val="nil"/>
              <w:tr2bl w:val="nil"/>
            </w:tcBorders>
            <w:shd w:val="clear" w:color="auto" w:fill="auto"/>
            <w:vAlign w:val="center"/>
          </w:tcPr>
          <w:p>
            <w:pPr>
              <w:autoSpaceDE w:val="0"/>
              <w:autoSpaceDN w:val="0"/>
              <w:adjustRightInd w:val="0"/>
              <w:jc w:val="center"/>
              <w:rPr>
                <w:szCs w:val="21"/>
              </w:rPr>
            </w:pPr>
            <w:r>
              <w:rPr>
                <w:szCs w:val="21"/>
              </w:rPr>
              <w:t>85</w:t>
            </w:r>
            <w:r>
              <w:rPr>
                <w:rFonts w:hint="eastAsia"/>
                <w:szCs w:val="21"/>
              </w:rPr>
              <w:t>dB(A)</w:t>
            </w:r>
          </w:p>
        </w:tc>
        <w:tc>
          <w:tcPr>
            <w:tcW w:w="950" w:type="pct"/>
            <w:tcBorders>
              <w:tl2br w:val="nil"/>
              <w:tr2bl w:val="nil"/>
            </w:tcBorders>
            <w:vAlign w:val="center"/>
          </w:tcPr>
          <w:p>
            <w:pPr>
              <w:autoSpaceDE w:val="0"/>
              <w:autoSpaceDN w:val="0"/>
              <w:adjustRightInd w:val="0"/>
              <w:jc w:val="center"/>
              <w:rPr>
                <w:szCs w:val="21"/>
              </w:rPr>
            </w:pPr>
            <w:r>
              <w:rPr>
                <w:rFonts w:hint="eastAsia"/>
                <w:szCs w:val="21"/>
              </w:rPr>
              <w:t>流动源，间歇</w:t>
            </w:r>
          </w:p>
        </w:tc>
        <w:tc>
          <w:tcPr>
            <w:tcW w:w="453" w:type="pct"/>
            <w:tcBorders>
              <w:tl2br w:val="nil"/>
              <w:tr2bl w:val="nil"/>
            </w:tcBorders>
            <w:vAlign w:val="center"/>
          </w:tcPr>
          <w:p>
            <w:pPr>
              <w:autoSpaceDE w:val="0"/>
              <w:autoSpaceDN w:val="0"/>
              <w:adjustRightIn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rFonts w:eastAsia="华文中宋"/>
                <w:szCs w:val="21"/>
              </w:rPr>
            </w:pPr>
            <w:r>
              <w:rPr>
                <w:rFonts w:hint="eastAsia"/>
                <w:szCs w:val="21"/>
              </w:rPr>
              <w:t>4</w:t>
            </w:r>
          </w:p>
        </w:tc>
        <w:tc>
          <w:tcPr>
            <w:tcW w:w="906" w:type="pct"/>
            <w:tcBorders>
              <w:tl2br w:val="nil"/>
              <w:tr2bl w:val="nil"/>
            </w:tcBorders>
            <w:vAlign w:val="center"/>
          </w:tcPr>
          <w:p>
            <w:pPr>
              <w:tabs>
                <w:tab w:val="left" w:pos="640"/>
              </w:tabs>
              <w:snapToGrid w:val="0"/>
              <w:spacing w:line="24" w:lineRule="atLeast"/>
              <w:jc w:val="center"/>
              <w:rPr>
                <w:szCs w:val="21"/>
              </w:rPr>
            </w:pPr>
            <w:r>
              <w:rPr>
                <w:color w:val="000000"/>
                <w:szCs w:val="21"/>
              </w:rPr>
              <w:t>履带式</w:t>
            </w:r>
            <w:r>
              <w:rPr>
                <w:szCs w:val="21"/>
              </w:rPr>
              <w:t>推土机</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rFonts w:hint="eastAsia"/>
                <w:color w:val="000000"/>
                <w:szCs w:val="21"/>
              </w:rPr>
              <w:t>2</w:t>
            </w:r>
          </w:p>
        </w:tc>
        <w:tc>
          <w:tcPr>
            <w:tcW w:w="1135" w:type="pct"/>
            <w:tcBorders>
              <w:tl2br w:val="nil"/>
              <w:tr2bl w:val="nil"/>
            </w:tcBorders>
            <w:shd w:val="clear" w:color="auto" w:fill="auto"/>
            <w:vAlign w:val="center"/>
          </w:tcPr>
          <w:p>
            <w:pPr>
              <w:autoSpaceDE w:val="0"/>
              <w:autoSpaceDN w:val="0"/>
              <w:adjustRightInd w:val="0"/>
              <w:jc w:val="center"/>
              <w:rPr>
                <w:szCs w:val="21"/>
              </w:rPr>
            </w:pPr>
            <w:r>
              <w:rPr>
                <w:rFonts w:hint="eastAsia"/>
                <w:szCs w:val="21"/>
              </w:rPr>
              <w:t>填埋区</w:t>
            </w:r>
          </w:p>
        </w:tc>
        <w:tc>
          <w:tcPr>
            <w:tcW w:w="739" w:type="pct"/>
            <w:tcBorders>
              <w:tl2br w:val="nil"/>
              <w:tr2bl w:val="nil"/>
            </w:tcBorders>
            <w:shd w:val="clear" w:color="auto" w:fill="auto"/>
            <w:vAlign w:val="center"/>
          </w:tcPr>
          <w:p>
            <w:pPr>
              <w:autoSpaceDE w:val="0"/>
              <w:autoSpaceDN w:val="0"/>
              <w:adjustRightInd w:val="0"/>
              <w:jc w:val="center"/>
              <w:rPr>
                <w:rFonts w:eastAsiaTheme="minorEastAsia"/>
                <w:szCs w:val="21"/>
              </w:rPr>
            </w:pPr>
            <w:r>
              <w:rPr>
                <w:rFonts w:hint="eastAsia"/>
                <w:szCs w:val="21"/>
              </w:rPr>
              <w:t>85dB(A)</w:t>
            </w:r>
          </w:p>
        </w:tc>
        <w:tc>
          <w:tcPr>
            <w:tcW w:w="950" w:type="pct"/>
            <w:tcBorders>
              <w:tl2br w:val="nil"/>
              <w:tr2bl w:val="nil"/>
            </w:tcBorders>
            <w:vAlign w:val="center"/>
          </w:tcPr>
          <w:p>
            <w:pPr>
              <w:autoSpaceDE w:val="0"/>
              <w:autoSpaceDN w:val="0"/>
              <w:adjustRightInd w:val="0"/>
              <w:jc w:val="center"/>
              <w:rPr>
                <w:szCs w:val="21"/>
              </w:rPr>
            </w:pPr>
            <w:r>
              <w:rPr>
                <w:rFonts w:hint="eastAsia"/>
                <w:szCs w:val="21"/>
              </w:rPr>
              <w:t>流动源，间歇</w:t>
            </w:r>
          </w:p>
        </w:tc>
        <w:tc>
          <w:tcPr>
            <w:tcW w:w="453" w:type="pct"/>
            <w:tcBorders>
              <w:tl2br w:val="nil"/>
              <w:tr2bl w:val="nil"/>
            </w:tcBorders>
            <w:vAlign w:val="center"/>
          </w:tcPr>
          <w:p>
            <w:pPr>
              <w:autoSpaceDE w:val="0"/>
              <w:autoSpaceDN w:val="0"/>
              <w:adjustRightIn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5</w:t>
            </w:r>
          </w:p>
        </w:tc>
        <w:tc>
          <w:tcPr>
            <w:tcW w:w="906" w:type="pct"/>
            <w:tcBorders>
              <w:tl2br w:val="nil"/>
              <w:tr2bl w:val="nil"/>
            </w:tcBorders>
            <w:vAlign w:val="center"/>
          </w:tcPr>
          <w:p>
            <w:pPr>
              <w:tabs>
                <w:tab w:val="left" w:pos="640"/>
              </w:tabs>
              <w:snapToGrid w:val="0"/>
              <w:spacing w:line="24" w:lineRule="atLeast"/>
              <w:jc w:val="center"/>
              <w:rPr>
                <w:szCs w:val="21"/>
              </w:rPr>
            </w:pPr>
            <w:r>
              <w:rPr>
                <w:szCs w:val="21"/>
              </w:rPr>
              <w:t>压</w:t>
            </w:r>
            <w:r>
              <w:rPr>
                <w:color w:val="000000"/>
                <w:szCs w:val="21"/>
              </w:rPr>
              <w:t>实</w:t>
            </w:r>
            <w:r>
              <w:rPr>
                <w:szCs w:val="21"/>
              </w:rPr>
              <w:t>机</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135" w:type="pct"/>
            <w:tcBorders>
              <w:tl2br w:val="nil"/>
              <w:tr2bl w:val="nil"/>
            </w:tcBorders>
            <w:vAlign w:val="center"/>
          </w:tcPr>
          <w:p>
            <w:pPr>
              <w:jc w:val="center"/>
              <w:rPr>
                <w:szCs w:val="21"/>
              </w:rPr>
            </w:pPr>
            <w:r>
              <w:rPr>
                <w:rFonts w:hint="eastAsia"/>
                <w:szCs w:val="21"/>
              </w:rPr>
              <w:t>填埋区</w:t>
            </w:r>
          </w:p>
        </w:tc>
        <w:tc>
          <w:tcPr>
            <w:tcW w:w="739" w:type="pct"/>
            <w:tcBorders>
              <w:tl2br w:val="nil"/>
              <w:tr2bl w:val="nil"/>
            </w:tcBorders>
            <w:vAlign w:val="center"/>
          </w:tcPr>
          <w:p>
            <w:pPr>
              <w:jc w:val="center"/>
              <w:rPr>
                <w:szCs w:val="21"/>
              </w:rPr>
            </w:pPr>
            <w:r>
              <w:rPr>
                <w:rFonts w:hint="eastAsia"/>
                <w:szCs w:val="21"/>
              </w:rPr>
              <w:t>85dB(A)</w:t>
            </w:r>
          </w:p>
        </w:tc>
        <w:tc>
          <w:tcPr>
            <w:tcW w:w="950" w:type="pct"/>
            <w:tcBorders>
              <w:tl2br w:val="nil"/>
              <w:tr2bl w:val="nil"/>
            </w:tcBorders>
            <w:vAlign w:val="center"/>
          </w:tcPr>
          <w:p>
            <w:pPr>
              <w:jc w:val="center"/>
              <w:rPr>
                <w:szCs w:val="21"/>
              </w:rPr>
            </w:pPr>
            <w:r>
              <w:rPr>
                <w:rFonts w:hint="eastAsia"/>
                <w:szCs w:val="21"/>
              </w:rPr>
              <w:t>流动源，间歇</w:t>
            </w:r>
          </w:p>
        </w:tc>
        <w:tc>
          <w:tcPr>
            <w:tcW w:w="453" w:type="pct"/>
            <w:tcBorders>
              <w:tl2br w:val="nil"/>
              <w:tr2bl w:val="nil"/>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6</w:t>
            </w:r>
          </w:p>
        </w:tc>
        <w:tc>
          <w:tcPr>
            <w:tcW w:w="906" w:type="pct"/>
            <w:tcBorders>
              <w:tl2br w:val="nil"/>
              <w:tr2bl w:val="nil"/>
            </w:tcBorders>
            <w:vAlign w:val="center"/>
          </w:tcPr>
          <w:p>
            <w:pPr>
              <w:tabs>
                <w:tab w:val="left" w:pos="640"/>
              </w:tabs>
              <w:snapToGrid w:val="0"/>
              <w:spacing w:line="24" w:lineRule="atLeast"/>
              <w:jc w:val="center"/>
              <w:rPr>
                <w:szCs w:val="21"/>
              </w:rPr>
            </w:pPr>
            <w:r>
              <w:rPr>
                <w:color w:val="000000"/>
                <w:szCs w:val="21"/>
              </w:rPr>
              <w:t>洒</w:t>
            </w:r>
            <w:r>
              <w:rPr>
                <w:szCs w:val="21"/>
              </w:rPr>
              <w:t>水车</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135" w:type="pct"/>
            <w:tcBorders>
              <w:tl2br w:val="nil"/>
              <w:tr2bl w:val="nil"/>
            </w:tcBorders>
            <w:vAlign w:val="center"/>
          </w:tcPr>
          <w:p>
            <w:pPr>
              <w:jc w:val="center"/>
              <w:rPr>
                <w:szCs w:val="21"/>
              </w:rPr>
            </w:pPr>
            <w:r>
              <w:rPr>
                <w:rFonts w:hint="eastAsia"/>
                <w:szCs w:val="21"/>
              </w:rPr>
              <w:t>进场及场内道路</w:t>
            </w:r>
          </w:p>
        </w:tc>
        <w:tc>
          <w:tcPr>
            <w:tcW w:w="739" w:type="pct"/>
            <w:tcBorders>
              <w:tl2br w:val="nil"/>
              <w:tr2bl w:val="nil"/>
            </w:tcBorders>
            <w:vAlign w:val="center"/>
          </w:tcPr>
          <w:p>
            <w:pPr>
              <w:jc w:val="center"/>
              <w:rPr>
                <w:szCs w:val="21"/>
              </w:rPr>
            </w:pPr>
            <w:r>
              <w:rPr>
                <w:rFonts w:hint="eastAsia"/>
                <w:szCs w:val="21"/>
              </w:rPr>
              <w:t>70dB(A)</w:t>
            </w:r>
          </w:p>
        </w:tc>
        <w:tc>
          <w:tcPr>
            <w:tcW w:w="950" w:type="pct"/>
            <w:tcBorders>
              <w:tl2br w:val="nil"/>
              <w:tr2bl w:val="nil"/>
            </w:tcBorders>
            <w:vAlign w:val="center"/>
          </w:tcPr>
          <w:p>
            <w:pPr>
              <w:jc w:val="center"/>
              <w:rPr>
                <w:szCs w:val="21"/>
              </w:rPr>
            </w:pPr>
            <w:r>
              <w:rPr>
                <w:rFonts w:hint="eastAsia"/>
                <w:szCs w:val="21"/>
              </w:rPr>
              <w:t>流动源，间歇</w:t>
            </w:r>
          </w:p>
        </w:tc>
        <w:tc>
          <w:tcPr>
            <w:tcW w:w="453" w:type="pct"/>
            <w:tcBorders>
              <w:tl2br w:val="nil"/>
              <w:tr2bl w:val="nil"/>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7</w:t>
            </w:r>
          </w:p>
        </w:tc>
        <w:tc>
          <w:tcPr>
            <w:tcW w:w="906" w:type="pct"/>
            <w:tcBorders>
              <w:tl2br w:val="nil"/>
              <w:tr2bl w:val="nil"/>
            </w:tcBorders>
            <w:vAlign w:val="center"/>
          </w:tcPr>
          <w:p>
            <w:pPr>
              <w:tabs>
                <w:tab w:val="left" w:pos="640"/>
              </w:tabs>
              <w:snapToGrid w:val="0"/>
              <w:spacing w:line="24" w:lineRule="atLeast"/>
              <w:jc w:val="center"/>
              <w:rPr>
                <w:szCs w:val="21"/>
              </w:rPr>
            </w:pPr>
            <w:r>
              <w:rPr>
                <w:color w:val="000000"/>
                <w:szCs w:val="21"/>
              </w:rPr>
              <w:t>喷药</w:t>
            </w:r>
            <w:r>
              <w:rPr>
                <w:szCs w:val="21"/>
              </w:rPr>
              <w:t>车</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135" w:type="pct"/>
            <w:tcBorders>
              <w:tl2br w:val="nil"/>
              <w:tr2bl w:val="nil"/>
            </w:tcBorders>
            <w:vAlign w:val="center"/>
          </w:tcPr>
          <w:p>
            <w:pPr>
              <w:jc w:val="center"/>
              <w:rPr>
                <w:szCs w:val="21"/>
              </w:rPr>
            </w:pPr>
            <w:r>
              <w:rPr>
                <w:rFonts w:hint="eastAsia"/>
                <w:szCs w:val="21"/>
              </w:rPr>
              <w:t>填埋区</w:t>
            </w:r>
          </w:p>
        </w:tc>
        <w:tc>
          <w:tcPr>
            <w:tcW w:w="739" w:type="pct"/>
            <w:tcBorders>
              <w:tl2br w:val="nil"/>
              <w:tr2bl w:val="nil"/>
            </w:tcBorders>
            <w:vAlign w:val="center"/>
          </w:tcPr>
          <w:p>
            <w:pPr>
              <w:jc w:val="center"/>
              <w:rPr>
                <w:szCs w:val="21"/>
              </w:rPr>
            </w:pPr>
            <w:r>
              <w:rPr>
                <w:rFonts w:hint="eastAsia"/>
                <w:szCs w:val="21"/>
              </w:rPr>
              <w:t>70dB(A)</w:t>
            </w:r>
          </w:p>
        </w:tc>
        <w:tc>
          <w:tcPr>
            <w:tcW w:w="950" w:type="pct"/>
            <w:tcBorders>
              <w:tl2br w:val="nil"/>
              <w:tr2bl w:val="nil"/>
            </w:tcBorders>
            <w:vAlign w:val="center"/>
          </w:tcPr>
          <w:p>
            <w:pPr>
              <w:jc w:val="center"/>
              <w:rPr>
                <w:szCs w:val="21"/>
              </w:rPr>
            </w:pPr>
            <w:r>
              <w:rPr>
                <w:rFonts w:hint="eastAsia"/>
                <w:szCs w:val="21"/>
              </w:rPr>
              <w:t>流动源，间歇</w:t>
            </w:r>
          </w:p>
        </w:tc>
        <w:tc>
          <w:tcPr>
            <w:tcW w:w="453" w:type="pct"/>
            <w:tcBorders>
              <w:tl2br w:val="nil"/>
              <w:tr2bl w:val="nil"/>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8</w:t>
            </w:r>
          </w:p>
        </w:tc>
        <w:tc>
          <w:tcPr>
            <w:tcW w:w="906" w:type="pct"/>
            <w:tcBorders>
              <w:tl2br w:val="nil"/>
              <w:tr2bl w:val="nil"/>
            </w:tcBorders>
            <w:vAlign w:val="center"/>
          </w:tcPr>
          <w:p>
            <w:pPr>
              <w:tabs>
                <w:tab w:val="left" w:pos="640"/>
              </w:tabs>
              <w:snapToGrid w:val="0"/>
              <w:spacing w:line="24" w:lineRule="atLeast"/>
              <w:jc w:val="center"/>
              <w:rPr>
                <w:szCs w:val="21"/>
              </w:rPr>
            </w:pPr>
            <w:r>
              <w:rPr>
                <w:szCs w:val="21"/>
              </w:rPr>
              <w:t>吸</w:t>
            </w:r>
            <w:r>
              <w:rPr>
                <w:color w:val="000000"/>
                <w:szCs w:val="21"/>
              </w:rPr>
              <w:t>污</w:t>
            </w:r>
            <w:r>
              <w:rPr>
                <w:szCs w:val="21"/>
              </w:rPr>
              <w:t>车</w:t>
            </w:r>
          </w:p>
        </w:tc>
        <w:tc>
          <w:tcPr>
            <w:tcW w:w="426"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135" w:type="pct"/>
            <w:tcBorders>
              <w:tl2br w:val="nil"/>
              <w:tr2bl w:val="nil"/>
            </w:tcBorders>
            <w:vAlign w:val="center"/>
          </w:tcPr>
          <w:p>
            <w:pPr>
              <w:jc w:val="center"/>
              <w:rPr>
                <w:szCs w:val="21"/>
              </w:rPr>
            </w:pPr>
            <w:r>
              <w:rPr>
                <w:rFonts w:hint="eastAsia"/>
                <w:szCs w:val="21"/>
              </w:rPr>
              <w:t>渗滤液处理站</w:t>
            </w:r>
          </w:p>
        </w:tc>
        <w:tc>
          <w:tcPr>
            <w:tcW w:w="739" w:type="pct"/>
            <w:tcBorders>
              <w:tl2br w:val="nil"/>
              <w:tr2bl w:val="nil"/>
            </w:tcBorders>
            <w:vAlign w:val="center"/>
          </w:tcPr>
          <w:p>
            <w:pPr>
              <w:jc w:val="center"/>
              <w:rPr>
                <w:szCs w:val="21"/>
              </w:rPr>
            </w:pPr>
            <w:r>
              <w:rPr>
                <w:rFonts w:hint="eastAsia"/>
                <w:szCs w:val="21"/>
              </w:rPr>
              <w:t>70dB(A)</w:t>
            </w:r>
          </w:p>
        </w:tc>
        <w:tc>
          <w:tcPr>
            <w:tcW w:w="950" w:type="pct"/>
            <w:tcBorders>
              <w:tl2br w:val="nil"/>
              <w:tr2bl w:val="nil"/>
            </w:tcBorders>
            <w:vAlign w:val="center"/>
          </w:tcPr>
          <w:p>
            <w:pPr>
              <w:jc w:val="center"/>
              <w:rPr>
                <w:szCs w:val="21"/>
              </w:rPr>
            </w:pPr>
            <w:r>
              <w:rPr>
                <w:rFonts w:hint="eastAsia"/>
                <w:szCs w:val="21"/>
              </w:rPr>
              <w:t>流动源，间歇</w:t>
            </w:r>
          </w:p>
        </w:tc>
        <w:tc>
          <w:tcPr>
            <w:tcW w:w="453" w:type="pct"/>
            <w:tcBorders>
              <w:tl2br w:val="nil"/>
              <w:tr2bl w:val="nil"/>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9</w:t>
            </w:r>
          </w:p>
        </w:tc>
        <w:tc>
          <w:tcPr>
            <w:tcW w:w="906" w:type="pct"/>
            <w:tcBorders>
              <w:tl2br w:val="nil"/>
              <w:tr2bl w:val="nil"/>
            </w:tcBorders>
            <w:vAlign w:val="center"/>
          </w:tcPr>
          <w:p>
            <w:pPr>
              <w:jc w:val="center"/>
              <w:rPr>
                <w:szCs w:val="21"/>
              </w:rPr>
            </w:pPr>
            <w:r>
              <w:rPr>
                <w:rFonts w:hint="eastAsia"/>
                <w:szCs w:val="21"/>
              </w:rPr>
              <w:t>水泵</w:t>
            </w:r>
          </w:p>
        </w:tc>
        <w:tc>
          <w:tcPr>
            <w:tcW w:w="426" w:type="pct"/>
            <w:tcBorders>
              <w:tl2br w:val="nil"/>
              <w:tr2bl w:val="nil"/>
            </w:tcBorders>
            <w:vAlign w:val="center"/>
          </w:tcPr>
          <w:p>
            <w:pPr>
              <w:jc w:val="center"/>
              <w:rPr>
                <w:rFonts w:eastAsia="华文中宋"/>
                <w:szCs w:val="21"/>
              </w:rPr>
            </w:pPr>
            <w:r>
              <w:rPr>
                <w:rFonts w:hint="eastAsia" w:asciiTheme="minorEastAsia" w:hAnsiTheme="minorEastAsia" w:eastAsiaTheme="minorEastAsia" w:cstheme="minorEastAsia"/>
                <w:szCs w:val="21"/>
              </w:rPr>
              <w:t>14</w:t>
            </w:r>
          </w:p>
        </w:tc>
        <w:tc>
          <w:tcPr>
            <w:tcW w:w="1135" w:type="pct"/>
            <w:tcBorders>
              <w:tl2br w:val="nil"/>
              <w:tr2bl w:val="nil"/>
            </w:tcBorders>
            <w:vAlign w:val="center"/>
          </w:tcPr>
          <w:p>
            <w:pPr>
              <w:jc w:val="center"/>
              <w:rPr>
                <w:szCs w:val="21"/>
              </w:rPr>
            </w:pPr>
            <w:r>
              <w:rPr>
                <w:rFonts w:hint="eastAsia"/>
                <w:szCs w:val="21"/>
              </w:rPr>
              <w:t>渗滤液处理站内</w:t>
            </w:r>
          </w:p>
        </w:tc>
        <w:tc>
          <w:tcPr>
            <w:tcW w:w="739" w:type="pct"/>
            <w:tcBorders>
              <w:tl2br w:val="nil"/>
              <w:tr2bl w:val="nil"/>
            </w:tcBorders>
            <w:vAlign w:val="center"/>
          </w:tcPr>
          <w:p>
            <w:pPr>
              <w:jc w:val="center"/>
              <w:rPr>
                <w:szCs w:val="21"/>
              </w:rPr>
            </w:pPr>
            <w:r>
              <w:rPr>
                <w:rFonts w:hint="eastAsia"/>
                <w:szCs w:val="21"/>
              </w:rPr>
              <w:t>85dB(A)</w:t>
            </w:r>
          </w:p>
        </w:tc>
        <w:tc>
          <w:tcPr>
            <w:tcW w:w="950" w:type="pct"/>
            <w:tcBorders>
              <w:tl2br w:val="nil"/>
              <w:tr2bl w:val="nil"/>
            </w:tcBorders>
            <w:vAlign w:val="center"/>
          </w:tcPr>
          <w:p>
            <w:pPr>
              <w:jc w:val="center"/>
              <w:rPr>
                <w:szCs w:val="21"/>
              </w:rPr>
            </w:pPr>
            <w:r>
              <w:rPr>
                <w:rFonts w:hint="eastAsia"/>
                <w:szCs w:val="21"/>
              </w:rPr>
              <w:t>固定源，连续</w:t>
            </w:r>
          </w:p>
        </w:tc>
        <w:tc>
          <w:tcPr>
            <w:tcW w:w="453" w:type="pct"/>
            <w:tcBorders>
              <w:tl2br w:val="nil"/>
              <w:tr2bl w:val="nil"/>
            </w:tcBorders>
            <w:vAlign w:val="center"/>
          </w:tcPr>
          <w:p>
            <w:pPr>
              <w:jc w:val="center"/>
              <w:rPr>
                <w:szCs w:val="21"/>
              </w:rPr>
            </w:pPr>
            <w:r>
              <w:rPr>
                <w:rFonts w:hint="eastAsia"/>
                <w:szCs w:val="21"/>
              </w:rPr>
              <w:t>已建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7" w:type="pct"/>
            <w:tcBorders>
              <w:tl2br w:val="nil"/>
              <w:tr2bl w:val="nil"/>
            </w:tcBorders>
            <w:vAlign w:val="center"/>
          </w:tcPr>
          <w:p>
            <w:pPr>
              <w:spacing w:line="280" w:lineRule="exact"/>
              <w:jc w:val="center"/>
              <w:rPr>
                <w:szCs w:val="21"/>
              </w:rPr>
            </w:pPr>
            <w:r>
              <w:rPr>
                <w:rFonts w:hint="eastAsia"/>
                <w:szCs w:val="21"/>
              </w:rPr>
              <w:t>10</w:t>
            </w:r>
          </w:p>
        </w:tc>
        <w:tc>
          <w:tcPr>
            <w:tcW w:w="906" w:type="pct"/>
            <w:tcBorders>
              <w:tl2br w:val="nil"/>
              <w:tr2bl w:val="nil"/>
            </w:tcBorders>
            <w:vAlign w:val="center"/>
          </w:tcPr>
          <w:p>
            <w:pPr>
              <w:jc w:val="center"/>
              <w:rPr>
                <w:szCs w:val="21"/>
              </w:rPr>
            </w:pPr>
            <w:r>
              <w:rPr>
                <w:rFonts w:hint="eastAsia"/>
                <w:szCs w:val="21"/>
              </w:rPr>
              <w:t>风机</w:t>
            </w:r>
          </w:p>
        </w:tc>
        <w:tc>
          <w:tcPr>
            <w:tcW w:w="426" w:type="pct"/>
            <w:tcBorders>
              <w:tl2br w:val="nil"/>
              <w:tr2bl w:val="nil"/>
            </w:tcBorders>
            <w:vAlign w:val="center"/>
          </w:tcPr>
          <w:p>
            <w:pPr>
              <w:jc w:val="center"/>
              <w:rPr>
                <w:rFonts w:eastAsia="华文中宋"/>
                <w:szCs w:val="21"/>
              </w:rPr>
            </w:pPr>
            <w:r>
              <w:rPr>
                <w:rFonts w:hint="eastAsia" w:eastAsia="华文中宋"/>
                <w:szCs w:val="21"/>
              </w:rPr>
              <w:t>1</w:t>
            </w:r>
          </w:p>
        </w:tc>
        <w:tc>
          <w:tcPr>
            <w:tcW w:w="1135" w:type="pct"/>
            <w:tcBorders>
              <w:tl2br w:val="nil"/>
              <w:tr2bl w:val="nil"/>
            </w:tcBorders>
            <w:vAlign w:val="center"/>
          </w:tcPr>
          <w:p>
            <w:pPr>
              <w:jc w:val="center"/>
              <w:rPr>
                <w:szCs w:val="21"/>
              </w:rPr>
            </w:pPr>
            <w:r>
              <w:rPr>
                <w:rFonts w:hint="eastAsia"/>
                <w:szCs w:val="21"/>
              </w:rPr>
              <w:t>填埋气抽气机房内</w:t>
            </w:r>
          </w:p>
        </w:tc>
        <w:tc>
          <w:tcPr>
            <w:tcW w:w="739" w:type="pct"/>
            <w:tcBorders>
              <w:tl2br w:val="nil"/>
              <w:tr2bl w:val="nil"/>
            </w:tcBorders>
            <w:vAlign w:val="center"/>
          </w:tcPr>
          <w:p>
            <w:pPr>
              <w:jc w:val="center"/>
              <w:rPr>
                <w:szCs w:val="21"/>
              </w:rPr>
            </w:pPr>
            <w:r>
              <w:rPr>
                <w:rFonts w:hint="eastAsia"/>
                <w:szCs w:val="21"/>
              </w:rPr>
              <w:t>95dB(A)</w:t>
            </w:r>
          </w:p>
        </w:tc>
        <w:tc>
          <w:tcPr>
            <w:tcW w:w="950" w:type="pct"/>
            <w:tcBorders>
              <w:tl2br w:val="nil"/>
              <w:tr2bl w:val="nil"/>
            </w:tcBorders>
            <w:vAlign w:val="center"/>
          </w:tcPr>
          <w:p>
            <w:pPr>
              <w:jc w:val="center"/>
              <w:rPr>
                <w:szCs w:val="21"/>
              </w:rPr>
            </w:pPr>
            <w:r>
              <w:rPr>
                <w:rFonts w:hint="eastAsia"/>
                <w:szCs w:val="21"/>
              </w:rPr>
              <w:t>固定源，连续</w:t>
            </w:r>
          </w:p>
        </w:tc>
        <w:tc>
          <w:tcPr>
            <w:tcW w:w="453" w:type="pct"/>
            <w:tcBorders>
              <w:tl2br w:val="nil"/>
              <w:tr2bl w:val="nil"/>
            </w:tcBorders>
            <w:vAlign w:val="center"/>
          </w:tcPr>
          <w:p>
            <w:pPr>
              <w:jc w:val="center"/>
              <w:rPr>
                <w:szCs w:val="21"/>
              </w:rPr>
            </w:pPr>
            <w:r>
              <w:rPr>
                <w:rFonts w:hint="eastAsia"/>
                <w:szCs w:val="21"/>
              </w:rPr>
              <w:t>未建</w:t>
            </w:r>
          </w:p>
        </w:tc>
      </w:tr>
    </w:tbl>
    <w:p>
      <w:pPr>
        <w:spacing w:line="480" w:lineRule="exact"/>
        <w:ind w:firstLine="480" w:firstLineChars="200"/>
        <w:rPr>
          <w:sz w:val="24"/>
        </w:rPr>
      </w:pPr>
      <w:r>
        <w:rPr>
          <w:rFonts w:hint="eastAsia"/>
          <w:sz w:val="24"/>
        </w:rPr>
        <w:t>项目噪声源主要为场内填埋作业的机械、车辆，活动范围较小，均为间歇性运行，各水泵、风机均布置在密闭结构的砖混车间内，评价还要求采取以下降噪措施：加强机械、车辆管理，合理安排填埋作业时间，制定操作规程；各水泵、风机等机械设备进行基础减震，风机安装柔性接头；加强场地及周边绿化，形成隔离带等。项目场地周边主要为农田及荒地，其中最近的村庄敏感点位于670m外，项目场地作业对区域村庄影响不大。</w:t>
      </w:r>
    </w:p>
    <w:p>
      <w:pPr>
        <w:spacing w:line="480" w:lineRule="exact"/>
        <w:ind w:firstLine="480" w:firstLineChars="200"/>
        <w:rPr>
          <w:sz w:val="24"/>
        </w:rPr>
      </w:pPr>
      <w:r>
        <w:rPr>
          <w:rFonts w:hint="eastAsia"/>
          <w:sz w:val="24"/>
        </w:rPr>
        <w:t>项目生活垃圾运输路线主要为“县城西城路—省道李东线（S325）—进场道路”，采用厢式压缩车进行运输，车辆驶离城区后在省道李东线沿线分布有北皇村和辛村村村庄敏感点，项目垃圾运输车不穿越上述村庄，运输时间正常情况下均在白天8小时工作时间内，且频次较低（平均约10车次/天），对沿线村庄等敏感点影响较小。</w:t>
      </w:r>
    </w:p>
    <w:p>
      <w:pPr>
        <w:pStyle w:val="8"/>
        <w:spacing w:line="480" w:lineRule="exact"/>
        <w:rPr>
          <w:b/>
          <w:bCs/>
          <w:color w:val="auto"/>
          <w:sz w:val="24"/>
          <w:szCs w:val="24"/>
          <w:lang w:eastAsia="zh-CN"/>
        </w:rPr>
      </w:pPr>
      <w:r>
        <w:rPr>
          <w:rFonts w:hint="eastAsia"/>
          <w:b/>
          <w:bCs/>
          <w:color w:val="auto"/>
          <w:sz w:val="24"/>
          <w:szCs w:val="24"/>
          <w:lang w:eastAsia="zh-CN"/>
        </w:rPr>
        <w:t>3.4.2.4 固废污染源</w:t>
      </w:r>
    </w:p>
    <w:p>
      <w:pPr>
        <w:spacing w:line="480" w:lineRule="exact"/>
        <w:ind w:firstLine="480" w:firstLineChars="200"/>
        <w:rPr>
          <w:sz w:val="24"/>
        </w:rPr>
      </w:pPr>
      <w:r>
        <w:rPr>
          <w:rFonts w:hint="eastAsia"/>
          <w:sz w:val="24"/>
        </w:rPr>
        <w:t>本项目运营过程产生的固废主要为渗滤液处理车间部分滤渣、化粪池粪渣及少量职工生活垃圾。其中渗滤液处理过程产生的滤渣量约为1.18t/a，生活垃圾产生量约为2t/a，性质均较简单，送至场内库区进行填埋处置；化粪池粪渣产生量0.8t/a，由环卫部门定期清掏。</w:t>
      </w:r>
    </w:p>
    <w:p>
      <w:pPr>
        <w:pStyle w:val="6"/>
        <w:spacing w:line="480" w:lineRule="exact"/>
      </w:pPr>
      <w:r>
        <w:t>3.</w:t>
      </w:r>
      <w:r>
        <w:rPr>
          <w:rFonts w:hint="eastAsia"/>
        </w:rPr>
        <w:t>4</w:t>
      </w:r>
      <w:r>
        <w:t>.</w:t>
      </w:r>
      <w:r>
        <w:rPr>
          <w:rFonts w:hint="eastAsia"/>
        </w:rPr>
        <w:t>3服务期满后污染源排放情况及防治措施</w:t>
      </w:r>
    </w:p>
    <w:p>
      <w:pPr>
        <w:spacing w:line="480" w:lineRule="exact"/>
        <w:ind w:firstLine="480" w:firstLineChars="200"/>
        <w:jc w:val="left"/>
        <w:rPr>
          <w:sz w:val="24"/>
        </w:rPr>
      </w:pPr>
      <w:r>
        <w:rPr>
          <w:rFonts w:hint="eastAsia"/>
          <w:sz w:val="24"/>
        </w:rPr>
        <w:t>项目场地生活垃圾填埋达到设计标高和设计容量时，必须按要求进行垃圾堆体整形、终场覆盖、堆体表面敷设排水沟等封场处理，终场覆盖各层应具有排气、防渗、排水、绿化土层等功能。封场处理作用主要为减少大气降雨进入填埋区内，提高表面排水能力，从而减少渗滤液的产量，减少腐蚀，防止沉降，并进行填埋区土地的再利用。</w:t>
      </w:r>
    </w:p>
    <w:p>
      <w:pPr>
        <w:spacing w:line="480" w:lineRule="exact"/>
        <w:ind w:firstLine="480" w:firstLineChars="200"/>
        <w:jc w:val="left"/>
        <w:rPr>
          <w:sz w:val="24"/>
        </w:rPr>
      </w:pPr>
      <w:r>
        <w:rPr>
          <w:rFonts w:hint="eastAsia"/>
          <w:sz w:val="24"/>
        </w:rPr>
        <w:t>项目场地服务期满封场后仍会产生一定数量的渗滤液，填埋气仍会持续排放10～15年左右，应继续进行以下维护管理工作：</w:t>
      </w:r>
    </w:p>
    <w:p>
      <w:pPr>
        <w:spacing w:line="480" w:lineRule="exact"/>
        <w:ind w:firstLine="480" w:firstLineChars="200"/>
        <w:jc w:val="left"/>
        <w:rPr>
          <w:sz w:val="24"/>
        </w:rPr>
      </w:pPr>
      <w:r>
        <w:rPr>
          <w:rFonts w:hint="eastAsia"/>
          <w:sz w:val="24"/>
        </w:rPr>
        <w:t>1、维护最终覆盖层的完整性和有效性；</w:t>
      </w:r>
    </w:p>
    <w:p>
      <w:pPr>
        <w:spacing w:line="480" w:lineRule="exact"/>
        <w:ind w:firstLine="480" w:firstLineChars="200"/>
        <w:jc w:val="left"/>
        <w:rPr>
          <w:sz w:val="24"/>
        </w:rPr>
      </w:pPr>
      <w:r>
        <w:rPr>
          <w:rFonts w:hint="eastAsia"/>
          <w:sz w:val="24"/>
        </w:rPr>
        <w:t>2、继续进行渗滤液和填埋气的收集、处理；</w:t>
      </w:r>
    </w:p>
    <w:p>
      <w:pPr>
        <w:spacing w:line="480" w:lineRule="exact"/>
        <w:ind w:firstLine="480" w:firstLineChars="200"/>
        <w:jc w:val="left"/>
        <w:rPr>
          <w:sz w:val="24"/>
        </w:rPr>
      </w:pPr>
      <w:r>
        <w:rPr>
          <w:rFonts w:hint="eastAsia"/>
          <w:sz w:val="24"/>
        </w:rPr>
        <w:t>3、继续监测地下水水质的变化。</w:t>
      </w:r>
    </w:p>
    <w:p>
      <w:pPr>
        <w:pStyle w:val="6"/>
        <w:spacing w:line="500" w:lineRule="exact"/>
      </w:pPr>
      <w:r>
        <w:t>3.</w:t>
      </w:r>
      <w:r>
        <w:rPr>
          <w:rFonts w:hint="eastAsia"/>
        </w:rPr>
        <w:t>4</w:t>
      </w:r>
      <w:r>
        <w:t>.</w:t>
      </w:r>
      <w:r>
        <w:rPr>
          <w:rFonts w:hint="eastAsia"/>
        </w:rPr>
        <w:t>4污染源排放及防治措施汇总表</w:t>
      </w:r>
    </w:p>
    <w:p>
      <w:pPr>
        <w:spacing w:line="500" w:lineRule="exact"/>
        <w:ind w:firstLine="480" w:firstLineChars="200"/>
        <w:jc w:val="left"/>
        <w:rPr>
          <w:sz w:val="24"/>
        </w:rPr>
        <w:sectPr>
          <w:headerReference r:id="rId13" w:type="default"/>
          <w:pgSz w:w="11906" w:h="16838"/>
          <w:pgMar w:top="1245" w:right="1800" w:bottom="1440" w:left="1800" w:header="907" w:footer="992" w:gutter="0"/>
          <w:cols w:space="425" w:num="1"/>
          <w:docGrid w:type="lines" w:linePitch="312" w:charSpace="0"/>
        </w:sectPr>
      </w:pPr>
      <w:r>
        <w:rPr>
          <w:rFonts w:hint="eastAsia"/>
          <w:sz w:val="24"/>
        </w:rPr>
        <w:t>项目主要产污环节及源强排放情况详见下表。</w:t>
      </w:r>
    </w:p>
    <w:p>
      <w:pPr>
        <w:spacing w:line="500" w:lineRule="exact"/>
        <w:jc w:val="center"/>
        <w:rPr>
          <w:b/>
          <w:color w:val="000000"/>
          <w:spacing w:val="4"/>
          <w:sz w:val="24"/>
          <w:lang w:val="zh-CN"/>
        </w:rPr>
      </w:pPr>
      <w:r>
        <w:rPr>
          <w:b/>
          <w:color w:val="000000"/>
          <w:spacing w:val="4"/>
          <w:sz w:val="24"/>
          <w:lang w:val="zh-CN"/>
        </w:rPr>
        <w:t>表</w:t>
      </w:r>
      <w:r>
        <w:rPr>
          <w:rFonts w:hint="eastAsia"/>
          <w:b/>
          <w:color w:val="000000"/>
          <w:spacing w:val="4"/>
          <w:sz w:val="24"/>
        </w:rPr>
        <w:t>3.4-9</w:t>
      </w:r>
      <w:r>
        <w:rPr>
          <w:b/>
          <w:color w:val="000000"/>
          <w:spacing w:val="4"/>
          <w:sz w:val="24"/>
          <w:lang w:val="zh-CN"/>
        </w:rPr>
        <w:t xml:space="preserve">  项目主要污染源排放及防治措施</w:t>
      </w:r>
      <w:r>
        <w:rPr>
          <w:rFonts w:hint="eastAsia"/>
          <w:b/>
          <w:color w:val="000000"/>
          <w:spacing w:val="4"/>
          <w:sz w:val="24"/>
          <w:lang w:val="zh-CN"/>
        </w:rPr>
        <w:t>汇总表</w:t>
      </w:r>
    </w:p>
    <w:tbl>
      <w:tblPr>
        <w:tblStyle w:val="30"/>
        <w:tblW w:w="498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4"/>
        <w:gridCol w:w="651"/>
        <w:gridCol w:w="1532"/>
        <w:gridCol w:w="1140"/>
        <w:gridCol w:w="1343"/>
        <w:gridCol w:w="1320"/>
        <w:gridCol w:w="5270"/>
        <w:gridCol w:w="1271"/>
        <w:gridCol w:w="11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21" w:type="pct"/>
            <w:vMerge w:val="restart"/>
            <w:tcBorders>
              <w:tl2br w:val="nil"/>
              <w:tr2bl w:val="nil"/>
            </w:tcBorders>
            <w:vAlign w:val="center"/>
          </w:tcPr>
          <w:p>
            <w:pPr>
              <w:spacing w:line="250" w:lineRule="exact"/>
              <w:jc w:val="center"/>
              <w:rPr>
                <w:b/>
                <w:szCs w:val="21"/>
              </w:rPr>
            </w:pPr>
            <w:r>
              <w:rPr>
                <w:rFonts w:hint="eastAsia"/>
                <w:b/>
                <w:szCs w:val="21"/>
              </w:rPr>
              <w:t>时段</w:t>
            </w:r>
          </w:p>
        </w:tc>
        <w:tc>
          <w:tcPr>
            <w:tcW w:w="227" w:type="pct"/>
            <w:vMerge w:val="restart"/>
            <w:tcBorders>
              <w:tl2br w:val="nil"/>
              <w:tr2bl w:val="nil"/>
            </w:tcBorders>
            <w:vAlign w:val="center"/>
          </w:tcPr>
          <w:p>
            <w:pPr>
              <w:spacing w:line="250" w:lineRule="exact"/>
              <w:jc w:val="center"/>
              <w:rPr>
                <w:b/>
                <w:szCs w:val="21"/>
                <w:lang w:val="zh-CN"/>
              </w:rPr>
            </w:pPr>
            <w:r>
              <w:rPr>
                <w:rFonts w:hint="eastAsia"/>
                <w:b/>
                <w:kern w:val="0"/>
                <w:szCs w:val="21"/>
                <w:lang w:val="zh-CN"/>
              </w:rPr>
              <w:t>要素</w:t>
            </w:r>
          </w:p>
        </w:tc>
        <w:tc>
          <w:tcPr>
            <w:tcW w:w="535" w:type="pct"/>
            <w:vMerge w:val="restart"/>
            <w:tcBorders>
              <w:tl2br w:val="nil"/>
              <w:tr2bl w:val="nil"/>
            </w:tcBorders>
            <w:vAlign w:val="center"/>
          </w:tcPr>
          <w:p>
            <w:pPr>
              <w:spacing w:line="250" w:lineRule="exact"/>
              <w:jc w:val="center"/>
              <w:rPr>
                <w:b/>
                <w:szCs w:val="21"/>
                <w:lang w:val="zh-CN"/>
              </w:rPr>
            </w:pPr>
            <w:r>
              <w:rPr>
                <w:b/>
                <w:szCs w:val="21"/>
                <w:lang w:val="zh-CN"/>
              </w:rPr>
              <w:t>产</w:t>
            </w:r>
            <w:r>
              <w:rPr>
                <w:b/>
                <w:kern w:val="0"/>
                <w:szCs w:val="21"/>
                <w:lang w:val="zh-CN"/>
              </w:rPr>
              <w:t>污</w:t>
            </w:r>
            <w:r>
              <w:rPr>
                <w:b/>
                <w:szCs w:val="21"/>
                <w:lang w:val="zh-CN"/>
              </w:rPr>
              <w:t>环节</w:t>
            </w:r>
          </w:p>
        </w:tc>
        <w:tc>
          <w:tcPr>
            <w:tcW w:w="398" w:type="pct"/>
            <w:vMerge w:val="restart"/>
            <w:tcBorders>
              <w:tl2br w:val="nil"/>
              <w:tr2bl w:val="nil"/>
            </w:tcBorders>
            <w:vAlign w:val="center"/>
          </w:tcPr>
          <w:p>
            <w:pPr>
              <w:spacing w:line="250" w:lineRule="exact"/>
              <w:jc w:val="center"/>
              <w:rPr>
                <w:b/>
                <w:szCs w:val="21"/>
                <w:lang w:val="zh-CN"/>
              </w:rPr>
            </w:pPr>
            <w:r>
              <w:rPr>
                <w:rFonts w:hint="eastAsia"/>
                <w:b/>
                <w:szCs w:val="21"/>
                <w:lang w:val="zh-CN"/>
              </w:rPr>
              <w:t>污染源名称</w:t>
            </w:r>
          </w:p>
        </w:tc>
        <w:tc>
          <w:tcPr>
            <w:tcW w:w="930" w:type="pct"/>
            <w:gridSpan w:val="2"/>
            <w:tcBorders>
              <w:tl2br w:val="nil"/>
              <w:tr2bl w:val="nil"/>
            </w:tcBorders>
            <w:vAlign w:val="center"/>
          </w:tcPr>
          <w:p>
            <w:pPr>
              <w:spacing w:line="250" w:lineRule="exact"/>
              <w:jc w:val="center"/>
              <w:rPr>
                <w:b/>
                <w:kern w:val="0"/>
                <w:szCs w:val="21"/>
              </w:rPr>
            </w:pPr>
            <w:r>
              <w:rPr>
                <w:rFonts w:hint="eastAsia"/>
                <w:b/>
                <w:kern w:val="0"/>
                <w:szCs w:val="21"/>
              </w:rPr>
              <w:t>污染物产生情况</w:t>
            </w:r>
          </w:p>
        </w:tc>
        <w:tc>
          <w:tcPr>
            <w:tcW w:w="1840" w:type="pct"/>
            <w:vMerge w:val="restart"/>
            <w:tcBorders>
              <w:tl2br w:val="nil"/>
              <w:tr2bl w:val="nil"/>
            </w:tcBorders>
            <w:vAlign w:val="center"/>
          </w:tcPr>
          <w:p>
            <w:pPr>
              <w:spacing w:line="250" w:lineRule="exact"/>
              <w:jc w:val="center"/>
              <w:rPr>
                <w:b/>
                <w:szCs w:val="21"/>
                <w:lang w:val="zh-CN"/>
              </w:rPr>
            </w:pPr>
            <w:r>
              <w:rPr>
                <w:b/>
                <w:szCs w:val="21"/>
              </w:rPr>
              <w:t>主要防治措施</w:t>
            </w:r>
          </w:p>
        </w:tc>
        <w:tc>
          <w:tcPr>
            <w:tcW w:w="846" w:type="pct"/>
            <w:gridSpan w:val="2"/>
            <w:tcBorders>
              <w:tl2br w:val="nil"/>
              <w:tr2bl w:val="nil"/>
            </w:tcBorders>
            <w:vAlign w:val="center"/>
          </w:tcPr>
          <w:p>
            <w:pPr>
              <w:spacing w:line="250" w:lineRule="exact"/>
              <w:jc w:val="center"/>
              <w:rPr>
                <w:b/>
                <w:szCs w:val="21"/>
              </w:rPr>
            </w:pPr>
            <w:r>
              <w:rPr>
                <w:rFonts w:hint="eastAsia"/>
                <w:b/>
                <w:szCs w:val="21"/>
              </w:rPr>
              <w:t>污染物排放情况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4" w:hRule="exact"/>
          <w:jc w:val="center"/>
        </w:trPr>
        <w:tc>
          <w:tcPr>
            <w:tcW w:w="221" w:type="pct"/>
            <w:vMerge w:val="continue"/>
            <w:tcBorders>
              <w:tl2br w:val="nil"/>
              <w:tr2bl w:val="nil"/>
            </w:tcBorders>
            <w:vAlign w:val="center"/>
          </w:tcPr>
          <w:p>
            <w:pPr>
              <w:spacing w:line="250" w:lineRule="exact"/>
              <w:jc w:val="center"/>
              <w:rPr>
                <w:b/>
                <w:szCs w:val="21"/>
              </w:rPr>
            </w:pPr>
          </w:p>
        </w:tc>
        <w:tc>
          <w:tcPr>
            <w:tcW w:w="227" w:type="pct"/>
            <w:vMerge w:val="continue"/>
            <w:tcBorders>
              <w:tl2br w:val="nil"/>
              <w:tr2bl w:val="nil"/>
            </w:tcBorders>
            <w:vAlign w:val="center"/>
          </w:tcPr>
          <w:p>
            <w:pPr>
              <w:spacing w:line="250" w:lineRule="exact"/>
              <w:jc w:val="center"/>
              <w:rPr>
                <w:b/>
                <w:szCs w:val="21"/>
                <w:lang w:val="zh-CN"/>
              </w:rPr>
            </w:pPr>
          </w:p>
        </w:tc>
        <w:tc>
          <w:tcPr>
            <w:tcW w:w="535" w:type="pct"/>
            <w:vMerge w:val="continue"/>
            <w:tcBorders>
              <w:tl2br w:val="nil"/>
              <w:tr2bl w:val="nil"/>
            </w:tcBorders>
            <w:vAlign w:val="center"/>
          </w:tcPr>
          <w:p>
            <w:pPr>
              <w:spacing w:line="250" w:lineRule="exact"/>
              <w:jc w:val="center"/>
              <w:rPr>
                <w:b/>
                <w:szCs w:val="21"/>
                <w:lang w:val="zh-CN"/>
              </w:rPr>
            </w:pPr>
          </w:p>
        </w:tc>
        <w:tc>
          <w:tcPr>
            <w:tcW w:w="398" w:type="pct"/>
            <w:vMerge w:val="continue"/>
            <w:tcBorders>
              <w:tl2br w:val="nil"/>
              <w:tr2bl w:val="nil"/>
            </w:tcBorders>
            <w:vAlign w:val="center"/>
          </w:tcPr>
          <w:p>
            <w:pPr>
              <w:spacing w:line="250" w:lineRule="exact"/>
              <w:jc w:val="center"/>
              <w:rPr>
                <w:b/>
                <w:szCs w:val="21"/>
                <w:lang w:val="zh-CN"/>
              </w:rPr>
            </w:pPr>
          </w:p>
        </w:tc>
        <w:tc>
          <w:tcPr>
            <w:tcW w:w="469" w:type="pct"/>
            <w:tcBorders>
              <w:tl2br w:val="nil"/>
              <w:tr2bl w:val="nil"/>
            </w:tcBorders>
            <w:vAlign w:val="center"/>
          </w:tcPr>
          <w:p>
            <w:pPr>
              <w:spacing w:line="250" w:lineRule="exact"/>
              <w:jc w:val="center"/>
              <w:rPr>
                <w:b/>
                <w:szCs w:val="21"/>
                <w:lang w:val="zh-CN"/>
              </w:rPr>
            </w:pPr>
            <w:r>
              <w:rPr>
                <w:b/>
                <w:kern w:val="0"/>
                <w:szCs w:val="21"/>
              </w:rPr>
              <w:t>污染物</w:t>
            </w:r>
            <w:r>
              <w:rPr>
                <w:rFonts w:hint="eastAsia"/>
                <w:b/>
                <w:kern w:val="0"/>
                <w:szCs w:val="21"/>
              </w:rPr>
              <w:t>种类</w:t>
            </w:r>
          </w:p>
        </w:tc>
        <w:tc>
          <w:tcPr>
            <w:tcW w:w="461" w:type="pct"/>
            <w:tcBorders>
              <w:tl2br w:val="nil"/>
              <w:tr2bl w:val="nil"/>
            </w:tcBorders>
            <w:vAlign w:val="center"/>
          </w:tcPr>
          <w:p>
            <w:pPr>
              <w:spacing w:line="250" w:lineRule="exact"/>
              <w:jc w:val="center"/>
              <w:rPr>
                <w:b/>
                <w:szCs w:val="21"/>
                <w:lang w:val="zh-CN"/>
              </w:rPr>
            </w:pPr>
            <w:r>
              <w:rPr>
                <w:b/>
                <w:kern w:val="0"/>
                <w:szCs w:val="21"/>
              </w:rPr>
              <w:t>产生</w:t>
            </w:r>
            <w:r>
              <w:rPr>
                <w:rFonts w:hint="eastAsia"/>
                <w:b/>
                <w:szCs w:val="21"/>
              </w:rPr>
              <w:t>量</w:t>
            </w:r>
          </w:p>
        </w:tc>
        <w:tc>
          <w:tcPr>
            <w:tcW w:w="1840" w:type="pct"/>
            <w:vMerge w:val="continue"/>
            <w:tcBorders>
              <w:tl2br w:val="nil"/>
              <w:tr2bl w:val="nil"/>
            </w:tcBorders>
            <w:vAlign w:val="center"/>
          </w:tcPr>
          <w:p>
            <w:pPr>
              <w:spacing w:line="250" w:lineRule="exact"/>
              <w:jc w:val="center"/>
              <w:rPr>
                <w:b/>
                <w:szCs w:val="21"/>
                <w:lang w:val="zh-CN"/>
              </w:rPr>
            </w:pPr>
          </w:p>
        </w:tc>
        <w:tc>
          <w:tcPr>
            <w:tcW w:w="444" w:type="pct"/>
            <w:tcBorders>
              <w:tl2br w:val="nil"/>
              <w:tr2bl w:val="nil"/>
            </w:tcBorders>
            <w:vAlign w:val="center"/>
          </w:tcPr>
          <w:p>
            <w:pPr>
              <w:spacing w:line="250" w:lineRule="exact"/>
              <w:jc w:val="center"/>
              <w:rPr>
                <w:b/>
                <w:szCs w:val="21"/>
              </w:rPr>
            </w:pPr>
            <w:r>
              <w:rPr>
                <w:rFonts w:hint="eastAsia"/>
                <w:b/>
                <w:szCs w:val="21"/>
              </w:rPr>
              <w:t>排放量</w:t>
            </w:r>
          </w:p>
        </w:tc>
        <w:tc>
          <w:tcPr>
            <w:tcW w:w="402" w:type="pct"/>
            <w:tcBorders>
              <w:tl2br w:val="nil"/>
              <w:tr2bl w:val="nil"/>
            </w:tcBorders>
            <w:vAlign w:val="center"/>
          </w:tcPr>
          <w:p>
            <w:pPr>
              <w:spacing w:line="250" w:lineRule="exact"/>
              <w:jc w:val="center"/>
              <w:rPr>
                <w:b/>
                <w:szCs w:val="21"/>
                <w:lang w:val="zh-CN"/>
              </w:rPr>
            </w:pPr>
            <w:r>
              <w:rPr>
                <w:b/>
                <w:szCs w:val="21"/>
              </w:rPr>
              <w:t>排放</w:t>
            </w:r>
            <w:r>
              <w:rPr>
                <w:rFonts w:hint="eastAsia"/>
                <w:b/>
                <w:szCs w:val="21"/>
              </w:rPr>
              <w:t>去向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1" w:hRule="exact"/>
          <w:jc w:val="center"/>
        </w:trPr>
        <w:tc>
          <w:tcPr>
            <w:tcW w:w="221" w:type="pct"/>
            <w:tcBorders>
              <w:tl2br w:val="nil"/>
              <w:tr2bl w:val="nil"/>
            </w:tcBorders>
            <w:vAlign w:val="center"/>
          </w:tcPr>
          <w:p>
            <w:pPr>
              <w:spacing w:line="250" w:lineRule="exact"/>
              <w:jc w:val="center"/>
              <w:rPr>
                <w:bCs/>
                <w:kern w:val="0"/>
                <w:szCs w:val="21"/>
                <w:lang w:val="zh-CN"/>
              </w:rPr>
            </w:pPr>
            <w:r>
              <w:rPr>
                <w:rFonts w:hint="eastAsia"/>
                <w:bCs/>
                <w:kern w:val="0"/>
                <w:szCs w:val="21"/>
                <w:lang w:val="zh-CN"/>
              </w:rPr>
              <w:t>施工期</w:t>
            </w:r>
          </w:p>
        </w:tc>
        <w:tc>
          <w:tcPr>
            <w:tcW w:w="227" w:type="pct"/>
            <w:tcBorders>
              <w:tl2br w:val="nil"/>
              <w:tr2bl w:val="nil"/>
            </w:tcBorders>
            <w:vAlign w:val="center"/>
          </w:tcPr>
          <w:p>
            <w:pPr>
              <w:spacing w:line="250" w:lineRule="exact"/>
              <w:jc w:val="center"/>
              <w:rPr>
                <w:bCs/>
                <w:szCs w:val="21"/>
                <w:lang w:val="zh-CN"/>
              </w:rPr>
            </w:pPr>
            <w:r>
              <w:rPr>
                <w:rFonts w:hint="eastAsia"/>
                <w:bCs/>
                <w:szCs w:val="21"/>
                <w:lang w:val="zh-CN"/>
              </w:rPr>
              <w:t>固废</w:t>
            </w:r>
          </w:p>
        </w:tc>
        <w:tc>
          <w:tcPr>
            <w:tcW w:w="535" w:type="pct"/>
            <w:tcBorders>
              <w:tl2br w:val="nil"/>
              <w:tr2bl w:val="nil"/>
            </w:tcBorders>
            <w:vAlign w:val="center"/>
          </w:tcPr>
          <w:p>
            <w:pPr>
              <w:spacing w:line="250" w:lineRule="exact"/>
              <w:jc w:val="center"/>
              <w:rPr>
                <w:bCs/>
                <w:szCs w:val="21"/>
                <w:lang w:val="zh-CN"/>
              </w:rPr>
            </w:pPr>
            <w:r>
              <w:rPr>
                <w:bCs/>
                <w:szCs w:val="21"/>
                <w:lang w:val="zh-CN"/>
              </w:rPr>
              <w:t>场地整理</w:t>
            </w:r>
            <w:r>
              <w:rPr>
                <w:rFonts w:hint="eastAsia"/>
                <w:bCs/>
                <w:szCs w:val="21"/>
                <w:lang w:val="zh-CN"/>
              </w:rPr>
              <w:t>和</w:t>
            </w:r>
            <w:r>
              <w:rPr>
                <w:bCs/>
                <w:szCs w:val="21"/>
                <w:lang w:val="zh-CN"/>
              </w:rPr>
              <w:t>清库工程</w:t>
            </w:r>
            <w:r>
              <w:rPr>
                <w:rFonts w:hint="eastAsia"/>
                <w:bCs/>
                <w:szCs w:val="21"/>
                <w:lang w:val="zh-CN"/>
              </w:rPr>
              <w:t>等</w:t>
            </w:r>
          </w:p>
        </w:tc>
        <w:tc>
          <w:tcPr>
            <w:tcW w:w="398" w:type="pct"/>
            <w:tcBorders>
              <w:tl2br w:val="nil"/>
              <w:tr2bl w:val="nil"/>
            </w:tcBorders>
            <w:vAlign w:val="center"/>
          </w:tcPr>
          <w:p>
            <w:pPr>
              <w:spacing w:line="250" w:lineRule="exact"/>
              <w:jc w:val="center"/>
              <w:rPr>
                <w:bCs/>
                <w:szCs w:val="21"/>
                <w:lang w:val="zh-CN"/>
              </w:rPr>
            </w:pPr>
            <w:r>
              <w:rPr>
                <w:rFonts w:hint="eastAsia"/>
                <w:bCs/>
                <w:kern w:val="0"/>
                <w:szCs w:val="21"/>
              </w:rPr>
              <w:t>多余弃土方</w:t>
            </w:r>
          </w:p>
        </w:tc>
        <w:tc>
          <w:tcPr>
            <w:tcW w:w="930" w:type="pct"/>
            <w:gridSpan w:val="2"/>
            <w:tcBorders>
              <w:tl2br w:val="nil"/>
              <w:tr2bl w:val="nil"/>
            </w:tcBorders>
            <w:vAlign w:val="center"/>
          </w:tcPr>
          <w:p>
            <w:pPr>
              <w:spacing w:line="250" w:lineRule="exact"/>
              <w:jc w:val="center"/>
              <w:rPr>
                <w:bCs/>
                <w:kern w:val="0"/>
                <w:szCs w:val="21"/>
              </w:rPr>
            </w:pPr>
            <w:r>
              <w:rPr>
                <w:rFonts w:hint="eastAsia"/>
                <w:bCs/>
                <w:kern w:val="0"/>
                <w:szCs w:val="21"/>
              </w:rPr>
              <w:t>22万</w:t>
            </w:r>
            <w:r>
              <w:rPr>
                <w:rFonts w:eastAsiaTheme="minorEastAsia"/>
                <w:kern w:val="0"/>
                <w:szCs w:val="21"/>
              </w:rPr>
              <w:t>m</w:t>
            </w:r>
            <w:r>
              <w:rPr>
                <w:rFonts w:eastAsiaTheme="minorEastAsia"/>
                <w:kern w:val="0"/>
                <w:szCs w:val="21"/>
                <w:vertAlign w:val="superscript"/>
              </w:rPr>
              <w:t>3</w:t>
            </w:r>
          </w:p>
        </w:tc>
        <w:tc>
          <w:tcPr>
            <w:tcW w:w="1840" w:type="pct"/>
            <w:tcBorders>
              <w:tl2br w:val="nil"/>
              <w:tr2bl w:val="nil"/>
            </w:tcBorders>
            <w:vAlign w:val="center"/>
          </w:tcPr>
          <w:p>
            <w:pPr>
              <w:spacing w:line="250" w:lineRule="exact"/>
              <w:jc w:val="left"/>
              <w:rPr>
                <w:bCs/>
                <w:kern w:val="0"/>
                <w:szCs w:val="21"/>
                <w:lang w:val="zh-CN"/>
              </w:rPr>
            </w:pPr>
            <w:r>
              <w:rPr>
                <w:rFonts w:hint="eastAsia"/>
                <w:bCs/>
                <w:kern w:val="0"/>
                <w:szCs w:val="21"/>
                <w:lang w:val="zh-CN"/>
              </w:rPr>
              <w:t>全部在在场内西南角空地进行临时堆存，其中约9.335万m</w:t>
            </w:r>
            <w:r>
              <w:rPr>
                <w:rFonts w:hint="eastAsia"/>
                <w:bCs/>
                <w:kern w:val="0"/>
                <w:szCs w:val="21"/>
                <w:vertAlign w:val="superscript"/>
                <w:lang w:val="zh-CN"/>
              </w:rPr>
              <w:t>3</w:t>
            </w:r>
            <w:r>
              <w:rPr>
                <w:rFonts w:hint="eastAsia"/>
                <w:bCs/>
                <w:kern w:val="0"/>
                <w:szCs w:val="21"/>
                <w:lang w:val="zh-CN"/>
              </w:rPr>
              <w:t>回用于场地填埋作业和封场用土，剩余约12.665万m</w:t>
            </w:r>
            <w:r>
              <w:rPr>
                <w:rFonts w:hint="eastAsia"/>
                <w:bCs/>
                <w:kern w:val="0"/>
                <w:szCs w:val="21"/>
                <w:vertAlign w:val="superscript"/>
                <w:lang w:val="zh-CN"/>
              </w:rPr>
              <w:t>3</w:t>
            </w:r>
            <w:r>
              <w:rPr>
                <w:rFonts w:hint="eastAsia"/>
                <w:bCs/>
                <w:kern w:val="0"/>
                <w:szCs w:val="21"/>
                <w:lang w:val="zh-CN"/>
              </w:rPr>
              <w:t>，由壶关县住房和城乡建设管理局进行综合调配。</w:t>
            </w:r>
          </w:p>
        </w:tc>
        <w:tc>
          <w:tcPr>
            <w:tcW w:w="444" w:type="pct"/>
            <w:tcBorders>
              <w:tl2br w:val="nil"/>
              <w:tr2bl w:val="nil"/>
            </w:tcBorders>
            <w:vAlign w:val="center"/>
          </w:tcPr>
          <w:p>
            <w:pPr>
              <w:spacing w:line="250" w:lineRule="exact"/>
              <w:jc w:val="center"/>
              <w:rPr>
                <w:bCs/>
                <w:kern w:val="0"/>
                <w:szCs w:val="21"/>
                <w:lang w:val="zh-CN"/>
              </w:rPr>
            </w:pPr>
            <w:r>
              <w:rPr>
                <w:rFonts w:hint="eastAsia"/>
                <w:bCs/>
                <w:kern w:val="0"/>
                <w:szCs w:val="21"/>
              </w:rPr>
              <w:t>/</w:t>
            </w:r>
          </w:p>
        </w:tc>
        <w:tc>
          <w:tcPr>
            <w:tcW w:w="402" w:type="pct"/>
            <w:tcBorders>
              <w:tl2br w:val="nil"/>
              <w:tr2bl w:val="nil"/>
            </w:tcBorders>
            <w:vAlign w:val="center"/>
          </w:tcPr>
          <w:p>
            <w:pPr>
              <w:spacing w:line="250" w:lineRule="exact"/>
              <w:jc w:val="center"/>
              <w:rPr>
                <w:bCs/>
                <w:kern w:val="0"/>
                <w:szCs w:val="21"/>
              </w:rPr>
            </w:pPr>
            <w:r>
              <w:rPr>
                <w:rFonts w:hint="eastAsia"/>
                <w:bCs/>
                <w:kern w:val="0"/>
                <w:szCs w:val="21"/>
              </w:rPr>
              <w:t>全部合理处置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3" w:hRule="exact"/>
          <w:jc w:val="center"/>
        </w:trPr>
        <w:tc>
          <w:tcPr>
            <w:tcW w:w="221" w:type="pct"/>
            <w:vMerge w:val="restart"/>
            <w:tcBorders>
              <w:tl2br w:val="nil"/>
              <w:tr2bl w:val="nil"/>
            </w:tcBorders>
            <w:vAlign w:val="center"/>
          </w:tcPr>
          <w:p>
            <w:pPr>
              <w:spacing w:line="250" w:lineRule="exact"/>
              <w:jc w:val="center"/>
              <w:rPr>
                <w:bCs/>
                <w:kern w:val="0"/>
                <w:szCs w:val="21"/>
                <w:lang w:val="zh-CN"/>
              </w:rPr>
            </w:pPr>
            <w:r>
              <w:rPr>
                <w:rFonts w:hint="eastAsia"/>
                <w:bCs/>
                <w:kern w:val="0"/>
                <w:szCs w:val="21"/>
                <w:lang w:val="zh-CN"/>
              </w:rPr>
              <w:t>运营期</w:t>
            </w:r>
          </w:p>
        </w:tc>
        <w:tc>
          <w:tcPr>
            <w:tcW w:w="227" w:type="pct"/>
            <w:vMerge w:val="restart"/>
            <w:tcBorders>
              <w:tl2br w:val="nil"/>
              <w:tr2bl w:val="nil"/>
            </w:tcBorders>
            <w:vAlign w:val="center"/>
          </w:tcPr>
          <w:p>
            <w:pPr>
              <w:spacing w:line="250" w:lineRule="exact"/>
              <w:jc w:val="center"/>
              <w:rPr>
                <w:bCs/>
                <w:kern w:val="0"/>
                <w:szCs w:val="21"/>
                <w:lang w:val="zh-CN"/>
              </w:rPr>
            </w:pPr>
            <w:r>
              <w:rPr>
                <w:rFonts w:hint="eastAsia"/>
                <w:bCs/>
                <w:kern w:val="0"/>
                <w:szCs w:val="21"/>
                <w:lang w:val="zh-CN"/>
              </w:rPr>
              <w:t>大气污染物</w:t>
            </w:r>
          </w:p>
        </w:tc>
        <w:tc>
          <w:tcPr>
            <w:tcW w:w="535" w:type="pct"/>
            <w:vMerge w:val="restart"/>
            <w:tcBorders>
              <w:tl2br w:val="nil"/>
              <w:tr2bl w:val="nil"/>
            </w:tcBorders>
            <w:vAlign w:val="center"/>
          </w:tcPr>
          <w:p>
            <w:pPr>
              <w:spacing w:line="250" w:lineRule="exact"/>
              <w:jc w:val="center"/>
              <w:rPr>
                <w:bCs/>
                <w:szCs w:val="21"/>
                <w:lang w:val="zh-CN"/>
              </w:rPr>
            </w:pPr>
            <w:r>
              <w:rPr>
                <w:rFonts w:hint="eastAsia"/>
                <w:bCs/>
                <w:szCs w:val="21"/>
                <w:lang w:val="zh-CN"/>
              </w:rPr>
              <w:t>库区垃圾填埋作业</w:t>
            </w:r>
          </w:p>
        </w:tc>
        <w:tc>
          <w:tcPr>
            <w:tcW w:w="398" w:type="pct"/>
            <w:vMerge w:val="restart"/>
            <w:tcBorders>
              <w:tl2br w:val="nil"/>
              <w:tr2bl w:val="nil"/>
            </w:tcBorders>
            <w:vAlign w:val="center"/>
          </w:tcPr>
          <w:p>
            <w:pPr>
              <w:spacing w:line="250" w:lineRule="exact"/>
              <w:jc w:val="center"/>
              <w:rPr>
                <w:bCs/>
                <w:szCs w:val="21"/>
                <w:lang w:val="zh-CN"/>
              </w:rPr>
            </w:pPr>
            <w:r>
              <w:rPr>
                <w:rFonts w:hint="eastAsia"/>
                <w:bCs/>
                <w:szCs w:val="21"/>
                <w:lang w:val="zh-CN"/>
              </w:rPr>
              <w:t>填埋气</w:t>
            </w:r>
          </w:p>
        </w:tc>
        <w:tc>
          <w:tcPr>
            <w:tcW w:w="469" w:type="pct"/>
            <w:tcBorders>
              <w:tl2br w:val="nil"/>
              <w:tr2bl w:val="nil"/>
            </w:tcBorders>
            <w:vAlign w:val="center"/>
          </w:tcPr>
          <w:p>
            <w:pPr>
              <w:spacing w:line="250" w:lineRule="exact"/>
              <w:jc w:val="center"/>
              <w:rPr>
                <w:bCs/>
                <w:kern w:val="0"/>
                <w:szCs w:val="21"/>
              </w:rPr>
            </w:pPr>
            <w:r>
              <w:rPr>
                <w:rFonts w:hint="eastAsia"/>
                <w:bCs/>
                <w:kern w:val="0"/>
                <w:szCs w:val="21"/>
              </w:rPr>
              <w:t>CH</w:t>
            </w:r>
            <w:r>
              <w:rPr>
                <w:rFonts w:hint="eastAsia"/>
                <w:bCs/>
                <w:kern w:val="0"/>
                <w:szCs w:val="21"/>
                <w:vertAlign w:val="subscript"/>
              </w:rPr>
              <w:t>4</w:t>
            </w:r>
          </w:p>
        </w:tc>
        <w:tc>
          <w:tcPr>
            <w:tcW w:w="461" w:type="pct"/>
            <w:tcBorders>
              <w:tl2br w:val="nil"/>
              <w:tr2bl w:val="nil"/>
            </w:tcBorders>
            <w:vAlign w:val="center"/>
          </w:tcPr>
          <w:p>
            <w:pPr>
              <w:spacing w:line="250" w:lineRule="exact"/>
              <w:jc w:val="center"/>
              <w:rPr>
                <w:szCs w:val="21"/>
              </w:rPr>
            </w:pPr>
            <w:r>
              <w:rPr>
                <w:rFonts w:hint="eastAsia"/>
                <w:bCs/>
                <w:kern w:val="0"/>
                <w:szCs w:val="21"/>
              </w:rPr>
              <w:t>339.4t/a</w:t>
            </w:r>
          </w:p>
        </w:tc>
        <w:tc>
          <w:tcPr>
            <w:tcW w:w="1840" w:type="pct"/>
            <w:vMerge w:val="restart"/>
            <w:tcBorders>
              <w:tl2br w:val="nil"/>
              <w:tr2bl w:val="nil"/>
            </w:tcBorders>
            <w:vAlign w:val="center"/>
          </w:tcPr>
          <w:p>
            <w:pPr>
              <w:pStyle w:val="10"/>
              <w:spacing w:line="250" w:lineRule="exact"/>
              <w:ind w:firstLine="0" w:firstLineChars="0"/>
              <w:jc w:val="left"/>
              <w:rPr>
                <w:bCs/>
                <w:kern w:val="0"/>
                <w:szCs w:val="21"/>
              </w:rPr>
            </w:pPr>
            <w:r>
              <w:rPr>
                <w:rFonts w:hint="eastAsia"/>
                <w:b/>
                <w:kern w:val="0"/>
                <w:szCs w:val="21"/>
              </w:rPr>
              <w:t>爆炸隐患和填埋气污染防治</w:t>
            </w:r>
            <w:r>
              <w:rPr>
                <w:rFonts w:hint="eastAsia"/>
                <w:bCs/>
                <w:kern w:val="0"/>
                <w:szCs w:val="21"/>
              </w:rPr>
              <w:t>：</w:t>
            </w:r>
            <w:r>
              <w:rPr>
                <w:rFonts w:hint="eastAsia"/>
                <w:szCs w:val="21"/>
              </w:rPr>
              <w:t>1、配套完善导气石笼井、水平导气管和抽气机房、火炬式燃烧器等收集导排处理设施，初期少量低浓度填埋气经导气石笼中心管放空，随着场内运行、垃圾填埋气产量及甲烷等有机气体含量增加后，填埋气经导气支管、抽气机房主动收集后，送至火炬式燃烧器进行燃烧处理；2、场内设置可燃气体报警装置。</w:t>
            </w:r>
          </w:p>
          <w:p>
            <w:pPr>
              <w:spacing w:line="250" w:lineRule="exact"/>
              <w:rPr>
                <w:szCs w:val="21"/>
              </w:rPr>
            </w:pPr>
            <w:r>
              <w:rPr>
                <w:rFonts w:hint="eastAsia"/>
                <w:b/>
                <w:kern w:val="0"/>
                <w:szCs w:val="21"/>
              </w:rPr>
              <w:t>恶臭防治</w:t>
            </w:r>
            <w:r>
              <w:rPr>
                <w:rFonts w:hint="eastAsia"/>
                <w:bCs/>
                <w:kern w:val="0"/>
                <w:szCs w:val="21"/>
              </w:rPr>
              <w:t>：</w:t>
            </w:r>
            <w:r>
              <w:rPr>
                <w:rFonts w:hint="eastAsia"/>
                <w:szCs w:val="21"/>
              </w:rPr>
              <w:t>1、</w:t>
            </w:r>
            <w:r>
              <w:rPr>
                <w:rFonts w:hint="eastAsia"/>
                <w:bCs/>
                <w:kern w:val="0"/>
                <w:szCs w:val="21"/>
              </w:rPr>
              <w:t>渗滤液收集池及提升井为埋地封闭机构，渗滤液处理间利用排风扇加强通风；2、填埋作业过程中要求垃圾层层压实，每日覆盖土层，随时通过喷药车进行喷药灭杀。</w:t>
            </w:r>
          </w:p>
        </w:tc>
        <w:tc>
          <w:tcPr>
            <w:tcW w:w="444" w:type="pct"/>
            <w:tcBorders>
              <w:tl2br w:val="nil"/>
              <w:tr2bl w:val="nil"/>
            </w:tcBorders>
            <w:vAlign w:val="center"/>
          </w:tcPr>
          <w:p>
            <w:pPr>
              <w:spacing w:line="250" w:lineRule="exact"/>
              <w:jc w:val="center"/>
              <w:rPr>
                <w:szCs w:val="21"/>
              </w:rPr>
            </w:pPr>
            <w:r>
              <w:rPr>
                <w:rFonts w:hint="eastAsia"/>
                <w:szCs w:val="21"/>
              </w:rPr>
              <w:t>339.4</w:t>
            </w:r>
            <w:r>
              <w:rPr>
                <w:rFonts w:hint="eastAsia"/>
                <w:bCs/>
                <w:kern w:val="0"/>
                <w:szCs w:val="21"/>
              </w:rPr>
              <w:t>t/a</w:t>
            </w:r>
          </w:p>
        </w:tc>
        <w:tc>
          <w:tcPr>
            <w:tcW w:w="402" w:type="pct"/>
            <w:vMerge w:val="restart"/>
            <w:tcBorders>
              <w:tl2br w:val="nil"/>
              <w:tr2bl w:val="nil"/>
            </w:tcBorders>
            <w:vAlign w:val="center"/>
          </w:tcPr>
          <w:p>
            <w:pPr>
              <w:spacing w:line="250" w:lineRule="exact"/>
              <w:jc w:val="center"/>
              <w:rPr>
                <w:bCs/>
                <w:kern w:val="0"/>
                <w:szCs w:val="21"/>
              </w:rPr>
            </w:pPr>
            <w:r>
              <w:rPr>
                <w:rFonts w:hint="eastAsia"/>
                <w:bCs/>
                <w:kern w:val="0"/>
                <w:szCs w:val="21"/>
              </w:rPr>
              <w:t>无组织排放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3" w:hRule="exact"/>
          <w:jc w:val="center"/>
        </w:trPr>
        <w:tc>
          <w:tcPr>
            <w:tcW w:w="221" w:type="pct"/>
            <w:vMerge w:val="continue"/>
            <w:tcBorders>
              <w:tl2br w:val="nil"/>
              <w:tr2bl w:val="nil"/>
            </w:tcBorders>
            <w:vAlign w:val="center"/>
          </w:tcPr>
          <w:p>
            <w:pPr>
              <w:spacing w:line="250" w:lineRule="exact"/>
              <w:jc w:val="center"/>
              <w:rPr>
                <w:bCs/>
                <w:kern w:val="0"/>
                <w:szCs w:val="21"/>
                <w:lang w:val="zh-CN"/>
              </w:rPr>
            </w:pPr>
          </w:p>
        </w:tc>
        <w:tc>
          <w:tcPr>
            <w:tcW w:w="227" w:type="pct"/>
            <w:vMerge w:val="continue"/>
            <w:tcBorders>
              <w:tl2br w:val="nil"/>
              <w:tr2bl w:val="nil"/>
            </w:tcBorders>
            <w:vAlign w:val="center"/>
          </w:tcPr>
          <w:p>
            <w:pPr>
              <w:spacing w:line="250" w:lineRule="exact"/>
              <w:jc w:val="center"/>
              <w:rPr>
                <w:bCs/>
                <w:kern w:val="0"/>
                <w:szCs w:val="21"/>
                <w:lang w:val="zh-CN"/>
              </w:rPr>
            </w:pPr>
          </w:p>
        </w:tc>
        <w:tc>
          <w:tcPr>
            <w:tcW w:w="535" w:type="pct"/>
            <w:vMerge w:val="continue"/>
            <w:tcBorders>
              <w:tl2br w:val="nil"/>
              <w:tr2bl w:val="nil"/>
            </w:tcBorders>
            <w:vAlign w:val="center"/>
          </w:tcPr>
          <w:p>
            <w:pPr>
              <w:spacing w:line="250" w:lineRule="exact"/>
              <w:jc w:val="center"/>
              <w:rPr>
                <w:bCs/>
                <w:szCs w:val="21"/>
                <w:lang w:val="zh-CN"/>
              </w:rPr>
            </w:pPr>
          </w:p>
        </w:tc>
        <w:tc>
          <w:tcPr>
            <w:tcW w:w="398" w:type="pct"/>
            <w:vMerge w:val="continue"/>
            <w:tcBorders>
              <w:tl2br w:val="nil"/>
              <w:tr2bl w:val="nil"/>
            </w:tcBorders>
            <w:vAlign w:val="center"/>
          </w:tcPr>
          <w:p>
            <w:pPr>
              <w:spacing w:line="250" w:lineRule="exact"/>
              <w:jc w:val="center"/>
              <w:rPr>
                <w:bCs/>
                <w:szCs w:val="21"/>
                <w:lang w:val="zh-CN"/>
              </w:rPr>
            </w:pPr>
          </w:p>
        </w:tc>
        <w:tc>
          <w:tcPr>
            <w:tcW w:w="469" w:type="pct"/>
            <w:tcBorders>
              <w:tl2br w:val="nil"/>
              <w:tr2bl w:val="nil"/>
            </w:tcBorders>
            <w:vAlign w:val="center"/>
          </w:tcPr>
          <w:p>
            <w:pPr>
              <w:spacing w:line="250" w:lineRule="exact"/>
              <w:jc w:val="center"/>
              <w:rPr>
                <w:bCs/>
                <w:kern w:val="0"/>
                <w:szCs w:val="21"/>
              </w:rPr>
            </w:pPr>
            <w:r>
              <w:rPr>
                <w:rFonts w:hint="eastAsia"/>
                <w:bCs/>
                <w:kern w:val="0"/>
                <w:szCs w:val="21"/>
              </w:rPr>
              <w:t>H</w:t>
            </w:r>
            <w:r>
              <w:rPr>
                <w:rFonts w:hint="eastAsia"/>
                <w:bCs/>
                <w:kern w:val="0"/>
                <w:szCs w:val="21"/>
                <w:vertAlign w:val="subscript"/>
              </w:rPr>
              <w:t>2</w:t>
            </w:r>
            <w:r>
              <w:rPr>
                <w:rFonts w:hint="eastAsia"/>
                <w:bCs/>
                <w:kern w:val="0"/>
                <w:szCs w:val="21"/>
              </w:rPr>
              <w:t>S</w:t>
            </w:r>
          </w:p>
        </w:tc>
        <w:tc>
          <w:tcPr>
            <w:tcW w:w="461" w:type="pct"/>
            <w:tcBorders>
              <w:tl2br w:val="nil"/>
              <w:tr2bl w:val="nil"/>
            </w:tcBorders>
            <w:vAlign w:val="center"/>
          </w:tcPr>
          <w:p>
            <w:pPr>
              <w:spacing w:line="250" w:lineRule="exact"/>
              <w:jc w:val="center"/>
              <w:rPr>
                <w:bCs/>
                <w:kern w:val="0"/>
                <w:szCs w:val="21"/>
              </w:rPr>
            </w:pPr>
            <w:r>
              <w:rPr>
                <w:rFonts w:hint="eastAsia"/>
                <w:szCs w:val="21"/>
              </w:rPr>
              <w:t>0.0079</w:t>
            </w:r>
            <w:r>
              <w:rPr>
                <w:rFonts w:hint="eastAsia"/>
                <w:bCs/>
                <w:kern w:val="0"/>
                <w:szCs w:val="21"/>
              </w:rPr>
              <w:t>t/a</w:t>
            </w:r>
          </w:p>
        </w:tc>
        <w:tc>
          <w:tcPr>
            <w:tcW w:w="1840" w:type="pct"/>
            <w:vMerge w:val="continue"/>
            <w:tcBorders>
              <w:tl2br w:val="nil"/>
              <w:tr2bl w:val="nil"/>
            </w:tcBorders>
            <w:vAlign w:val="center"/>
          </w:tcPr>
          <w:p>
            <w:pPr>
              <w:pStyle w:val="10"/>
              <w:spacing w:line="250" w:lineRule="exact"/>
              <w:ind w:firstLine="0" w:firstLineChars="0"/>
              <w:rPr>
                <w:bCs/>
                <w:kern w:val="0"/>
                <w:szCs w:val="21"/>
              </w:rPr>
            </w:pPr>
          </w:p>
        </w:tc>
        <w:tc>
          <w:tcPr>
            <w:tcW w:w="1272" w:type="dxa"/>
            <w:tcBorders>
              <w:tl2br w:val="nil"/>
              <w:tr2bl w:val="nil"/>
            </w:tcBorders>
            <w:vAlign w:val="center"/>
          </w:tcPr>
          <w:p>
            <w:pPr>
              <w:spacing w:line="250" w:lineRule="exact"/>
              <w:jc w:val="center"/>
              <w:rPr>
                <w:bCs/>
                <w:kern w:val="0"/>
                <w:szCs w:val="21"/>
              </w:rPr>
            </w:pPr>
            <w:r>
              <w:rPr>
                <w:rFonts w:hint="eastAsia"/>
                <w:szCs w:val="21"/>
              </w:rPr>
              <w:t>0.0079</w:t>
            </w:r>
            <w:r>
              <w:rPr>
                <w:rFonts w:hint="eastAsia"/>
                <w:bCs/>
                <w:kern w:val="0"/>
                <w:szCs w:val="21"/>
              </w:rPr>
              <w:t>t/a</w:t>
            </w:r>
          </w:p>
        </w:tc>
        <w:tc>
          <w:tcPr>
            <w:tcW w:w="402" w:type="pct"/>
            <w:vMerge w:val="continue"/>
            <w:tcBorders>
              <w:tl2br w:val="nil"/>
              <w:tr2bl w:val="nil"/>
            </w:tcBorders>
            <w:vAlign w:val="center"/>
          </w:tcPr>
          <w:p>
            <w:pPr>
              <w:spacing w:line="250" w:lineRule="exact"/>
              <w:jc w:val="center"/>
              <w:rPr>
                <w:bCs/>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2" w:hRule="exact"/>
          <w:jc w:val="center"/>
        </w:trPr>
        <w:tc>
          <w:tcPr>
            <w:tcW w:w="221" w:type="pct"/>
            <w:vMerge w:val="continue"/>
            <w:tcBorders>
              <w:tl2br w:val="nil"/>
              <w:tr2bl w:val="nil"/>
            </w:tcBorders>
            <w:vAlign w:val="center"/>
          </w:tcPr>
          <w:p>
            <w:pPr>
              <w:spacing w:line="250" w:lineRule="exact"/>
              <w:jc w:val="center"/>
              <w:rPr>
                <w:bCs/>
                <w:kern w:val="0"/>
                <w:szCs w:val="21"/>
                <w:lang w:val="zh-CN"/>
              </w:rPr>
            </w:pPr>
          </w:p>
        </w:tc>
        <w:tc>
          <w:tcPr>
            <w:tcW w:w="227" w:type="pct"/>
            <w:vMerge w:val="continue"/>
            <w:tcBorders>
              <w:tl2br w:val="nil"/>
              <w:tr2bl w:val="nil"/>
            </w:tcBorders>
            <w:vAlign w:val="center"/>
          </w:tcPr>
          <w:p>
            <w:pPr>
              <w:spacing w:line="250" w:lineRule="exact"/>
              <w:jc w:val="center"/>
              <w:rPr>
                <w:bCs/>
                <w:kern w:val="0"/>
                <w:szCs w:val="21"/>
                <w:lang w:val="zh-CN"/>
              </w:rPr>
            </w:pPr>
          </w:p>
        </w:tc>
        <w:tc>
          <w:tcPr>
            <w:tcW w:w="535" w:type="pct"/>
            <w:vMerge w:val="continue"/>
            <w:tcBorders>
              <w:tl2br w:val="nil"/>
              <w:tr2bl w:val="nil"/>
            </w:tcBorders>
            <w:vAlign w:val="center"/>
          </w:tcPr>
          <w:p>
            <w:pPr>
              <w:spacing w:line="250" w:lineRule="exact"/>
              <w:jc w:val="center"/>
              <w:rPr>
                <w:bCs/>
                <w:szCs w:val="21"/>
                <w:lang w:val="zh-CN"/>
              </w:rPr>
            </w:pPr>
          </w:p>
        </w:tc>
        <w:tc>
          <w:tcPr>
            <w:tcW w:w="398" w:type="pct"/>
            <w:vMerge w:val="continue"/>
            <w:tcBorders>
              <w:tl2br w:val="nil"/>
              <w:tr2bl w:val="nil"/>
            </w:tcBorders>
            <w:vAlign w:val="center"/>
          </w:tcPr>
          <w:p>
            <w:pPr>
              <w:spacing w:line="250" w:lineRule="exact"/>
              <w:jc w:val="center"/>
              <w:rPr>
                <w:bCs/>
                <w:szCs w:val="21"/>
                <w:lang w:val="zh-CN"/>
              </w:rPr>
            </w:pPr>
          </w:p>
        </w:tc>
        <w:tc>
          <w:tcPr>
            <w:tcW w:w="469" w:type="pct"/>
            <w:tcBorders>
              <w:tl2br w:val="nil"/>
              <w:tr2bl w:val="nil"/>
            </w:tcBorders>
            <w:vAlign w:val="center"/>
          </w:tcPr>
          <w:p>
            <w:pPr>
              <w:spacing w:line="250" w:lineRule="exact"/>
              <w:jc w:val="center"/>
              <w:rPr>
                <w:bCs/>
                <w:kern w:val="0"/>
                <w:szCs w:val="21"/>
              </w:rPr>
            </w:pPr>
            <w:r>
              <w:rPr>
                <w:rFonts w:hint="eastAsia"/>
                <w:bCs/>
                <w:kern w:val="0"/>
                <w:szCs w:val="21"/>
              </w:rPr>
              <w:t>NH</w:t>
            </w:r>
            <w:r>
              <w:rPr>
                <w:rFonts w:hint="eastAsia"/>
                <w:bCs/>
                <w:kern w:val="0"/>
                <w:szCs w:val="21"/>
                <w:vertAlign w:val="subscript"/>
              </w:rPr>
              <w:t>3</w:t>
            </w:r>
          </w:p>
        </w:tc>
        <w:tc>
          <w:tcPr>
            <w:tcW w:w="461" w:type="pct"/>
            <w:tcBorders>
              <w:tl2br w:val="nil"/>
              <w:tr2bl w:val="nil"/>
            </w:tcBorders>
            <w:vAlign w:val="center"/>
          </w:tcPr>
          <w:p>
            <w:pPr>
              <w:spacing w:line="250" w:lineRule="exact"/>
              <w:jc w:val="center"/>
              <w:rPr>
                <w:bCs/>
                <w:kern w:val="0"/>
                <w:szCs w:val="21"/>
                <w:lang w:val="zh-CN"/>
              </w:rPr>
            </w:pPr>
            <w:r>
              <w:rPr>
                <w:rFonts w:hint="eastAsia"/>
                <w:bCs/>
                <w:kern w:val="0"/>
                <w:szCs w:val="21"/>
              </w:rPr>
              <w:t>0.28t/a</w:t>
            </w:r>
          </w:p>
        </w:tc>
        <w:tc>
          <w:tcPr>
            <w:tcW w:w="1840" w:type="pct"/>
            <w:vMerge w:val="continue"/>
            <w:tcBorders>
              <w:tl2br w:val="nil"/>
              <w:tr2bl w:val="nil"/>
            </w:tcBorders>
            <w:vAlign w:val="center"/>
          </w:tcPr>
          <w:p>
            <w:pPr>
              <w:spacing w:line="250" w:lineRule="exact"/>
              <w:jc w:val="center"/>
              <w:rPr>
                <w:bCs/>
                <w:kern w:val="0"/>
                <w:szCs w:val="21"/>
                <w:lang w:val="zh-CN"/>
              </w:rPr>
            </w:pPr>
          </w:p>
        </w:tc>
        <w:tc>
          <w:tcPr>
            <w:tcW w:w="1272" w:type="dxa"/>
            <w:tcBorders>
              <w:tl2br w:val="nil"/>
              <w:tr2bl w:val="nil"/>
            </w:tcBorders>
            <w:vAlign w:val="center"/>
          </w:tcPr>
          <w:p>
            <w:pPr>
              <w:spacing w:line="250" w:lineRule="exact"/>
              <w:jc w:val="center"/>
              <w:rPr>
                <w:bCs/>
                <w:kern w:val="0"/>
                <w:szCs w:val="21"/>
                <w:lang w:val="zh-CN"/>
              </w:rPr>
            </w:pPr>
            <w:r>
              <w:rPr>
                <w:rFonts w:hint="eastAsia"/>
                <w:bCs/>
                <w:kern w:val="0"/>
                <w:szCs w:val="21"/>
              </w:rPr>
              <w:t>0.28t/a</w:t>
            </w:r>
          </w:p>
        </w:tc>
        <w:tc>
          <w:tcPr>
            <w:tcW w:w="402" w:type="pct"/>
            <w:vMerge w:val="continue"/>
            <w:tcBorders>
              <w:tl2br w:val="nil"/>
              <w:tr2bl w:val="nil"/>
            </w:tcBorders>
            <w:vAlign w:val="center"/>
          </w:tcPr>
          <w:p>
            <w:pPr>
              <w:spacing w:line="250" w:lineRule="exact"/>
              <w:jc w:val="center"/>
              <w:rPr>
                <w:bCs/>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6" w:hRule="exact"/>
          <w:jc w:val="center"/>
        </w:trPr>
        <w:tc>
          <w:tcPr>
            <w:tcW w:w="221" w:type="pct"/>
            <w:vMerge w:val="continue"/>
            <w:tcBorders>
              <w:tl2br w:val="nil"/>
              <w:tr2bl w:val="nil"/>
            </w:tcBorders>
            <w:vAlign w:val="center"/>
          </w:tcPr>
          <w:p>
            <w:pPr>
              <w:spacing w:line="250" w:lineRule="exact"/>
              <w:jc w:val="center"/>
              <w:rPr>
                <w:bCs/>
                <w:kern w:val="0"/>
                <w:szCs w:val="21"/>
                <w:lang w:val="zh-CN"/>
              </w:rPr>
            </w:pPr>
          </w:p>
        </w:tc>
        <w:tc>
          <w:tcPr>
            <w:tcW w:w="227" w:type="pct"/>
            <w:vMerge w:val="continue"/>
            <w:tcBorders>
              <w:tl2br w:val="nil"/>
              <w:tr2bl w:val="nil"/>
            </w:tcBorders>
            <w:vAlign w:val="center"/>
          </w:tcPr>
          <w:p>
            <w:pPr>
              <w:spacing w:line="250" w:lineRule="exact"/>
              <w:jc w:val="center"/>
              <w:rPr>
                <w:bCs/>
                <w:kern w:val="0"/>
                <w:szCs w:val="21"/>
                <w:lang w:val="zh-CN"/>
              </w:rPr>
            </w:pPr>
          </w:p>
        </w:tc>
        <w:tc>
          <w:tcPr>
            <w:tcW w:w="535" w:type="pct"/>
            <w:tcBorders>
              <w:tl2br w:val="nil"/>
              <w:tr2bl w:val="nil"/>
            </w:tcBorders>
            <w:vAlign w:val="center"/>
          </w:tcPr>
          <w:p>
            <w:pPr>
              <w:spacing w:line="250" w:lineRule="exact"/>
              <w:jc w:val="center"/>
              <w:rPr>
                <w:bCs/>
                <w:szCs w:val="21"/>
                <w:lang w:val="zh-CN"/>
              </w:rPr>
            </w:pPr>
            <w:r>
              <w:rPr>
                <w:rFonts w:hint="eastAsia"/>
                <w:bCs/>
                <w:szCs w:val="21"/>
                <w:lang w:val="zh-CN"/>
              </w:rPr>
              <w:t>填埋作业及垃圾运输、堆土场扬尘及轻质垃圾污染</w:t>
            </w:r>
          </w:p>
        </w:tc>
        <w:tc>
          <w:tcPr>
            <w:tcW w:w="398" w:type="pct"/>
            <w:tcBorders>
              <w:tl2br w:val="nil"/>
              <w:tr2bl w:val="nil"/>
            </w:tcBorders>
            <w:vAlign w:val="center"/>
          </w:tcPr>
          <w:p>
            <w:pPr>
              <w:spacing w:line="250" w:lineRule="exact"/>
              <w:jc w:val="center"/>
              <w:rPr>
                <w:bCs/>
                <w:szCs w:val="21"/>
                <w:lang w:val="zh-CN"/>
              </w:rPr>
            </w:pPr>
            <w:r>
              <w:rPr>
                <w:rFonts w:hint="eastAsia"/>
                <w:bCs/>
                <w:szCs w:val="21"/>
                <w:lang w:val="zh-CN"/>
              </w:rPr>
              <w:t>扬尘</w:t>
            </w:r>
          </w:p>
        </w:tc>
        <w:tc>
          <w:tcPr>
            <w:tcW w:w="469" w:type="pct"/>
            <w:tcBorders>
              <w:tl2br w:val="nil"/>
              <w:tr2bl w:val="nil"/>
            </w:tcBorders>
            <w:vAlign w:val="center"/>
          </w:tcPr>
          <w:p>
            <w:pPr>
              <w:spacing w:line="250" w:lineRule="exact"/>
              <w:jc w:val="center"/>
              <w:rPr>
                <w:bCs/>
                <w:kern w:val="0"/>
                <w:szCs w:val="21"/>
              </w:rPr>
            </w:pPr>
            <w:r>
              <w:rPr>
                <w:rFonts w:hint="eastAsia"/>
                <w:bCs/>
                <w:kern w:val="0"/>
                <w:szCs w:val="21"/>
              </w:rPr>
              <w:t>TSP</w:t>
            </w:r>
          </w:p>
        </w:tc>
        <w:tc>
          <w:tcPr>
            <w:tcW w:w="461" w:type="pct"/>
            <w:tcBorders>
              <w:tl2br w:val="nil"/>
              <w:tr2bl w:val="nil"/>
            </w:tcBorders>
            <w:vAlign w:val="center"/>
          </w:tcPr>
          <w:p>
            <w:pPr>
              <w:spacing w:line="250" w:lineRule="exact"/>
              <w:jc w:val="center"/>
              <w:rPr>
                <w:bCs/>
                <w:kern w:val="0"/>
                <w:szCs w:val="21"/>
              </w:rPr>
            </w:pPr>
            <w:r>
              <w:rPr>
                <w:rFonts w:hint="eastAsia"/>
                <w:bCs/>
                <w:kern w:val="0"/>
                <w:szCs w:val="21"/>
              </w:rPr>
              <w:t>5.06t/a</w:t>
            </w:r>
          </w:p>
        </w:tc>
        <w:tc>
          <w:tcPr>
            <w:tcW w:w="1840" w:type="pct"/>
            <w:tcBorders>
              <w:tl2br w:val="nil"/>
              <w:tr2bl w:val="nil"/>
            </w:tcBorders>
            <w:vAlign w:val="center"/>
          </w:tcPr>
          <w:p>
            <w:pPr>
              <w:spacing w:line="250" w:lineRule="exact"/>
              <w:jc w:val="left"/>
              <w:rPr>
                <w:bCs/>
                <w:kern w:val="0"/>
                <w:szCs w:val="21"/>
              </w:rPr>
            </w:pPr>
            <w:r>
              <w:rPr>
                <w:rFonts w:hint="eastAsia"/>
                <w:bCs/>
                <w:kern w:val="0"/>
                <w:szCs w:val="21"/>
              </w:rPr>
              <w:t>1、</w:t>
            </w:r>
            <w:r>
              <w:rPr>
                <w:bCs/>
                <w:kern w:val="0"/>
                <w:szCs w:val="21"/>
              </w:rPr>
              <w:t>加强场地及道路清扫、洒水，保证频次</w:t>
            </w:r>
            <w:r>
              <w:rPr>
                <w:rFonts w:hint="eastAsia"/>
                <w:bCs/>
                <w:kern w:val="0"/>
                <w:szCs w:val="21"/>
              </w:rPr>
              <w:t>；2、场区出入口配套建设洗车平台，</w:t>
            </w:r>
            <w:r>
              <w:rPr>
                <w:bCs/>
                <w:kern w:val="0"/>
                <w:szCs w:val="21"/>
              </w:rPr>
              <w:t>运输车辆出场前进行冲洗；</w:t>
            </w:r>
            <w:r>
              <w:rPr>
                <w:rFonts w:hint="eastAsia"/>
                <w:bCs/>
                <w:kern w:val="0"/>
                <w:szCs w:val="21"/>
              </w:rPr>
              <w:t>3、</w:t>
            </w:r>
            <w:r>
              <w:rPr>
                <w:bCs/>
                <w:kern w:val="0"/>
                <w:szCs w:val="21"/>
              </w:rPr>
              <w:t>填埋区分单元科学作业，尽量缩小堆存作业面积、表面增湿、及时覆盖及垃圾卸车等作业点设移动防飞网</w:t>
            </w:r>
            <w:r>
              <w:rPr>
                <w:rFonts w:hint="eastAsia"/>
                <w:bCs/>
                <w:kern w:val="0"/>
                <w:szCs w:val="21"/>
              </w:rPr>
              <w:t>；4、场地四周设防飞散网</w:t>
            </w:r>
            <w:r>
              <w:rPr>
                <w:bCs/>
                <w:kern w:val="0"/>
                <w:szCs w:val="21"/>
              </w:rPr>
              <w:t>；</w:t>
            </w:r>
            <w:r>
              <w:rPr>
                <w:rFonts w:hint="eastAsia"/>
                <w:bCs/>
                <w:kern w:val="0"/>
                <w:szCs w:val="21"/>
              </w:rPr>
              <w:t>5、</w:t>
            </w:r>
            <w:r>
              <w:rPr>
                <w:bCs/>
                <w:kern w:val="0"/>
                <w:szCs w:val="21"/>
              </w:rPr>
              <w:t>场内临时弃土堆表面进行覆盖或播撒草籽</w:t>
            </w:r>
            <w:r>
              <w:rPr>
                <w:rFonts w:hint="eastAsia"/>
                <w:bCs/>
                <w:kern w:val="0"/>
                <w:szCs w:val="21"/>
              </w:rPr>
              <w:t>；6、</w:t>
            </w:r>
            <w:r>
              <w:rPr>
                <w:bCs/>
                <w:kern w:val="0"/>
                <w:szCs w:val="21"/>
              </w:rPr>
              <w:t>土方场内倒运过程中落实湿法作业，车辆减速慢行，土方覆盖后及时压实等。</w:t>
            </w:r>
          </w:p>
        </w:tc>
        <w:tc>
          <w:tcPr>
            <w:tcW w:w="444" w:type="pct"/>
            <w:tcBorders>
              <w:tl2br w:val="nil"/>
              <w:tr2bl w:val="nil"/>
            </w:tcBorders>
            <w:vAlign w:val="center"/>
          </w:tcPr>
          <w:p>
            <w:pPr>
              <w:spacing w:line="250" w:lineRule="exact"/>
              <w:jc w:val="center"/>
              <w:rPr>
                <w:bCs/>
                <w:kern w:val="0"/>
                <w:szCs w:val="21"/>
              </w:rPr>
            </w:pPr>
            <w:r>
              <w:rPr>
                <w:rFonts w:hint="eastAsia"/>
                <w:bCs/>
                <w:kern w:val="0"/>
                <w:szCs w:val="21"/>
              </w:rPr>
              <w:t>1.01t/a</w:t>
            </w:r>
          </w:p>
        </w:tc>
        <w:tc>
          <w:tcPr>
            <w:tcW w:w="402" w:type="pct"/>
            <w:tcBorders>
              <w:tl2br w:val="nil"/>
              <w:tr2bl w:val="nil"/>
            </w:tcBorders>
            <w:vAlign w:val="center"/>
          </w:tcPr>
          <w:p>
            <w:pPr>
              <w:spacing w:line="250" w:lineRule="exact"/>
              <w:jc w:val="center"/>
              <w:rPr>
                <w:bCs/>
                <w:kern w:val="0"/>
                <w:szCs w:val="21"/>
              </w:rPr>
            </w:pPr>
            <w:r>
              <w:rPr>
                <w:rFonts w:hint="eastAsia"/>
                <w:bCs/>
                <w:kern w:val="0"/>
                <w:szCs w:val="21"/>
              </w:rPr>
              <w:t>无组织排放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0" w:hRule="exact"/>
          <w:jc w:val="center"/>
        </w:trPr>
        <w:tc>
          <w:tcPr>
            <w:tcW w:w="221" w:type="pct"/>
            <w:vMerge w:val="continue"/>
            <w:tcBorders>
              <w:tl2br w:val="nil"/>
              <w:tr2bl w:val="nil"/>
            </w:tcBorders>
            <w:vAlign w:val="center"/>
          </w:tcPr>
          <w:p>
            <w:pPr>
              <w:spacing w:line="250" w:lineRule="exact"/>
              <w:jc w:val="center"/>
              <w:rPr>
                <w:bCs/>
                <w:kern w:val="0"/>
                <w:szCs w:val="21"/>
                <w:lang w:val="zh-CN"/>
              </w:rPr>
            </w:pPr>
          </w:p>
        </w:tc>
        <w:tc>
          <w:tcPr>
            <w:tcW w:w="227" w:type="pct"/>
            <w:vMerge w:val="continue"/>
            <w:tcBorders>
              <w:tl2br w:val="nil"/>
              <w:tr2bl w:val="nil"/>
            </w:tcBorders>
            <w:vAlign w:val="center"/>
          </w:tcPr>
          <w:p>
            <w:pPr>
              <w:spacing w:line="250" w:lineRule="exact"/>
              <w:jc w:val="center"/>
              <w:rPr>
                <w:bCs/>
                <w:kern w:val="0"/>
                <w:szCs w:val="21"/>
                <w:lang w:val="zh-CN"/>
              </w:rPr>
            </w:pPr>
          </w:p>
        </w:tc>
        <w:tc>
          <w:tcPr>
            <w:tcW w:w="535" w:type="pct"/>
            <w:tcBorders>
              <w:tl2br w:val="nil"/>
              <w:tr2bl w:val="nil"/>
            </w:tcBorders>
            <w:vAlign w:val="center"/>
          </w:tcPr>
          <w:p>
            <w:pPr>
              <w:spacing w:line="250" w:lineRule="exact"/>
              <w:jc w:val="center"/>
              <w:rPr>
                <w:bCs/>
                <w:szCs w:val="21"/>
                <w:lang w:val="zh-CN"/>
              </w:rPr>
            </w:pPr>
            <w:r>
              <w:rPr>
                <w:bCs/>
                <w:szCs w:val="21"/>
                <w:lang w:val="zh-CN"/>
              </w:rPr>
              <w:t>蚊蝇滋扰</w:t>
            </w:r>
          </w:p>
        </w:tc>
        <w:tc>
          <w:tcPr>
            <w:tcW w:w="398" w:type="pct"/>
            <w:tcBorders>
              <w:tl2br w:val="nil"/>
              <w:tr2bl w:val="nil"/>
            </w:tcBorders>
            <w:vAlign w:val="center"/>
          </w:tcPr>
          <w:p>
            <w:pPr>
              <w:spacing w:line="250" w:lineRule="exact"/>
              <w:jc w:val="center"/>
              <w:rPr>
                <w:bCs/>
                <w:szCs w:val="21"/>
              </w:rPr>
            </w:pPr>
            <w:r>
              <w:rPr>
                <w:rFonts w:hint="eastAsia"/>
                <w:bCs/>
                <w:szCs w:val="21"/>
              </w:rPr>
              <w:t>/</w:t>
            </w:r>
          </w:p>
        </w:tc>
        <w:tc>
          <w:tcPr>
            <w:tcW w:w="930" w:type="pct"/>
            <w:gridSpan w:val="2"/>
            <w:tcBorders>
              <w:tl2br w:val="nil"/>
              <w:tr2bl w:val="nil"/>
            </w:tcBorders>
            <w:vAlign w:val="center"/>
          </w:tcPr>
          <w:p>
            <w:pPr>
              <w:spacing w:line="250" w:lineRule="exact"/>
              <w:jc w:val="center"/>
              <w:rPr>
                <w:kern w:val="24"/>
                <w:szCs w:val="21"/>
              </w:rPr>
            </w:pPr>
            <w:r>
              <w:rPr>
                <w:rFonts w:hint="eastAsia"/>
                <w:kern w:val="24"/>
                <w:szCs w:val="21"/>
              </w:rPr>
              <w:t>/</w:t>
            </w:r>
          </w:p>
        </w:tc>
        <w:tc>
          <w:tcPr>
            <w:tcW w:w="1840" w:type="pct"/>
            <w:tcBorders>
              <w:tl2br w:val="nil"/>
              <w:tr2bl w:val="nil"/>
            </w:tcBorders>
            <w:vAlign w:val="center"/>
          </w:tcPr>
          <w:p>
            <w:pPr>
              <w:spacing w:line="250" w:lineRule="exact"/>
              <w:jc w:val="left"/>
              <w:rPr>
                <w:bCs/>
                <w:kern w:val="0"/>
                <w:szCs w:val="21"/>
              </w:rPr>
            </w:pPr>
            <w:r>
              <w:rPr>
                <w:bCs/>
                <w:kern w:val="0"/>
                <w:szCs w:val="21"/>
              </w:rPr>
              <w:t>及时喷洒药物</w:t>
            </w:r>
            <w:r>
              <w:rPr>
                <w:rFonts w:hint="eastAsia"/>
                <w:bCs/>
                <w:kern w:val="0"/>
                <w:szCs w:val="21"/>
              </w:rPr>
              <w:t>；</w:t>
            </w:r>
            <w:r>
              <w:rPr>
                <w:bCs/>
                <w:kern w:val="0"/>
                <w:szCs w:val="21"/>
              </w:rPr>
              <w:t>对蚊蝇实行分季度、有重点的杀灭成虫，减少蚊蝇和鼠类繁殖</w:t>
            </w:r>
            <w:r>
              <w:rPr>
                <w:rFonts w:hint="eastAsia"/>
                <w:bCs/>
                <w:kern w:val="0"/>
                <w:szCs w:val="21"/>
              </w:rPr>
              <w:t>等。</w:t>
            </w:r>
          </w:p>
        </w:tc>
        <w:tc>
          <w:tcPr>
            <w:tcW w:w="444" w:type="pct"/>
            <w:tcBorders>
              <w:tl2br w:val="nil"/>
              <w:tr2bl w:val="nil"/>
            </w:tcBorders>
            <w:vAlign w:val="center"/>
          </w:tcPr>
          <w:p>
            <w:pPr>
              <w:spacing w:line="250" w:lineRule="exact"/>
              <w:jc w:val="center"/>
              <w:rPr>
                <w:bCs/>
                <w:kern w:val="0"/>
                <w:szCs w:val="21"/>
              </w:rPr>
            </w:pPr>
            <w:r>
              <w:rPr>
                <w:rFonts w:hint="eastAsia"/>
                <w:bCs/>
                <w:kern w:val="0"/>
                <w:szCs w:val="21"/>
              </w:rPr>
              <w:t>/</w:t>
            </w:r>
          </w:p>
        </w:tc>
        <w:tc>
          <w:tcPr>
            <w:tcW w:w="402" w:type="pct"/>
            <w:tcBorders>
              <w:tl2br w:val="nil"/>
              <w:tr2bl w:val="nil"/>
            </w:tcBorders>
            <w:vAlign w:val="center"/>
          </w:tcPr>
          <w:p>
            <w:pPr>
              <w:spacing w:line="250" w:lineRule="exact"/>
              <w:jc w:val="center"/>
              <w:rPr>
                <w:bCs/>
                <w:kern w:val="0"/>
                <w:szCs w:val="21"/>
              </w:rPr>
            </w:pPr>
            <w:r>
              <w:rPr>
                <w:rFonts w:hint="eastAsia"/>
                <w:bCs/>
                <w:kern w:val="0"/>
                <w:szCs w:val="21"/>
              </w:rPr>
              <w:t>/</w:t>
            </w:r>
          </w:p>
        </w:tc>
      </w:tr>
    </w:tbl>
    <w:p>
      <w:pPr>
        <w:spacing w:line="500" w:lineRule="exact"/>
        <w:jc w:val="center"/>
        <w:rPr>
          <w:b/>
          <w:color w:val="000000"/>
          <w:spacing w:val="4"/>
          <w:sz w:val="24"/>
          <w:lang w:val="zh-CN"/>
        </w:rPr>
      </w:pPr>
    </w:p>
    <w:p>
      <w:pPr>
        <w:spacing w:line="500" w:lineRule="exact"/>
        <w:jc w:val="center"/>
        <w:rPr>
          <w:b/>
          <w:color w:val="000000"/>
          <w:spacing w:val="4"/>
          <w:sz w:val="24"/>
          <w:lang w:val="zh-CN"/>
        </w:rPr>
      </w:pPr>
      <w:r>
        <w:rPr>
          <w:b/>
          <w:color w:val="000000"/>
          <w:spacing w:val="4"/>
          <w:sz w:val="24"/>
          <w:lang w:val="zh-CN"/>
        </w:rPr>
        <w:t>表</w:t>
      </w:r>
      <w:r>
        <w:rPr>
          <w:rFonts w:hint="eastAsia"/>
          <w:b/>
          <w:color w:val="000000"/>
          <w:spacing w:val="4"/>
          <w:sz w:val="24"/>
        </w:rPr>
        <w:t>3.4-9 续</w:t>
      </w:r>
      <w:r>
        <w:rPr>
          <w:b/>
          <w:color w:val="000000"/>
          <w:spacing w:val="4"/>
          <w:sz w:val="24"/>
          <w:lang w:val="zh-CN"/>
        </w:rPr>
        <w:t xml:space="preserve">  项目主要污染源排放及防治措施</w:t>
      </w:r>
      <w:r>
        <w:rPr>
          <w:rFonts w:hint="eastAsia"/>
          <w:b/>
          <w:color w:val="000000"/>
          <w:spacing w:val="4"/>
          <w:sz w:val="24"/>
          <w:lang w:val="zh-CN"/>
        </w:rPr>
        <w:t>汇总表</w:t>
      </w:r>
    </w:p>
    <w:tbl>
      <w:tblPr>
        <w:tblStyle w:val="30"/>
        <w:tblW w:w="510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644"/>
        <w:gridCol w:w="1335"/>
        <w:gridCol w:w="997"/>
        <w:gridCol w:w="1065"/>
        <w:gridCol w:w="807"/>
        <w:gridCol w:w="1728"/>
        <w:gridCol w:w="5526"/>
        <w:gridCol w:w="19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214" w:type="pct"/>
            <w:vMerge w:val="restart"/>
            <w:tcBorders>
              <w:tl2br w:val="nil"/>
              <w:tr2bl w:val="nil"/>
            </w:tcBorders>
            <w:vAlign w:val="center"/>
          </w:tcPr>
          <w:p>
            <w:pPr>
              <w:spacing w:line="250" w:lineRule="exact"/>
              <w:jc w:val="center"/>
              <w:rPr>
                <w:b/>
                <w:szCs w:val="21"/>
              </w:rPr>
            </w:pPr>
            <w:r>
              <w:rPr>
                <w:rFonts w:hint="eastAsia"/>
                <w:b/>
                <w:szCs w:val="21"/>
              </w:rPr>
              <w:t>时段</w:t>
            </w:r>
          </w:p>
        </w:tc>
        <w:tc>
          <w:tcPr>
            <w:tcW w:w="220" w:type="pct"/>
            <w:vMerge w:val="restart"/>
            <w:tcBorders>
              <w:tl2br w:val="nil"/>
              <w:tr2bl w:val="nil"/>
            </w:tcBorders>
            <w:vAlign w:val="center"/>
          </w:tcPr>
          <w:p>
            <w:pPr>
              <w:spacing w:line="250" w:lineRule="exact"/>
              <w:jc w:val="center"/>
              <w:rPr>
                <w:b/>
                <w:szCs w:val="21"/>
                <w:lang w:val="zh-CN"/>
              </w:rPr>
            </w:pPr>
            <w:r>
              <w:rPr>
                <w:rFonts w:hint="eastAsia"/>
                <w:b/>
                <w:kern w:val="0"/>
                <w:szCs w:val="21"/>
                <w:lang w:val="zh-CN"/>
              </w:rPr>
              <w:t>要素</w:t>
            </w:r>
          </w:p>
        </w:tc>
        <w:tc>
          <w:tcPr>
            <w:tcW w:w="455" w:type="pct"/>
            <w:vMerge w:val="restart"/>
            <w:tcBorders>
              <w:tl2br w:val="nil"/>
              <w:tr2bl w:val="nil"/>
            </w:tcBorders>
            <w:vAlign w:val="center"/>
          </w:tcPr>
          <w:p>
            <w:pPr>
              <w:spacing w:line="250" w:lineRule="exact"/>
              <w:jc w:val="center"/>
              <w:rPr>
                <w:b/>
                <w:szCs w:val="21"/>
                <w:lang w:val="zh-CN"/>
              </w:rPr>
            </w:pPr>
            <w:r>
              <w:rPr>
                <w:b/>
                <w:szCs w:val="21"/>
                <w:lang w:val="zh-CN"/>
              </w:rPr>
              <w:t>产</w:t>
            </w:r>
            <w:r>
              <w:rPr>
                <w:b/>
                <w:kern w:val="0"/>
                <w:szCs w:val="21"/>
                <w:lang w:val="zh-CN"/>
              </w:rPr>
              <w:t>污</w:t>
            </w:r>
            <w:r>
              <w:rPr>
                <w:b/>
                <w:szCs w:val="21"/>
                <w:lang w:val="zh-CN"/>
              </w:rPr>
              <w:t>环节</w:t>
            </w:r>
          </w:p>
        </w:tc>
        <w:tc>
          <w:tcPr>
            <w:tcW w:w="340" w:type="pct"/>
            <w:vMerge w:val="restart"/>
            <w:tcBorders>
              <w:tl2br w:val="nil"/>
              <w:tr2bl w:val="nil"/>
            </w:tcBorders>
            <w:vAlign w:val="center"/>
          </w:tcPr>
          <w:p>
            <w:pPr>
              <w:spacing w:line="250" w:lineRule="exact"/>
              <w:jc w:val="center"/>
              <w:rPr>
                <w:b/>
                <w:szCs w:val="21"/>
                <w:lang w:val="zh-CN"/>
              </w:rPr>
            </w:pPr>
            <w:r>
              <w:rPr>
                <w:rFonts w:hint="eastAsia"/>
                <w:b/>
                <w:szCs w:val="21"/>
                <w:lang w:val="zh-CN"/>
              </w:rPr>
              <w:t>污染源名称</w:t>
            </w:r>
          </w:p>
        </w:tc>
        <w:tc>
          <w:tcPr>
            <w:tcW w:w="1227" w:type="pct"/>
            <w:gridSpan w:val="3"/>
            <w:tcBorders>
              <w:tl2br w:val="nil"/>
              <w:tr2bl w:val="nil"/>
            </w:tcBorders>
            <w:vAlign w:val="center"/>
          </w:tcPr>
          <w:p>
            <w:pPr>
              <w:spacing w:line="250" w:lineRule="exact"/>
              <w:jc w:val="center"/>
              <w:rPr>
                <w:b/>
                <w:kern w:val="0"/>
                <w:szCs w:val="21"/>
              </w:rPr>
            </w:pPr>
            <w:r>
              <w:rPr>
                <w:rFonts w:hint="eastAsia"/>
                <w:b/>
                <w:kern w:val="0"/>
                <w:szCs w:val="21"/>
              </w:rPr>
              <w:t>污染物产生情况</w:t>
            </w:r>
          </w:p>
        </w:tc>
        <w:tc>
          <w:tcPr>
            <w:tcW w:w="1884" w:type="pct"/>
            <w:vMerge w:val="restart"/>
            <w:tcBorders>
              <w:tl2br w:val="nil"/>
              <w:tr2bl w:val="nil"/>
            </w:tcBorders>
            <w:vAlign w:val="center"/>
          </w:tcPr>
          <w:p>
            <w:pPr>
              <w:spacing w:line="250" w:lineRule="exact"/>
              <w:jc w:val="center"/>
              <w:rPr>
                <w:b/>
                <w:szCs w:val="21"/>
                <w:lang w:val="zh-CN"/>
              </w:rPr>
            </w:pPr>
            <w:r>
              <w:rPr>
                <w:b/>
                <w:szCs w:val="21"/>
              </w:rPr>
              <w:t>主要防治措施</w:t>
            </w:r>
          </w:p>
        </w:tc>
        <w:tc>
          <w:tcPr>
            <w:tcW w:w="660" w:type="pct"/>
            <w:vMerge w:val="restart"/>
            <w:tcBorders>
              <w:tl2br w:val="nil"/>
              <w:tr2bl w:val="nil"/>
            </w:tcBorders>
            <w:vAlign w:val="center"/>
          </w:tcPr>
          <w:p>
            <w:pPr>
              <w:spacing w:line="250" w:lineRule="exact"/>
              <w:jc w:val="center"/>
              <w:rPr>
                <w:b/>
                <w:szCs w:val="21"/>
              </w:rPr>
            </w:pPr>
            <w:r>
              <w:rPr>
                <w:rFonts w:hint="eastAsia"/>
                <w:b/>
                <w:szCs w:val="21"/>
              </w:rPr>
              <w:t>污染物排放情况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8" w:hRule="exact"/>
          <w:jc w:val="center"/>
        </w:trPr>
        <w:tc>
          <w:tcPr>
            <w:tcW w:w="214" w:type="pct"/>
            <w:vMerge w:val="continue"/>
            <w:tcBorders>
              <w:tl2br w:val="nil"/>
              <w:tr2bl w:val="nil"/>
            </w:tcBorders>
            <w:vAlign w:val="center"/>
          </w:tcPr>
          <w:p>
            <w:pPr>
              <w:spacing w:line="250" w:lineRule="exact"/>
              <w:jc w:val="center"/>
              <w:rPr>
                <w:b/>
                <w:szCs w:val="21"/>
              </w:rPr>
            </w:pPr>
          </w:p>
        </w:tc>
        <w:tc>
          <w:tcPr>
            <w:tcW w:w="220" w:type="pct"/>
            <w:vMerge w:val="continue"/>
            <w:tcBorders>
              <w:tl2br w:val="nil"/>
              <w:tr2bl w:val="nil"/>
            </w:tcBorders>
            <w:vAlign w:val="center"/>
          </w:tcPr>
          <w:p>
            <w:pPr>
              <w:spacing w:line="250" w:lineRule="exact"/>
              <w:jc w:val="center"/>
              <w:rPr>
                <w:b/>
                <w:szCs w:val="21"/>
                <w:lang w:val="zh-CN"/>
              </w:rPr>
            </w:pPr>
          </w:p>
        </w:tc>
        <w:tc>
          <w:tcPr>
            <w:tcW w:w="455" w:type="pct"/>
            <w:vMerge w:val="continue"/>
            <w:tcBorders>
              <w:tl2br w:val="nil"/>
              <w:tr2bl w:val="nil"/>
            </w:tcBorders>
            <w:vAlign w:val="center"/>
          </w:tcPr>
          <w:p>
            <w:pPr>
              <w:spacing w:line="250" w:lineRule="exact"/>
              <w:jc w:val="center"/>
              <w:rPr>
                <w:b/>
                <w:szCs w:val="21"/>
                <w:lang w:val="zh-CN"/>
              </w:rPr>
            </w:pPr>
          </w:p>
        </w:tc>
        <w:tc>
          <w:tcPr>
            <w:tcW w:w="340" w:type="pct"/>
            <w:vMerge w:val="continue"/>
            <w:tcBorders>
              <w:tl2br w:val="nil"/>
              <w:tr2bl w:val="nil"/>
            </w:tcBorders>
            <w:vAlign w:val="center"/>
          </w:tcPr>
          <w:p>
            <w:pPr>
              <w:spacing w:line="250" w:lineRule="exact"/>
              <w:jc w:val="center"/>
              <w:rPr>
                <w:b/>
                <w:szCs w:val="21"/>
                <w:lang w:val="zh-CN"/>
              </w:rPr>
            </w:pPr>
          </w:p>
        </w:tc>
        <w:tc>
          <w:tcPr>
            <w:tcW w:w="363" w:type="pct"/>
            <w:tcBorders>
              <w:tl2br w:val="nil"/>
              <w:tr2bl w:val="nil"/>
            </w:tcBorders>
            <w:vAlign w:val="center"/>
          </w:tcPr>
          <w:p>
            <w:pPr>
              <w:spacing w:line="280" w:lineRule="exact"/>
              <w:jc w:val="center"/>
              <w:rPr>
                <w:b/>
                <w:kern w:val="0"/>
                <w:szCs w:val="21"/>
              </w:rPr>
            </w:pPr>
            <w:r>
              <w:rPr>
                <w:rFonts w:hint="eastAsia"/>
                <w:b/>
                <w:kern w:val="0"/>
                <w:szCs w:val="21"/>
              </w:rPr>
              <w:t>产生量</w:t>
            </w:r>
          </w:p>
        </w:tc>
        <w:tc>
          <w:tcPr>
            <w:tcW w:w="275" w:type="pct"/>
            <w:tcBorders>
              <w:tl2br w:val="nil"/>
              <w:tr2bl w:val="nil"/>
            </w:tcBorders>
            <w:vAlign w:val="center"/>
          </w:tcPr>
          <w:p>
            <w:pPr>
              <w:spacing w:line="280" w:lineRule="exact"/>
              <w:jc w:val="center"/>
              <w:rPr>
                <w:b/>
                <w:szCs w:val="21"/>
                <w:lang w:val="zh-CN"/>
              </w:rPr>
            </w:pPr>
            <w:r>
              <w:rPr>
                <w:b/>
                <w:kern w:val="0"/>
                <w:szCs w:val="21"/>
              </w:rPr>
              <w:t>污染物</w:t>
            </w:r>
            <w:r>
              <w:rPr>
                <w:rFonts w:hint="eastAsia"/>
                <w:b/>
                <w:kern w:val="0"/>
                <w:szCs w:val="21"/>
              </w:rPr>
              <w:t>种类</w:t>
            </w:r>
          </w:p>
        </w:tc>
        <w:tc>
          <w:tcPr>
            <w:tcW w:w="589" w:type="pct"/>
            <w:tcBorders>
              <w:tl2br w:val="nil"/>
              <w:tr2bl w:val="nil"/>
            </w:tcBorders>
            <w:vAlign w:val="center"/>
          </w:tcPr>
          <w:p>
            <w:pPr>
              <w:spacing w:line="280" w:lineRule="exact"/>
              <w:jc w:val="center"/>
              <w:rPr>
                <w:b/>
                <w:szCs w:val="21"/>
                <w:lang w:val="zh-CN"/>
              </w:rPr>
            </w:pPr>
            <w:r>
              <w:rPr>
                <w:b/>
                <w:kern w:val="0"/>
                <w:szCs w:val="21"/>
              </w:rPr>
              <w:t>产生</w:t>
            </w:r>
            <w:r>
              <w:rPr>
                <w:rFonts w:hint="eastAsia"/>
                <w:b/>
                <w:szCs w:val="21"/>
              </w:rPr>
              <w:t>浓度</w:t>
            </w:r>
          </w:p>
        </w:tc>
        <w:tc>
          <w:tcPr>
            <w:tcW w:w="1884" w:type="pct"/>
            <w:vMerge w:val="continue"/>
            <w:tcBorders>
              <w:tl2br w:val="nil"/>
              <w:tr2bl w:val="nil"/>
            </w:tcBorders>
            <w:vAlign w:val="center"/>
          </w:tcPr>
          <w:p>
            <w:pPr>
              <w:spacing w:line="250" w:lineRule="exact"/>
              <w:jc w:val="center"/>
              <w:rPr>
                <w:b/>
                <w:szCs w:val="21"/>
                <w:lang w:val="zh-CN"/>
              </w:rPr>
            </w:pPr>
          </w:p>
        </w:tc>
        <w:tc>
          <w:tcPr>
            <w:tcW w:w="660" w:type="pct"/>
            <w:vMerge w:val="continue"/>
            <w:tcBorders>
              <w:tl2br w:val="nil"/>
              <w:tr2bl w:val="nil"/>
            </w:tcBorders>
            <w:vAlign w:val="center"/>
          </w:tcPr>
          <w:p>
            <w:pPr>
              <w:spacing w:line="250" w:lineRule="exact"/>
              <w:jc w:val="center"/>
              <w:rPr>
                <w:b/>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restart"/>
            <w:tcBorders>
              <w:tl2br w:val="nil"/>
              <w:tr2bl w:val="nil"/>
            </w:tcBorders>
            <w:vAlign w:val="center"/>
          </w:tcPr>
          <w:p>
            <w:pPr>
              <w:spacing w:line="250" w:lineRule="exact"/>
              <w:jc w:val="center"/>
              <w:rPr>
                <w:bCs/>
                <w:kern w:val="0"/>
                <w:szCs w:val="21"/>
                <w:lang w:val="zh-CN"/>
              </w:rPr>
            </w:pPr>
            <w:r>
              <w:rPr>
                <w:rFonts w:hint="eastAsia"/>
                <w:bCs/>
                <w:kern w:val="0"/>
                <w:szCs w:val="21"/>
                <w:lang w:val="zh-CN"/>
              </w:rPr>
              <w:t>运营期</w:t>
            </w:r>
          </w:p>
        </w:tc>
        <w:tc>
          <w:tcPr>
            <w:tcW w:w="220" w:type="pct"/>
            <w:vMerge w:val="restart"/>
            <w:tcBorders>
              <w:tl2br w:val="nil"/>
              <w:tr2bl w:val="nil"/>
            </w:tcBorders>
            <w:vAlign w:val="center"/>
          </w:tcPr>
          <w:p>
            <w:pPr>
              <w:spacing w:line="250" w:lineRule="exact"/>
              <w:jc w:val="center"/>
              <w:rPr>
                <w:bCs/>
                <w:kern w:val="0"/>
                <w:szCs w:val="21"/>
                <w:lang w:val="zh-CN"/>
              </w:rPr>
            </w:pPr>
            <w:r>
              <w:rPr>
                <w:rFonts w:hint="eastAsia"/>
                <w:bCs/>
                <w:szCs w:val="21"/>
                <w:lang w:val="zh-CN"/>
              </w:rPr>
              <w:t>水污染物</w:t>
            </w:r>
          </w:p>
        </w:tc>
        <w:tc>
          <w:tcPr>
            <w:tcW w:w="455" w:type="pct"/>
            <w:vMerge w:val="restart"/>
            <w:tcBorders>
              <w:tl2br w:val="nil"/>
              <w:tr2bl w:val="nil"/>
            </w:tcBorders>
            <w:vAlign w:val="center"/>
          </w:tcPr>
          <w:p>
            <w:pPr>
              <w:spacing w:line="250" w:lineRule="exact"/>
              <w:jc w:val="center"/>
              <w:rPr>
                <w:bCs/>
                <w:szCs w:val="21"/>
                <w:lang w:val="zh-CN"/>
              </w:rPr>
            </w:pPr>
            <w:r>
              <w:rPr>
                <w:rFonts w:hint="eastAsia"/>
                <w:bCs/>
                <w:szCs w:val="21"/>
                <w:lang w:val="zh-CN"/>
              </w:rPr>
              <w:t>填埋库区</w:t>
            </w:r>
          </w:p>
        </w:tc>
        <w:tc>
          <w:tcPr>
            <w:tcW w:w="340" w:type="pct"/>
            <w:vMerge w:val="restart"/>
            <w:tcBorders>
              <w:tl2br w:val="nil"/>
              <w:tr2bl w:val="nil"/>
            </w:tcBorders>
            <w:vAlign w:val="center"/>
          </w:tcPr>
          <w:p>
            <w:pPr>
              <w:spacing w:line="250" w:lineRule="exact"/>
              <w:jc w:val="center"/>
              <w:rPr>
                <w:bCs/>
                <w:szCs w:val="21"/>
                <w:lang w:val="zh-CN"/>
              </w:rPr>
            </w:pPr>
            <w:r>
              <w:rPr>
                <w:rFonts w:hint="eastAsia"/>
                <w:bCs/>
                <w:szCs w:val="21"/>
                <w:lang w:val="zh-CN"/>
              </w:rPr>
              <w:t>垃圾渗滤液</w:t>
            </w:r>
          </w:p>
        </w:tc>
        <w:tc>
          <w:tcPr>
            <w:tcW w:w="363" w:type="pct"/>
            <w:vMerge w:val="restart"/>
            <w:tcBorders>
              <w:tl2br w:val="nil"/>
              <w:tr2bl w:val="nil"/>
            </w:tcBorders>
            <w:vAlign w:val="center"/>
          </w:tcPr>
          <w:p>
            <w:pPr>
              <w:spacing w:line="250" w:lineRule="exact"/>
              <w:jc w:val="center"/>
              <w:rPr>
                <w:bCs/>
                <w:kern w:val="0"/>
                <w:szCs w:val="21"/>
              </w:rPr>
            </w:pPr>
            <w:r>
              <w:rPr>
                <w:rFonts w:hint="eastAsia"/>
                <w:bCs/>
                <w:kern w:val="0"/>
                <w:szCs w:val="21"/>
              </w:rPr>
              <w:t>20.24m</w:t>
            </w:r>
            <w:r>
              <w:rPr>
                <w:rFonts w:hint="eastAsia"/>
                <w:bCs/>
                <w:kern w:val="0"/>
                <w:szCs w:val="21"/>
                <w:vertAlign w:val="superscript"/>
              </w:rPr>
              <w:t>3</w:t>
            </w:r>
            <w:r>
              <w:rPr>
                <w:rFonts w:hint="eastAsia"/>
                <w:bCs/>
                <w:kern w:val="0"/>
                <w:szCs w:val="21"/>
              </w:rPr>
              <w:t>/d</w:t>
            </w:r>
          </w:p>
        </w:tc>
        <w:tc>
          <w:tcPr>
            <w:tcW w:w="275" w:type="pct"/>
            <w:tcBorders>
              <w:tl2br w:val="nil"/>
              <w:tr2bl w:val="nil"/>
            </w:tcBorders>
            <w:vAlign w:val="center"/>
          </w:tcPr>
          <w:p>
            <w:pPr>
              <w:spacing w:line="250" w:lineRule="exact"/>
              <w:jc w:val="center"/>
              <w:rPr>
                <w:bCs/>
                <w:kern w:val="0"/>
                <w:szCs w:val="21"/>
              </w:rPr>
            </w:pPr>
            <w:r>
              <w:rPr>
                <w:rFonts w:hint="eastAsia"/>
                <w:bCs/>
                <w:kern w:val="0"/>
                <w:szCs w:val="21"/>
              </w:rPr>
              <w:t>PH</w:t>
            </w:r>
          </w:p>
        </w:tc>
        <w:tc>
          <w:tcPr>
            <w:tcW w:w="589" w:type="pct"/>
            <w:tcBorders>
              <w:tl2br w:val="nil"/>
              <w:tr2bl w:val="nil"/>
            </w:tcBorders>
            <w:vAlign w:val="center"/>
          </w:tcPr>
          <w:p>
            <w:pPr>
              <w:pStyle w:val="3"/>
              <w:adjustRightInd w:val="0"/>
              <w:spacing w:before="24" w:after="24" w:line="240" w:lineRule="atLeast"/>
              <w:rPr>
                <w:kern w:val="24"/>
                <w:szCs w:val="21"/>
              </w:rPr>
            </w:pPr>
            <w:r>
              <w:rPr>
                <w:rFonts w:hint="eastAsia"/>
                <w:bCs w:val="0"/>
                <w:szCs w:val="21"/>
              </w:rPr>
              <w:t>7.97</w:t>
            </w:r>
            <w:r>
              <w:rPr>
                <w:bCs w:val="0"/>
                <w:szCs w:val="21"/>
              </w:rPr>
              <w:t>~</w:t>
            </w:r>
            <w:r>
              <w:rPr>
                <w:rFonts w:hint="eastAsia"/>
                <w:bCs w:val="0"/>
                <w:szCs w:val="21"/>
              </w:rPr>
              <w:t>8.63</w:t>
            </w:r>
          </w:p>
        </w:tc>
        <w:tc>
          <w:tcPr>
            <w:tcW w:w="1884" w:type="pct"/>
            <w:vMerge w:val="restart"/>
            <w:tcBorders>
              <w:tl2br w:val="nil"/>
              <w:tr2bl w:val="nil"/>
            </w:tcBorders>
            <w:vAlign w:val="center"/>
          </w:tcPr>
          <w:p>
            <w:pPr>
              <w:spacing w:line="300" w:lineRule="exact"/>
              <w:jc w:val="left"/>
              <w:rPr>
                <w:bCs/>
                <w:kern w:val="0"/>
                <w:szCs w:val="21"/>
              </w:rPr>
            </w:pPr>
            <w:r>
              <w:rPr>
                <w:rFonts w:hint="eastAsia"/>
                <w:bCs/>
                <w:kern w:val="0"/>
                <w:szCs w:val="21"/>
              </w:rPr>
              <w:t>1、库区场底和边坡均进行HDPE土工膜等复合衬层防渗；</w:t>
            </w:r>
          </w:p>
          <w:p>
            <w:pPr>
              <w:spacing w:line="300" w:lineRule="exact"/>
              <w:jc w:val="left"/>
              <w:rPr>
                <w:bCs/>
                <w:kern w:val="0"/>
                <w:szCs w:val="21"/>
              </w:rPr>
            </w:pPr>
            <w:r>
              <w:rPr>
                <w:rFonts w:hint="eastAsia"/>
                <w:bCs/>
                <w:kern w:val="0"/>
                <w:szCs w:val="21"/>
              </w:rPr>
              <w:t>2、渗滤滤液经盲沟导排后自流进入北侧坝前提升井，先被泵入渗滤液调节池，然后进入渗滤液处理车间进行处理，处理工艺为“预处理+两级DTRO反渗透”，处理能力40m</w:t>
            </w:r>
            <w:r>
              <w:rPr>
                <w:rFonts w:hint="eastAsia"/>
                <w:bCs/>
                <w:kern w:val="0"/>
                <w:szCs w:val="21"/>
                <w:vertAlign w:val="superscript"/>
              </w:rPr>
              <w:t>3</w:t>
            </w:r>
            <w:r>
              <w:rPr>
                <w:rFonts w:hint="eastAsia"/>
                <w:bCs/>
                <w:kern w:val="0"/>
                <w:szCs w:val="21"/>
              </w:rPr>
              <w:t>/h，出水满足满足《城市污水再生利用城市杂用水水质》(GB/T18920­2020)标准要求后全部回用于场地及县城绿化、道路清扫，不外排；</w:t>
            </w:r>
          </w:p>
          <w:p>
            <w:pPr>
              <w:spacing w:line="300" w:lineRule="exact"/>
              <w:jc w:val="left"/>
              <w:rPr>
                <w:bCs/>
                <w:kern w:val="0"/>
                <w:szCs w:val="21"/>
              </w:rPr>
            </w:pPr>
            <w:r>
              <w:rPr>
                <w:rFonts w:hint="eastAsia"/>
                <w:bCs/>
                <w:kern w:val="0"/>
                <w:szCs w:val="21"/>
              </w:rPr>
              <w:t>3、渗滤液处理过程中产生的反渗透浓水由吸污车定期运至库区回喷垃圾堆体。</w:t>
            </w:r>
          </w:p>
        </w:tc>
        <w:tc>
          <w:tcPr>
            <w:tcW w:w="660" w:type="pct"/>
            <w:vMerge w:val="restart"/>
            <w:tcBorders>
              <w:tl2br w:val="nil"/>
              <w:tr2bl w:val="nil"/>
            </w:tcBorders>
            <w:vAlign w:val="center"/>
          </w:tcPr>
          <w:p>
            <w:pPr>
              <w:spacing w:line="280" w:lineRule="exact"/>
              <w:jc w:val="left"/>
              <w:rPr>
                <w:kern w:val="24"/>
                <w:szCs w:val="21"/>
              </w:rPr>
            </w:pPr>
            <w:r>
              <w:rPr>
                <w:rFonts w:hint="eastAsia"/>
                <w:kern w:val="24"/>
                <w:szCs w:val="21"/>
              </w:rPr>
              <w:t>反渗透浓水比例约占总处理水量的22%，平均约4.80</w:t>
            </w:r>
            <w:r>
              <w:rPr>
                <w:rFonts w:hint="eastAsia"/>
                <w:bCs/>
                <w:kern w:val="0"/>
                <w:szCs w:val="21"/>
              </w:rPr>
              <w:t>m</w:t>
            </w:r>
            <w:r>
              <w:rPr>
                <w:rFonts w:hint="eastAsia"/>
                <w:bCs/>
                <w:kern w:val="0"/>
                <w:szCs w:val="21"/>
                <w:vertAlign w:val="superscript"/>
              </w:rPr>
              <w:t>3</w:t>
            </w:r>
            <w:r>
              <w:rPr>
                <w:rFonts w:hint="eastAsia"/>
                <w:bCs/>
                <w:kern w:val="0"/>
                <w:szCs w:val="21"/>
              </w:rPr>
              <w:t>/d，由吸污车定期运至库区回喷垃圾堆体；清净出水</w:t>
            </w:r>
            <w:r>
              <w:rPr>
                <w:rFonts w:hint="eastAsia"/>
                <w:kern w:val="24"/>
                <w:szCs w:val="21"/>
              </w:rPr>
              <w:t>占总处理水量的78%，平均约17</w:t>
            </w:r>
            <w:r>
              <w:rPr>
                <w:rFonts w:hint="eastAsia"/>
                <w:bCs/>
                <w:kern w:val="0"/>
                <w:szCs w:val="21"/>
              </w:rPr>
              <w:t>m</w:t>
            </w:r>
            <w:r>
              <w:rPr>
                <w:rFonts w:hint="eastAsia"/>
                <w:bCs/>
                <w:kern w:val="0"/>
                <w:szCs w:val="21"/>
                <w:vertAlign w:val="superscript"/>
              </w:rPr>
              <w:t>3</w:t>
            </w:r>
            <w:r>
              <w:rPr>
                <w:rFonts w:hint="eastAsia"/>
                <w:bCs/>
                <w:kern w:val="0"/>
                <w:szCs w:val="21"/>
              </w:rPr>
              <w:t>/d，全部回用于场地及县城绿化、道路清扫，无外排废水。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szCs w:val="21"/>
                <w:lang w:val="zh-CN"/>
              </w:rPr>
            </w:pPr>
          </w:p>
        </w:tc>
        <w:tc>
          <w:tcPr>
            <w:tcW w:w="455" w:type="pct"/>
            <w:vMerge w:val="continue"/>
            <w:tcBorders>
              <w:tl2br w:val="nil"/>
              <w:tr2bl w:val="nil"/>
            </w:tcBorders>
            <w:vAlign w:val="center"/>
          </w:tcPr>
          <w:p>
            <w:pPr>
              <w:spacing w:line="250" w:lineRule="exact"/>
              <w:jc w:val="center"/>
              <w:rPr>
                <w:bCs/>
                <w:szCs w:val="21"/>
                <w:lang w:val="zh-CN"/>
              </w:rPr>
            </w:pPr>
          </w:p>
        </w:tc>
        <w:tc>
          <w:tcPr>
            <w:tcW w:w="340" w:type="pct"/>
            <w:vMerge w:val="continue"/>
            <w:tcBorders>
              <w:tl2br w:val="nil"/>
              <w:tr2bl w:val="nil"/>
            </w:tcBorders>
            <w:vAlign w:val="center"/>
          </w:tcPr>
          <w:p>
            <w:pPr>
              <w:spacing w:line="250" w:lineRule="exact"/>
              <w:jc w:val="center"/>
              <w:rPr>
                <w:bCs/>
                <w:szCs w:val="21"/>
                <w:lang w:val="zh-CN"/>
              </w:rPr>
            </w:pPr>
          </w:p>
        </w:tc>
        <w:tc>
          <w:tcPr>
            <w:tcW w:w="363" w:type="pct"/>
            <w:vMerge w:val="continue"/>
            <w:tcBorders>
              <w:tl2br w:val="nil"/>
              <w:tr2bl w:val="nil"/>
            </w:tcBorders>
            <w:vAlign w:val="center"/>
          </w:tcPr>
          <w:p>
            <w:pPr>
              <w:spacing w:line="250" w:lineRule="exact"/>
              <w:jc w:val="center"/>
              <w:rPr>
                <w:bCs/>
                <w:kern w:val="0"/>
                <w:szCs w:val="21"/>
              </w:rPr>
            </w:pPr>
          </w:p>
        </w:tc>
        <w:tc>
          <w:tcPr>
            <w:tcW w:w="275" w:type="pct"/>
            <w:tcBorders>
              <w:tl2br w:val="nil"/>
              <w:tr2bl w:val="nil"/>
            </w:tcBorders>
            <w:vAlign w:val="center"/>
          </w:tcPr>
          <w:p>
            <w:pPr>
              <w:tabs>
                <w:tab w:val="left" w:pos="640"/>
              </w:tabs>
              <w:adjustRightInd w:val="0"/>
              <w:spacing w:line="240" w:lineRule="exact"/>
              <w:jc w:val="center"/>
              <w:rPr>
                <w:bCs/>
                <w:kern w:val="0"/>
                <w:szCs w:val="21"/>
              </w:rPr>
            </w:pPr>
            <w:r>
              <w:rPr>
                <w:szCs w:val="21"/>
              </w:rPr>
              <w:t>COD</w:t>
            </w:r>
          </w:p>
        </w:tc>
        <w:tc>
          <w:tcPr>
            <w:tcW w:w="589" w:type="pct"/>
            <w:tcBorders>
              <w:tl2br w:val="nil"/>
              <w:tr2bl w:val="nil"/>
            </w:tcBorders>
            <w:vAlign w:val="center"/>
          </w:tcPr>
          <w:p>
            <w:pPr>
              <w:pStyle w:val="3"/>
              <w:adjustRightInd w:val="0"/>
              <w:spacing w:before="24" w:after="24" w:line="240" w:lineRule="atLeast"/>
              <w:rPr>
                <w:szCs w:val="21"/>
              </w:rPr>
            </w:pPr>
            <w:r>
              <w:rPr>
                <w:rFonts w:hint="eastAsia"/>
                <w:bCs w:val="0"/>
                <w:szCs w:val="21"/>
              </w:rPr>
              <w:t>897</w:t>
            </w:r>
            <w:r>
              <w:rPr>
                <w:bCs w:val="0"/>
                <w:szCs w:val="21"/>
              </w:rPr>
              <w:t>~</w:t>
            </w:r>
            <w:r>
              <w:rPr>
                <w:rFonts w:hint="eastAsia"/>
                <w:bCs w:val="0"/>
                <w:szCs w:val="21"/>
              </w:rPr>
              <w:t>984</w:t>
            </w:r>
            <w:r>
              <w:rPr>
                <w:rFonts w:hint="eastAsia"/>
                <w:kern w:val="24"/>
                <w:szCs w:val="21"/>
              </w:rPr>
              <w:t>mg/L</w:t>
            </w:r>
          </w:p>
        </w:tc>
        <w:tc>
          <w:tcPr>
            <w:tcW w:w="1884" w:type="pct"/>
            <w:vMerge w:val="continue"/>
            <w:tcBorders>
              <w:tl2br w:val="nil"/>
              <w:tr2bl w:val="nil"/>
            </w:tcBorders>
            <w:vAlign w:val="center"/>
          </w:tcPr>
          <w:p>
            <w:pPr>
              <w:spacing w:line="250" w:lineRule="exact"/>
              <w:jc w:val="center"/>
              <w:rPr>
                <w:bCs/>
                <w:kern w:val="0"/>
                <w:szCs w:val="21"/>
              </w:rPr>
            </w:pP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szCs w:val="21"/>
                <w:lang w:val="zh-CN"/>
              </w:rPr>
            </w:pPr>
          </w:p>
        </w:tc>
        <w:tc>
          <w:tcPr>
            <w:tcW w:w="455" w:type="pct"/>
            <w:vMerge w:val="continue"/>
            <w:tcBorders>
              <w:tl2br w:val="nil"/>
              <w:tr2bl w:val="nil"/>
            </w:tcBorders>
            <w:vAlign w:val="center"/>
          </w:tcPr>
          <w:p>
            <w:pPr>
              <w:spacing w:line="250" w:lineRule="exact"/>
              <w:jc w:val="center"/>
              <w:rPr>
                <w:bCs/>
                <w:szCs w:val="21"/>
                <w:lang w:val="zh-CN"/>
              </w:rPr>
            </w:pPr>
          </w:p>
        </w:tc>
        <w:tc>
          <w:tcPr>
            <w:tcW w:w="340" w:type="pct"/>
            <w:vMerge w:val="continue"/>
            <w:tcBorders>
              <w:tl2br w:val="nil"/>
              <w:tr2bl w:val="nil"/>
            </w:tcBorders>
            <w:vAlign w:val="center"/>
          </w:tcPr>
          <w:p>
            <w:pPr>
              <w:spacing w:line="250" w:lineRule="exact"/>
              <w:jc w:val="center"/>
              <w:rPr>
                <w:bCs/>
                <w:szCs w:val="21"/>
                <w:lang w:val="zh-CN"/>
              </w:rPr>
            </w:pPr>
          </w:p>
        </w:tc>
        <w:tc>
          <w:tcPr>
            <w:tcW w:w="363" w:type="pct"/>
            <w:vMerge w:val="continue"/>
            <w:tcBorders>
              <w:tl2br w:val="nil"/>
              <w:tr2bl w:val="nil"/>
            </w:tcBorders>
            <w:vAlign w:val="center"/>
          </w:tcPr>
          <w:p>
            <w:pPr>
              <w:spacing w:line="250" w:lineRule="exact"/>
              <w:jc w:val="center"/>
              <w:rPr>
                <w:bCs/>
                <w:kern w:val="0"/>
                <w:szCs w:val="21"/>
              </w:rPr>
            </w:pPr>
          </w:p>
        </w:tc>
        <w:tc>
          <w:tcPr>
            <w:tcW w:w="275" w:type="pct"/>
            <w:tcBorders>
              <w:tl2br w:val="nil"/>
              <w:tr2bl w:val="nil"/>
            </w:tcBorders>
            <w:vAlign w:val="center"/>
          </w:tcPr>
          <w:p>
            <w:pPr>
              <w:pStyle w:val="3"/>
              <w:adjustRightInd w:val="0"/>
              <w:spacing w:before="24" w:after="24" w:line="240" w:lineRule="auto"/>
              <w:rPr>
                <w:color w:val="auto"/>
                <w:szCs w:val="21"/>
              </w:rPr>
            </w:pPr>
            <w:r>
              <w:rPr>
                <w:bCs w:val="0"/>
                <w:color w:val="auto"/>
                <w:szCs w:val="21"/>
              </w:rPr>
              <w:t>BOD</w:t>
            </w:r>
            <w:r>
              <w:rPr>
                <w:bCs w:val="0"/>
                <w:color w:val="auto"/>
                <w:szCs w:val="21"/>
                <w:vertAlign w:val="subscript"/>
              </w:rPr>
              <w:t>5</w:t>
            </w:r>
          </w:p>
        </w:tc>
        <w:tc>
          <w:tcPr>
            <w:tcW w:w="589" w:type="pct"/>
            <w:tcBorders>
              <w:tl2br w:val="nil"/>
              <w:tr2bl w:val="nil"/>
            </w:tcBorders>
            <w:vAlign w:val="center"/>
          </w:tcPr>
          <w:p>
            <w:pPr>
              <w:pStyle w:val="3"/>
              <w:adjustRightInd w:val="0"/>
              <w:spacing w:before="24" w:after="24" w:line="240" w:lineRule="atLeast"/>
              <w:rPr>
                <w:szCs w:val="21"/>
              </w:rPr>
            </w:pPr>
            <w:r>
              <w:rPr>
                <w:rFonts w:hint="eastAsia"/>
                <w:bCs w:val="0"/>
                <w:szCs w:val="21"/>
              </w:rPr>
              <w:t>451</w:t>
            </w:r>
            <w:r>
              <w:rPr>
                <w:bCs w:val="0"/>
                <w:szCs w:val="21"/>
              </w:rPr>
              <w:t>~</w:t>
            </w:r>
            <w:r>
              <w:rPr>
                <w:rFonts w:hint="eastAsia"/>
                <w:bCs w:val="0"/>
                <w:szCs w:val="21"/>
              </w:rPr>
              <w:t>471</w:t>
            </w:r>
            <w:r>
              <w:rPr>
                <w:rFonts w:hint="eastAsia"/>
                <w:kern w:val="24"/>
                <w:szCs w:val="21"/>
              </w:rPr>
              <w:t>mg/L</w:t>
            </w:r>
          </w:p>
        </w:tc>
        <w:tc>
          <w:tcPr>
            <w:tcW w:w="1884" w:type="pct"/>
            <w:vMerge w:val="continue"/>
            <w:tcBorders>
              <w:tl2br w:val="nil"/>
              <w:tr2bl w:val="nil"/>
            </w:tcBorders>
            <w:vAlign w:val="center"/>
          </w:tcPr>
          <w:p>
            <w:pPr>
              <w:spacing w:line="250" w:lineRule="exact"/>
              <w:jc w:val="center"/>
              <w:rPr>
                <w:bCs/>
                <w:kern w:val="0"/>
                <w:szCs w:val="21"/>
              </w:rPr>
            </w:pP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szCs w:val="21"/>
                <w:lang w:val="zh-CN"/>
              </w:rPr>
            </w:pPr>
          </w:p>
        </w:tc>
        <w:tc>
          <w:tcPr>
            <w:tcW w:w="455" w:type="pct"/>
            <w:vMerge w:val="continue"/>
            <w:tcBorders>
              <w:tl2br w:val="nil"/>
              <w:tr2bl w:val="nil"/>
            </w:tcBorders>
            <w:vAlign w:val="center"/>
          </w:tcPr>
          <w:p>
            <w:pPr>
              <w:spacing w:line="250" w:lineRule="exact"/>
              <w:jc w:val="center"/>
              <w:rPr>
                <w:bCs/>
                <w:szCs w:val="21"/>
                <w:lang w:val="zh-CN"/>
              </w:rPr>
            </w:pPr>
          </w:p>
        </w:tc>
        <w:tc>
          <w:tcPr>
            <w:tcW w:w="340" w:type="pct"/>
            <w:vMerge w:val="continue"/>
            <w:tcBorders>
              <w:tl2br w:val="nil"/>
              <w:tr2bl w:val="nil"/>
            </w:tcBorders>
            <w:vAlign w:val="center"/>
          </w:tcPr>
          <w:p>
            <w:pPr>
              <w:spacing w:line="250" w:lineRule="exact"/>
              <w:jc w:val="center"/>
              <w:rPr>
                <w:bCs/>
                <w:szCs w:val="21"/>
                <w:lang w:val="zh-CN"/>
              </w:rPr>
            </w:pPr>
          </w:p>
        </w:tc>
        <w:tc>
          <w:tcPr>
            <w:tcW w:w="363" w:type="pct"/>
            <w:vMerge w:val="continue"/>
            <w:tcBorders>
              <w:tl2br w:val="nil"/>
              <w:tr2bl w:val="nil"/>
            </w:tcBorders>
            <w:vAlign w:val="center"/>
          </w:tcPr>
          <w:p>
            <w:pPr>
              <w:spacing w:line="250" w:lineRule="exact"/>
              <w:jc w:val="center"/>
              <w:rPr>
                <w:bCs/>
                <w:kern w:val="0"/>
                <w:szCs w:val="21"/>
              </w:rPr>
            </w:pPr>
          </w:p>
        </w:tc>
        <w:tc>
          <w:tcPr>
            <w:tcW w:w="275" w:type="pct"/>
            <w:tcBorders>
              <w:tl2br w:val="nil"/>
              <w:tr2bl w:val="nil"/>
            </w:tcBorders>
            <w:vAlign w:val="center"/>
          </w:tcPr>
          <w:p>
            <w:pPr>
              <w:pStyle w:val="3"/>
              <w:adjustRightInd w:val="0"/>
              <w:spacing w:before="24" w:after="24" w:line="240" w:lineRule="auto"/>
              <w:rPr>
                <w:color w:val="auto"/>
                <w:szCs w:val="21"/>
              </w:rPr>
            </w:pPr>
            <w:r>
              <w:rPr>
                <w:bCs w:val="0"/>
                <w:color w:val="auto"/>
                <w:szCs w:val="21"/>
              </w:rPr>
              <w:t>氨氮</w:t>
            </w:r>
          </w:p>
        </w:tc>
        <w:tc>
          <w:tcPr>
            <w:tcW w:w="589" w:type="pct"/>
            <w:tcBorders>
              <w:tl2br w:val="nil"/>
              <w:tr2bl w:val="nil"/>
            </w:tcBorders>
            <w:vAlign w:val="center"/>
          </w:tcPr>
          <w:p>
            <w:pPr>
              <w:pStyle w:val="3"/>
              <w:adjustRightInd w:val="0"/>
              <w:spacing w:before="24" w:after="24" w:line="240" w:lineRule="atLeast"/>
              <w:rPr>
                <w:szCs w:val="21"/>
              </w:rPr>
            </w:pPr>
            <w:r>
              <w:rPr>
                <w:rFonts w:hint="eastAsia"/>
                <w:bCs w:val="0"/>
                <w:szCs w:val="21"/>
              </w:rPr>
              <w:t>369</w:t>
            </w:r>
            <w:r>
              <w:rPr>
                <w:bCs w:val="0"/>
                <w:szCs w:val="21"/>
              </w:rPr>
              <w:t>~</w:t>
            </w:r>
            <w:r>
              <w:rPr>
                <w:rFonts w:hint="eastAsia"/>
                <w:bCs w:val="0"/>
                <w:szCs w:val="21"/>
              </w:rPr>
              <w:t>411</w:t>
            </w:r>
            <w:r>
              <w:rPr>
                <w:rFonts w:hint="eastAsia"/>
                <w:kern w:val="24"/>
                <w:szCs w:val="21"/>
              </w:rPr>
              <w:t>mg/L</w:t>
            </w:r>
          </w:p>
        </w:tc>
        <w:tc>
          <w:tcPr>
            <w:tcW w:w="1884" w:type="pct"/>
            <w:vMerge w:val="continue"/>
            <w:tcBorders>
              <w:tl2br w:val="nil"/>
              <w:tr2bl w:val="nil"/>
            </w:tcBorders>
            <w:vAlign w:val="center"/>
          </w:tcPr>
          <w:p>
            <w:pPr>
              <w:spacing w:line="250" w:lineRule="exact"/>
              <w:jc w:val="center"/>
              <w:rPr>
                <w:bCs/>
                <w:kern w:val="0"/>
                <w:szCs w:val="21"/>
              </w:rPr>
            </w:pP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szCs w:val="21"/>
                <w:lang w:val="zh-CN"/>
              </w:rPr>
            </w:pPr>
          </w:p>
        </w:tc>
        <w:tc>
          <w:tcPr>
            <w:tcW w:w="455" w:type="pct"/>
            <w:vMerge w:val="continue"/>
            <w:tcBorders>
              <w:tl2br w:val="nil"/>
              <w:tr2bl w:val="nil"/>
            </w:tcBorders>
            <w:vAlign w:val="center"/>
          </w:tcPr>
          <w:p>
            <w:pPr>
              <w:spacing w:line="250" w:lineRule="exact"/>
              <w:jc w:val="center"/>
              <w:rPr>
                <w:bCs/>
                <w:szCs w:val="21"/>
                <w:lang w:val="zh-CN"/>
              </w:rPr>
            </w:pPr>
          </w:p>
        </w:tc>
        <w:tc>
          <w:tcPr>
            <w:tcW w:w="340" w:type="pct"/>
            <w:vMerge w:val="continue"/>
            <w:tcBorders>
              <w:tl2br w:val="nil"/>
              <w:tr2bl w:val="nil"/>
            </w:tcBorders>
            <w:vAlign w:val="center"/>
          </w:tcPr>
          <w:p>
            <w:pPr>
              <w:spacing w:line="250" w:lineRule="exact"/>
              <w:jc w:val="center"/>
              <w:rPr>
                <w:bCs/>
                <w:szCs w:val="21"/>
                <w:lang w:val="zh-CN"/>
              </w:rPr>
            </w:pPr>
          </w:p>
        </w:tc>
        <w:tc>
          <w:tcPr>
            <w:tcW w:w="363" w:type="pct"/>
            <w:vMerge w:val="continue"/>
            <w:tcBorders>
              <w:tl2br w:val="nil"/>
              <w:tr2bl w:val="nil"/>
            </w:tcBorders>
            <w:vAlign w:val="center"/>
          </w:tcPr>
          <w:p>
            <w:pPr>
              <w:spacing w:line="250" w:lineRule="exact"/>
              <w:jc w:val="center"/>
              <w:rPr>
                <w:bCs/>
                <w:kern w:val="0"/>
                <w:szCs w:val="21"/>
              </w:rPr>
            </w:pPr>
          </w:p>
        </w:tc>
        <w:tc>
          <w:tcPr>
            <w:tcW w:w="275" w:type="pct"/>
            <w:tcBorders>
              <w:tl2br w:val="nil"/>
              <w:tr2bl w:val="nil"/>
            </w:tcBorders>
            <w:vAlign w:val="center"/>
          </w:tcPr>
          <w:p>
            <w:pPr>
              <w:pStyle w:val="3"/>
              <w:adjustRightInd w:val="0"/>
              <w:spacing w:before="24" w:after="24" w:line="240" w:lineRule="auto"/>
              <w:rPr>
                <w:color w:val="auto"/>
                <w:szCs w:val="21"/>
              </w:rPr>
            </w:pPr>
            <w:r>
              <w:rPr>
                <w:bCs w:val="0"/>
                <w:color w:val="auto"/>
                <w:szCs w:val="21"/>
              </w:rPr>
              <w:t>总氮</w:t>
            </w:r>
          </w:p>
        </w:tc>
        <w:tc>
          <w:tcPr>
            <w:tcW w:w="589" w:type="pct"/>
            <w:tcBorders>
              <w:tl2br w:val="nil"/>
              <w:tr2bl w:val="nil"/>
            </w:tcBorders>
            <w:vAlign w:val="center"/>
          </w:tcPr>
          <w:p>
            <w:pPr>
              <w:pStyle w:val="3"/>
              <w:adjustRightInd w:val="0"/>
              <w:spacing w:before="24" w:after="24" w:line="240" w:lineRule="atLeast"/>
              <w:rPr>
                <w:szCs w:val="21"/>
              </w:rPr>
            </w:pPr>
            <w:r>
              <w:rPr>
                <w:rFonts w:hint="eastAsia"/>
                <w:bCs w:val="0"/>
                <w:szCs w:val="21"/>
              </w:rPr>
              <w:t>456</w:t>
            </w:r>
            <w:r>
              <w:rPr>
                <w:bCs w:val="0"/>
                <w:szCs w:val="21"/>
              </w:rPr>
              <w:t>~</w:t>
            </w:r>
            <w:r>
              <w:rPr>
                <w:rFonts w:hint="eastAsia"/>
                <w:bCs w:val="0"/>
                <w:szCs w:val="21"/>
              </w:rPr>
              <w:t>501</w:t>
            </w:r>
            <w:r>
              <w:rPr>
                <w:rFonts w:hint="eastAsia"/>
                <w:kern w:val="24"/>
                <w:szCs w:val="21"/>
              </w:rPr>
              <w:t>mg/L</w:t>
            </w:r>
          </w:p>
        </w:tc>
        <w:tc>
          <w:tcPr>
            <w:tcW w:w="1884" w:type="pct"/>
            <w:vMerge w:val="continue"/>
            <w:tcBorders>
              <w:tl2br w:val="nil"/>
              <w:tr2bl w:val="nil"/>
            </w:tcBorders>
            <w:vAlign w:val="center"/>
          </w:tcPr>
          <w:p>
            <w:pPr>
              <w:spacing w:line="250" w:lineRule="exact"/>
              <w:jc w:val="center"/>
              <w:rPr>
                <w:bCs/>
                <w:kern w:val="0"/>
                <w:szCs w:val="21"/>
              </w:rPr>
            </w:pP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8"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szCs w:val="21"/>
                <w:lang w:val="zh-CN"/>
              </w:rPr>
            </w:pPr>
          </w:p>
        </w:tc>
        <w:tc>
          <w:tcPr>
            <w:tcW w:w="455" w:type="pct"/>
            <w:vMerge w:val="continue"/>
            <w:tcBorders>
              <w:tl2br w:val="nil"/>
              <w:tr2bl w:val="nil"/>
            </w:tcBorders>
            <w:vAlign w:val="center"/>
          </w:tcPr>
          <w:p>
            <w:pPr>
              <w:spacing w:line="250" w:lineRule="exact"/>
              <w:jc w:val="center"/>
              <w:rPr>
                <w:bCs/>
                <w:szCs w:val="21"/>
                <w:lang w:val="zh-CN"/>
              </w:rPr>
            </w:pPr>
          </w:p>
        </w:tc>
        <w:tc>
          <w:tcPr>
            <w:tcW w:w="340" w:type="pct"/>
            <w:vMerge w:val="continue"/>
            <w:tcBorders>
              <w:tl2br w:val="nil"/>
              <w:tr2bl w:val="nil"/>
            </w:tcBorders>
            <w:vAlign w:val="center"/>
          </w:tcPr>
          <w:p>
            <w:pPr>
              <w:spacing w:line="250" w:lineRule="exact"/>
              <w:jc w:val="center"/>
              <w:rPr>
                <w:bCs/>
                <w:szCs w:val="21"/>
                <w:lang w:val="zh-CN"/>
              </w:rPr>
            </w:pPr>
          </w:p>
        </w:tc>
        <w:tc>
          <w:tcPr>
            <w:tcW w:w="363" w:type="pct"/>
            <w:vMerge w:val="continue"/>
            <w:tcBorders>
              <w:tl2br w:val="nil"/>
              <w:tr2bl w:val="nil"/>
            </w:tcBorders>
            <w:vAlign w:val="center"/>
          </w:tcPr>
          <w:p>
            <w:pPr>
              <w:spacing w:line="250" w:lineRule="exact"/>
              <w:jc w:val="center"/>
              <w:rPr>
                <w:bCs/>
                <w:kern w:val="0"/>
                <w:szCs w:val="21"/>
              </w:rPr>
            </w:pPr>
          </w:p>
        </w:tc>
        <w:tc>
          <w:tcPr>
            <w:tcW w:w="275" w:type="pct"/>
            <w:tcBorders>
              <w:tl2br w:val="nil"/>
              <w:tr2bl w:val="nil"/>
            </w:tcBorders>
            <w:vAlign w:val="center"/>
          </w:tcPr>
          <w:p>
            <w:pPr>
              <w:pStyle w:val="3"/>
              <w:adjustRightInd w:val="0"/>
              <w:spacing w:before="24" w:after="24" w:line="240" w:lineRule="auto"/>
              <w:rPr>
                <w:color w:val="auto"/>
                <w:szCs w:val="21"/>
              </w:rPr>
            </w:pPr>
            <w:r>
              <w:rPr>
                <w:bCs w:val="0"/>
                <w:color w:val="auto"/>
                <w:szCs w:val="21"/>
              </w:rPr>
              <w:t>SS</w:t>
            </w:r>
          </w:p>
        </w:tc>
        <w:tc>
          <w:tcPr>
            <w:tcW w:w="589" w:type="pct"/>
            <w:tcBorders>
              <w:tl2br w:val="nil"/>
              <w:tr2bl w:val="nil"/>
            </w:tcBorders>
            <w:vAlign w:val="center"/>
          </w:tcPr>
          <w:p>
            <w:pPr>
              <w:pStyle w:val="3"/>
              <w:adjustRightInd w:val="0"/>
              <w:spacing w:before="24" w:after="24" w:line="240" w:lineRule="atLeast"/>
              <w:rPr>
                <w:kern w:val="24"/>
                <w:szCs w:val="21"/>
              </w:rPr>
            </w:pPr>
            <w:r>
              <w:rPr>
                <w:rFonts w:hint="eastAsia"/>
                <w:bCs w:val="0"/>
                <w:szCs w:val="21"/>
              </w:rPr>
              <w:t>57</w:t>
            </w:r>
            <w:r>
              <w:rPr>
                <w:bCs w:val="0"/>
                <w:szCs w:val="21"/>
              </w:rPr>
              <w:t>~</w:t>
            </w:r>
            <w:r>
              <w:rPr>
                <w:rFonts w:hint="eastAsia"/>
                <w:bCs w:val="0"/>
                <w:szCs w:val="21"/>
              </w:rPr>
              <w:t>71</w:t>
            </w:r>
            <w:r>
              <w:rPr>
                <w:rFonts w:hint="eastAsia"/>
                <w:kern w:val="24"/>
                <w:szCs w:val="21"/>
              </w:rPr>
              <w:t>mg/L</w:t>
            </w:r>
          </w:p>
        </w:tc>
        <w:tc>
          <w:tcPr>
            <w:tcW w:w="1884" w:type="pct"/>
            <w:vMerge w:val="continue"/>
            <w:tcBorders>
              <w:tl2br w:val="nil"/>
              <w:tr2bl w:val="nil"/>
            </w:tcBorders>
            <w:vAlign w:val="center"/>
          </w:tcPr>
          <w:p>
            <w:pPr>
              <w:spacing w:line="250" w:lineRule="exact"/>
              <w:jc w:val="center"/>
              <w:rPr>
                <w:bCs/>
                <w:kern w:val="0"/>
                <w:szCs w:val="21"/>
              </w:rPr>
            </w:pP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kern w:val="0"/>
                <w:szCs w:val="21"/>
                <w:lang w:val="zh-CN"/>
              </w:rPr>
            </w:pPr>
          </w:p>
        </w:tc>
        <w:tc>
          <w:tcPr>
            <w:tcW w:w="455" w:type="pct"/>
            <w:vMerge w:val="restart"/>
            <w:tcBorders>
              <w:tl2br w:val="nil"/>
              <w:tr2bl w:val="nil"/>
            </w:tcBorders>
            <w:vAlign w:val="center"/>
          </w:tcPr>
          <w:p>
            <w:pPr>
              <w:spacing w:line="250" w:lineRule="exact"/>
              <w:jc w:val="center"/>
              <w:rPr>
                <w:bCs/>
                <w:szCs w:val="21"/>
                <w:lang w:val="zh-CN"/>
              </w:rPr>
            </w:pPr>
            <w:r>
              <w:rPr>
                <w:rFonts w:hint="eastAsia"/>
                <w:bCs/>
                <w:szCs w:val="21"/>
                <w:lang w:val="zh-CN"/>
              </w:rPr>
              <w:t>办公管理区</w:t>
            </w:r>
          </w:p>
        </w:tc>
        <w:tc>
          <w:tcPr>
            <w:tcW w:w="340" w:type="pct"/>
            <w:vMerge w:val="restart"/>
            <w:tcBorders>
              <w:tl2br w:val="nil"/>
              <w:tr2bl w:val="nil"/>
            </w:tcBorders>
            <w:vAlign w:val="center"/>
          </w:tcPr>
          <w:p>
            <w:pPr>
              <w:spacing w:line="250" w:lineRule="exact"/>
              <w:jc w:val="center"/>
              <w:rPr>
                <w:bCs/>
                <w:szCs w:val="21"/>
                <w:lang w:val="zh-CN"/>
              </w:rPr>
            </w:pPr>
            <w:r>
              <w:rPr>
                <w:rFonts w:hint="eastAsia"/>
                <w:bCs/>
                <w:szCs w:val="21"/>
                <w:lang w:val="zh-CN"/>
              </w:rPr>
              <w:t>职工生活废水</w:t>
            </w:r>
          </w:p>
        </w:tc>
        <w:tc>
          <w:tcPr>
            <w:tcW w:w="363" w:type="pct"/>
            <w:vMerge w:val="restart"/>
            <w:tcBorders>
              <w:tl2br w:val="nil"/>
              <w:tr2bl w:val="nil"/>
            </w:tcBorders>
            <w:vAlign w:val="center"/>
          </w:tcPr>
          <w:p>
            <w:pPr>
              <w:spacing w:line="250" w:lineRule="exact"/>
              <w:jc w:val="center"/>
              <w:rPr>
                <w:bCs/>
                <w:kern w:val="0"/>
                <w:szCs w:val="21"/>
              </w:rPr>
            </w:pPr>
            <w:r>
              <w:rPr>
                <w:rFonts w:hint="eastAsia"/>
                <w:bCs/>
                <w:kern w:val="0"/>
                <w:szCs w:val="21"/>
              </w:rPr>
              <w:t>0.88m</w:t>
            </w:r>
            <w:r>
              <w:rPr>
                <w:rFonts w:hint="eastAsia"/>
                <w:bCs/>
                <w:kern w:val="0"/>
                <w:szCs w:val="21"/>
                <w:vertAlign w:val="superscript"/>
              </w:rPr>
              <w:t>3</w:t>
            </w:r>
            <w:r>
              <w:rPr>
                <w:rFonts w:hint="eastAsia"/>
                <w:bCs/>
                <w:kern w:val="0"/>
                <w:szCs w:val="21"/>
              </w:rPr>
              <w:t>/d</w:t>
            </w:r>
          </w:p>
        </w:tc>
        <w:tc>
          <w:tcPr>
            <w:tcW w:w="275" w:type="pct"/>
            <w:tcBorders>
              <w:tl2br w:val="nil"/>
              <w:tr2bl w:val="nil"/>
            </w:tcBorders>
            <w:vAlign w:val="center"/>
          </w:tcPr>
          <w:p>
            <w:pPr>
              <w:spacing w:line="250" w:lineRule="exact"/>
              <w:jc w:val="center"/>
              <w:rPr>
                <w:bCs/>
                <w:kern w:val="0"/>
                <w:szCs w:val="21"/>
              </w:rPr>
            </w:pPr>
            <w:r>
              <w:rPr>
                <w:rFonts w:hint="eastAsia"/>
                <w:bCs/>
                <w:kern w:val="0"/>
                <w:szCs w:val="21"/>
              </w:rPr>
              <w:t>COD</w:t>
            </w:r>
          </w:p>
        </w:tc>
        <w:tc>
          <w:tcPr>
            <w:tcW w:w="589" w:type="pct"/>
            <w:tcBorders>
              <w:tl2br w:val="nil"/>
              <w:tr2bl w:val="nil"/>
            </w:tcBorders>
            <w:vAlign w:val="center"/>
          </w:tcPr>
          <w:p>
            <w:pPr>
              <w:spacing w:line="250" w:lineRule="exact"/>
              <w:jc w:val="center"/>
              <w:rPr>
                <w:kern w:val="24"/>
                <w:szCs w:val="21"/>
              </w:rPr>
            </w:pPr>
            <w:r>
              <w:rPr>
                <w:rFonts w:hint="eastAsia"/>
                <w:kern w:val="24"/>
                <w:szCs w:val="21"/>
              </w:rPr>
              <w:t xml:space="preserve">250mg/L </w:t>
            </w:r>
            <w:r>
              <w:rPr>
                <w:rFonts w:hint="eastAsia"/>
                <w:bCs/>
                <w:kern w:val="0"/>
                <w:szCs w:val="21"/>
              </w:rPr>
              <w:t xml:space="preserve">0.073t/a </w:t>
            </w:r>
          </w:p>
        </w:tc>
        <w:tc>
          <w:tcPr>
            <w:tcW w:w="1884" w:type="pct"/>
            <w:vMerge w:val="restart"/>
            <w:tcBorders>
              <w:tl2br w:val="nil"/>
              <w:tr2bl w:val="nil"/>
            </w:tcBorders>
            <w:vAlign w:val="center"/>
          </w:tcPr>
          <w:p>
            <w:pPr>
              <w:spacing w:line="250" w:lineRule="exact"/>
              <w:jc w:val="center"/>
              <w:rPr>
                <w:bCs/>
                <w:kern w:val="0"/>
                <w:szCs w:val="21"/>
              </w:rPr>
            </w:pPr>
            <w:r>
              <w:rPr>
                <w:rFonts w:hint="eastAsia"/>
                <w:bCs/>
                <w:kern w:val="0"/>
                <w:szCs w:val="21"/>
              </w:rPr>
              <w:t>经化粪池后，进入渗滤液调节池随垃圾渗滤液一起处理。</w:t>
            </w: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kern w:val="0"/>
                <w:szCs w:val="21"/>
                <w:lang w:val="zh-CN"/>
              </w:rPr>
            </w:pPr>
          </w:p>
        </w:tc>
        <w:tc>
          <w:tcPr>
            <w:tcW w:w="455" w:type="pct"/>
            <w:vMerge w:val="continue"/>
            <w:tcBorders>
              <w:tl2br w:val="nil"/>
              <w:tr2bl w:val="nil"/>
            </w:tcBorders>
            <w:vAlign w:val="center"/>
          </w:tcPr>
          <w:p>
            <w:pPr>
              <w:spacing w:line="250" w:lineRule="exact"/>
              <w:jc w:val="center"/>
              <w:rPr>
                <w:bCs/>
                <w:szCs w:val="21"/>
                <w:lang w:val="zh-CN"/>
              </w:rPr>
            </w:pPr>
          </w:p>
        </w:tc>
        <w:tc>
          <w:tcPr>
            <w:tcW w:w="340" w:type="pct"/>
            <w:vMerge w:val="continue"/>
            <w:tcBorders>
              <w:tl2br w:val="nil"/>
              <w:tr2bl w:val="nil"/>
            </w:tcBorders>
            <w:vAlign w:val="center"/>
          </w:tcPr>
          <w:p>
            <w:pPr>
              <w:spacing w:line="250" w:lineRule="exact"/>
              <w:jc w:val="center"/>
              <w:rPr>
                <w:bCs/>
                <w:szCs w:val="21"/>
                <w:lang w:val="zh-CN"/>
              </w:rPr>
            </w:pPr>
          </w:p>
        </w:tc>
        <w:tc>
          <w:tcPr>
            <w:tcW w:w="363" w:type="pct"/>
            <w:vMerge w:val="continue"/>
            <w:tcBorders>
              <w:tl2br w:val="nil"/>
              <w:tr2bl w:val="nil"/>
            </w:tcBorders>
            <w:vAlign w:val="center"/>
          </w:tcPr>
          <w:p>
            <w:pPr>
              <w:spacing w:line="250" w:lineRule="exact"/>
              <w:jc w:val="center"/>
              <w:rPr>
                <w:bCs/>
                <w:kern w:val="0"/>
                <w:szCs w:val="21"/>
              </w:rPr>
            </w:pPr>
          </w:p>
        </w:tc>
        <w:tc>
          <w:tcPr>
            <w:tcW w:w="275" w:type="pct"/>
            <w:tcBorders>
              <w:tl2br w:val="nil"/>
              <w:tr2bl w:val="nil"/>
            </w:tcBorders>
            <w:vAlign w:val="center"/>
          </w:tcPr>
          <w:p>
            <w:pPr>
              <w:spacing w:line="250" w:lineRule="exact"/>
              <w:jc w:val="center"/>
              <w:rPr>
                <w:bCs/>
                <w:kern w:val="0"/>
                <w:szCs w:val="21"/>
              </w:rPr>
            </w:pPr>
            <w:r>
              <w:rPr>
                <w:rFonts w:hint="eastAsia"/>
                <w:bCs/>
                <w:kern w:val="0"/>
                <w:szCs w:val="21"/>
              </w:rPr>
              <w:t>氨氮</w:t>
            </w:r>
          </w:p>
        </w:tc>
        <w:tc>
          <w:tcPr>
            <w:tcW w:w="589" w:type="pct"/>
            <w:tcBorders>
              <w:tl2br w:val="nil"/>
              <w:tr2bl w:val="nil"/>
            </w:tcBorders>
            <w:vAlign w:val="center"/>
          </w:tcPr>
          <w:p>
            <w:pPr>
              <w:spacing w:line="250" w:lineRule="exact"/>
              <w:jc w:val="center"/>
              <w:rPr>
                <w:kern w:val="24"/>
                <w:szCs w:val="21"/>
              </w:rPr>
            </w:pPr>
            <w:r>
              <w:rPr>
                <w:rFonts w:hint="eastAsia"/>
                <w:kern w:val="24"/>
                <w:szCs w:val="21"/>
              </w:rPr>
              <w:t xml:space="preserve">40mg/L </w:t>
            </w:r>
            <w:r>
              <w:rPr>
                <w:rFonts w:hint="eastAsia"/>
                <w:bCs/>
                <w:kern w:val="0"/>
                <w:szCs w:val="21"/>
              </w:rPr>
              <w:t>0.012t/a</w:t>
            </w:r>
          </w:p>
        </w:tc>
        <w:tc>
          <w:tcPr>
            <w:tcW w:w="1884" w:type="pct"/>
            <w:vMerge w:val="continue"/>
            <w:tcBorders>
              <w:tl2br w:val="nil"/>
              <w:tr2bl w:val="nil"/>
            </w:tcBorders>
            <w:vAlign w:val="center"/>
          </w:tcPr>
          <w:p>
            <w:pPr>
              <w:spacing w:line="250" w:lineRule="exact"/>
              <w:jc w:val="center"/>
              <w:rPr>
                <w:bCs/>
                <w:kern w:val="0"/>
                <w:szCs w:val="21"/>
              </w:rPr>
            </w:pP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exact"/>
          <w:jc w:val="center"/>
        </w:trPr>
        <w:tc>
          <w:tcPr>
            <w:tcW w:w="214" w:type="pct"/>
            <w:vMerge w:val="continue"/>
            <w:tcBorders>
              <w:tl2br w:val="nil"/>
              <w:tr2bl w:val="nil"/>
            </w:tcBorders>
            <w:vAlign w:val="center"/>
          </w:tcPr>
          <w:p>
            <w:pPr>
              <w:spacing w:line="250" w:lineRule="exact"/>
              <w:jc w:val="center"/>
              <w:rPr>
                <w:bCs/>
                <w:kern w:val="0"/>
                <w:szCs w:val="21"/>
                <w:lang w:val="zh-CN"/>
              </w:rPr>
            </w:pPr>
          </w:p>
        </w:tc>
        <w:tc>
          <w:tcPr>
            <w:tcW w:w="220" w:type="pct"/>
            <w:vMerge w:val="continue"/>
            <w:tcBorders>
              <w:tl2br w:val="nil"/>
              <w:tr2bl w:val="nil"/>
            </w:tcBorders>
            <w:vAlign w:val="center"/>
          </w:tcPr>
          <w:p>
            <w:pPr>
              <w:spacing w:line="250" w:lineRule="exact"/>
              <w:jc w:val="center"/>
              <w:rPr>
                <w:bCs/>
                <w:kern w:val="0"/>
                <w:szCs w:val="21"/>
                <w:lang w:val="zh-CN"/>
              </w:rPr>
            </w:pPr>
          </w:p>
        </w:tc>
        <w:tc>
          <w:tcPr>
            <w:tcW w:w="455" w:type="pct"/>
            <w:tcBorders>
              <w:tl2br w:val="nil"/>
              <w:tr2bl w:val="nil"/>
            </w:tcBorders>
            <w:vAlign w:val="center"/>
          </w:tcPr>
          <w:p>
            <w:pPr>
              <w:spacing w:line="280" w:lineRule="exact"/>
              <w:jc w:val="center"/>
              <w:rPr>
                <w:color w:val="000000"/>
                <w:szCs w:val="21"/>
              </w:rPr>
            </w:pPr>
            <w:r>
              <w:rPr>
                <w:rFonts w:hint="eastAsia"/>
                <w:color w:val="000000"/>
                <w:szCs w:val="21"/>
              </w:rPr>
              <w:t>垃圾运输车辆</w:t>
            </w:r>
          </w:p>
        </w:tc>
        <w:tc>
          <w:tcPr>
            <w:tcW w:w="340" w:type="pct"/>
            <w:tcBorders>
              <w:tl2br w:val="nil"/>
              <w:tr2bl w:val="nil"/>
            </w:tcBorders>
            <w:vAlign w:val="center"/>
          </w:tcPr>
          <w:p>
            <w:pPr>
              <w:spacing w:line="280" w:lineRule="exact"/>
              <w:jc w:val="center"/>
              <w:rPr>
                <w:color w:val="000000"/>
                <w:szCs w:val="21"/>
              </w:rPr>
            </w:pPr>
            <w:r>
              <w:rPr>
                <w:rFonts w:hint="eastAsia"/>
                <w:color w:val="000000"/>
                <w:szCs w:val="21"/>
              </w:rPr>
              <w:t>洗车废水</w:t>
            </w:r>
          </w:p>
        </w:tc>
        <w:tc>
          <w:tcPr>
            <w:tcW w:w="363" w:type="pct"/>
            <w:tcBorders>
              <w:tl2br w:val="nil"/>
              <w:tr2bl w:val="nil"/>
            </w:tcBorders>
            <w:vAlign w:val="center"/>
          </w:tcPr>
          <w:p>
            <w:pPr>
              <w:spacing w:line="280" w:lineRule="exact"/>
              <w:jc w:val="center"/>
              <w:rPr>
                <w:bCs/>
                <w:kern w:val="0"/>
                <w:szCs w:val="21"/>
              </w:rPr>
            </w:pPr>
            <w:r>
              <w:rPr>
                <w:rFonts w:hint="eastAsia"/>
                <w:bCs/>
                <w:kern w:val="0"/>
                <w:szCs w:val="21"/>
              </w:rPr>
              <w:t>0.68m</w:t>
            </w:r>
            <w:r>
              <w:rPr>
                <w:rFonts w:hint="eastAsia"/>
                <w:bCs/>
                <w:kern w:val="0"/>
                <w:szCs w:val="21"/>
                <w:vertAlign w:val="superscript"/>
              </w:rPr>
              <w:t>3</w:t>
            </w:r>
            <w:r>
              <w:rPr>
                <w:rFonts w:hint="eastAsia"/>
                <w:bCs/>
                <w:kern w:val="0"/>
                <w:szCs w:val="21"/>
              </w:rPr>
              <w:t>/d</w:t>
            </w:r>
          </w:p>
        </w:tc>
        <w:tc>
          <w:tcPr>
            <w:tcW w:w="864" w:type="pct"/>
            <w:gridSpan w:val="2"/>
            <w:tcBorders>
              <w:tl2br w:val="nil"/>
              <w:tr2bl w:val="nil"/>
            </w:tcBorders>
            <w:vAlign w:val="center"/>
          </w:tcPr>
          <w:p>
            <w:pPr>
              <w:spacing w:line="280" w:lineRule="exact"/>
              <w:jc w:val="center"/>
              <w:rPr>
                <w:kern w:val="24"/>
                <w:szCs w:val="21"/>
              </w:rPr>
            </w:pPr>
            <w:r>
              <w:rPr>
                <w:rFonts w:hint="eastAsia"/>
                <w:kern w:val="24"/>
                <w:szCs w:val="21"/>
              </w:rPr>
              <w:t>成分、浓度参照渗滤液</w:t>
            </w:r>
          </w:p>
        </w:tc>
        <w:tc>
          <w:tcPr>
            <w:tcW w:w="1884" w:type="pct"/>
            <w:tcBorders>
              <w:tl2br w:val="nil"/>
              <w:tr2bl w:val="nil"/>
            </w:tcBorders>
            <w:vAlign w:val="center"/>
          </w:tcPr>
          <w:p>
            <w:pPr>
              <w:spacing w:line="280" w:lineRule="exact"/>
              <w:jc w:val="left"/>
              <w:rPr>
                <w:bCs/>
                <w:kern w:val="0"/>
                <w:szCs w:val="21"/>
              </w:rPr>
            </w:pPr>
            <w:r>
              <w:rPr>
                <w:rFonts w:hint="eastAsia"/>
                <w:bCs/>
                <w:kern w:val="0"/>
                <w:szCs w:val="21"/>
              </w:rPr>
              <w:t>经沉淀池后，进入渗滤液调节池随垃圾渗滤液一起处理处理。</w:t>
            </w:r>
          </w:p>
        </w:tc>
        <w:tc>
          <w:tcPr>
            <w:tcW w:w="660" w:type="pct"/>
            <w:vMerge w:val="continue"/>
            <w:tcBorders>
              <w:tl2br w:val="nil"/>
              <w:tr2bl w:val="nil"/>
            </w:tcBorders>
            <w:vAlign w:val="center"/>
          </w:tcPr>
          <w:p>
            <w:pPr>
              <w:spacing w:line="25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3" w:hRule="exact"/>
          <w:jc w:val="center"/>
        </w:trPr>
        <w:tc>
          <w:tcPr>
            <w:tcW w:w="214" w:type="pct"/>
            <w:vMerge w:val="continue"/>
            <w:tcBorders>
              <w:tl2br w:val="nil"/>
              <w:tr2bl w:val="nil"/>
            </w:tcBorders>
            <w:vAlign w:val="center"/>
          </w:tcPr>
          <w:p>
            <w:pPr>
              <w:spacing w:line="240" w:lineRule="exact"/>
              <w:jc w:val="center"/>
              <w:rPr>
                <w:bCs/>
                <w:kern w:val="0"/>
                <w:szCs w:val="21"/>
                <w:lang w:val="zh-CN"/>
              </w:rPr>
            </w:pPr>
          </w:p>
        </w:tc>
        <w:tc>
          <w:tcPr>
            <w:tcW w:w="220" w:type="pct"/>
            <w:tcBorders>
              <w:tl2br w:val="nil"/>
              <w:tr2bl w:val="nil"/>
            </w:tcBorders>
            <w:vAlign w:val="center"/>
          </w:tcPr>
          <w:p>
            <w:pPr>
              <w:spacing w:line="240" w:lineRule="exact"/>
              <w:jc w:val="center"/>
              <w:rPr>
                <w:bCs/>
                <w:kern w:val="0"/>
                <w:szCs w:val="21"/>
                <w:lang w:val="zh-CN"/>
              </w:rPr>
            </w:pPr>
            <w:r>
              <w:rPr>
                <w:rFonts w:hint="eastAsia"/>
                <w:bCs/>
                <w:kern w:val="0"/>
                <w:szCs w:val="21"/>
                <w:lang w:val="zh-CN"/>
              </w:rPr>
              <w:t>噪声</w:t>
            </w:r>
          </w:p>
        </w:tc>
        <w:tc>
          <w:tcPr>
            <w:tcW w:w="795" w:type="pct"/>
            <w:gridSpan w:val="2"/>
            <w:tcBorders>
              <w:tl2br w:val="nil"/>
              <w:tr2bl w:val="nil"/>
            </w:tcBorders>
            <w:vAlign w:val="center"/>
          </w:tcPr>
          <w:p>
            <w:pPr>
              <w:spacing w:line="280" w:lineRule="exact"/>
              <w:jc w:val="center"/>
              <w:rPr>
                <w:szCs w:val="21"/>
              </w:rPr>
            </w:pPr>
            <w:r>
              <w:rPr>
                <w:rFonts w:hint="eastAsia"/>
                <w:szCs w:val="21"/>
              </w:rPr>
              <w:t>填埋作业车辆机械、渗滤液处理站水泵、填埋气抽气机房风机等</w:t>
            </w:r>
          </w:p>
        </w:tc>
        <w:tc>
          <w:tcPr>
            <w:tcW w:w="1227" w:type="pct"/>
            <w:gridSpan w:val="3"/>
            <w:tcBorders>
              <w:tl2br w:val="nil"/>
              <w:tr2bl w:val="nil"/>
            </w:tcBorders>
            <w:vAlign w:val="center"/>
          </w:tcPr>
          <w:p>
            <w:pPr>
              <w:spacing w:line="280" w:lineRule="exact"/>
              <w:jc w:val="center"/>
              <w:rPr>
                <w:kern w:val="24"/>
                <w:szCs w:val="21"/>
              </w:rPr>
            </w:pPr>
            <w:r>
              <w:rPr>
                <w:rFonts w:hint="eastAsia"/>
                <w:bCs/>
                <w:kern w:val="0"/>
                <w:szCs w:val="21"/>
              </w:rPr>
              <w:t>源强约</w:t>
            </w:r>
            <w:r>
              <w:rPr>
                <w:rFonts w:hint="eastAsia"/>
                <w:kern w:val="24"/>
                <w:szCs w:val="21"/>
              </w:rPr>
              <w:t>70~95dB(A)</w:t>
            </w:r>
          </w:p>
        </w:tc>
        <w:tc>
          <w:tcPr>
            <w:tcW w:w="1884" w:type="pct"/>
            <w:tcBorders>
              <w:tl2br w:val="nil"/>
              <w:tr2bl w:val="nil"/>
            </w:tcBorders>
            <w:vAlign w:val="center"/>
          </w:tcPr>
          <w:p>
            <w:pPr>
              <w:spacing w:line="280" w:lineRule="exact"/>
              <w:jc w:val="center"/>
              <w:rPr>
                <w:bCs/>
                <w:kern w:val="0"/>
                <w:szCs w:val="21"/>
              </w:rPr>
            </w:pPr>
            <w:r>
              <w:rPr>
                <w:rFonts w:hint="eastAsia"/>
                <w:bCs/>
                <w:kern w:val="0"/>
                <w:szCs w:val="21"/>
              </w:rPr>
              <w:t>加强机械、车辆管理，合理安排填埋作业时间，制定操作规程；各水泵、风机均进行基础减震，布置在密闭车间内，风机安装柔性接头；加强场地及周边绿化，形成隔离带等。</w:t>
            </w:r>
          </w:p>
        </w:tc>
        <w:tc>
          <w:tcPr>
            <w:tcW w:w="660" w:type="pct"/>
            <w:tcBorders>
              <w:tl2br w:val="nil"/>
              <w:tr2bl w:val="nil"/>
            </w:tcBorders>
            <w:vAlign w:val="center"/>
          </w:tcPr>
          <w:p>
            <w:pPr>
              <w:spacing w:line="240" w:lineRule="exact"/>
              <w:jc w:val="center"/>
              <w:rPr>
                <w:kern w:val="24"/>
                <w:szCs w:val="21"/>
              </w:rPr>
            </w:pPr>
            <w:r>
              <w:rPr>
                <w:rFonts w:hint="eastAsia"/>
                <w:kern w:val="24"/>
                <w:szCs w:val="21"/>
              </w:rPr>
              <w:t>场界噪声达标排放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8" w:hRule="exact"/>
          <w:jc w:val="center"/>
        </w:trPr>
        <w:tc>
          <w:tcPr>
            <w:tcW w:w="214" w:type="pct"/>
            <w:vMerge w:val="continue"/>
            <w:tcBorders>
              <w:tl2br w:val="nil"/>
              <w:tr2bl w:val="nil"/>
            </w:tcBorders>
            <w:vAlign w:val="center"/>
          </w:tcPr>
          <w:p>
            <w:pPr>
              <w:spacing w:line="240" w:lineRule="exact"/>
              <w:jc w:val="center"/>
              <w:rPr>
                <w:bCs/>
                <w:kern w:val="0"/>
                <w:szCs w:val="21"/>
                <w:lang w:val="zh-CN"/>
              </w:rPr>
            </w:pPr>
          </w:p>
        </w:tc>
        <w:tc>
          <w:tcPr>
            <w:tcW w:w="220" w:type="pct"/>
            <w:tcBorders>
              <w:tl2br w:val="nil"/>
              <w:tr2bl w:val="nil"/>
            </w:tcBorders>
            <w:vAlign w:val="center"/>
          </w:tcPr>
          <w:p>
            <w:pPr>
              <w:spacing w:line="240" w:lineRule="exact"/>
              <w:jc w:val="center"/>
              <w:rPr>
                <w:bCs/>
                <w:kern w:val="0"/>
                <w:szCs w:val="21"/>
                <w:lang w:val="zh-CN"/>
              </w:rPr>
            </w:pPr>
            <w:r>
              <w:rPr>
                <w:rFonts w:hint="eastAsia"/>
                <w:bCs/>
                <w:kern w:val="0"/>
                <w:szCs w:val="21"/>
                <w:lang w:val="zh-CN"/>
              </w:rPr>
              <w:t>固废</w:t>
            </w:r>
          </w:p>
        </w:tc>
        <w:tc>
          <w:tcPr>
            <w:tcW w:w="455" w:type="pct"/>
            <w:tcBorders>
              <w:tl2br w:val="nil"/>
              <w:tr2bl w:val="nil"/>
            </w:tcBorders>
            <w:vAlign w:val="center"/>
          </w:tcPr>
          <w:p>
            <w:pPr>
              <w:spacing w:line="240" w:lineRule="exact"/>
              <w:jc w:val="center"/>
              <w:rPr>
                <w:color w:val="000000"/>
                <w:szCs w:val="21"/>
              </w:rPr>
            </w:pPr>
            <w:r>
              <w:rPr>
                <w:rFonts w:hint="eastAsia"/>
                <w:color w:val="000000"/>
                <w:szCs w:val="21"/>
              </w:rPr>
              <w:t>渗滤液处理车间</w:t>
            </w:r>
          </w:p>
        </w:tc>
        <w:tc>
          <w:tcPr>
            <w:tcW w:w="340" w:type="pct"/>
            <w:tcBorders>
              <w:tl2br w:val="nil"/>
              <w:tr2bl w:val="nil"/>
            </w:tcBorders>
            <w:vAlign w:val="center"/>
          </w:tcPr>
          <w:p>
            <w:pPr>
              <w:spacing w:line="240" w:lineRule="exact"/>
              <w:jc w:val="center"/>
              <w:rPr>
                <w:color w:val="000000"/>
                <w:szCs w:val="21"/>
              </w:rPr>
            </w:pPr>
            <w:r>
              <w:rPr>
                <w:rFonts w:hint="eastAsia"/>
                <w:color w:val="000000"/>
                <w:szCs w:val="21"/>
              </w:rPr>
              <w:t>渗滤液滤渣</w:t>
            </w:r>
          </w:p>
        </w:tc>
        <w:tc>
          <w:tcPr>
            <w:tcW w:w="1227" w:type="pct"/>
            <w:gridSpan w:val="3"/>
            <w:tcBorders>
              <w:tl2br w:val="nil"/>
              <w:tr2bl w:val="nil"/>
            </w:tcBorders>
            <w:vAlign w:val="center"/>
          </w:tcPr>
          <w:p>
            <w:pPr>
              <w:spacing w:line="240" w:lineRule="exact"/>
              <w:jc w:val="center"/>
              <w:rPr>
                <w:kern w:val="24"/>
                <w:szCs w:val="21"/>
              </w:rPr>
            </w:pPr>
            <w:r>
              <w:rPr>
                <w:rFonts w:hint="eastAsia"/>
                <w:bCs/>
                <w:kern w:val="0"/>
                <w:szCs w:val="21"/>
              </w:rPr>
              <w:t>1.18t/a</w:t>
            </w:r>
          </w:p>
        </w:tc>
        <w:tc>
          <w:tcPr>
            <w:tcW w:w="1884" w:type="pct"/>
            <w:tcBorders>
              <w:tl2br w:val="nil"/>
              <w:tr2bl w:val="nil"/>
            </w:tcBorders>
            <w:vAlign w:val="center"/>
          </w:tcPr>
          <w:p>
            <w:pPr>
              <w:spacing w:line="240" w:lineRule="exact"/>
              <w:jc w:val="center"/>
              <w:rPr>
                <w:szCs w:val="21"/>
              </w:rPr>
            </w:pPr>
            <w:r>
              <w:rPr>
                <w:rFonts w:hint="eastAsia"/>
                <w:szCs w:val="21"/>
              </w:rPr>
              <w:t>收集后送至场内库区进行处置。</w:t>
            </w:r>
          </w:p>
        </w:tc>
        <w:tc>
          <w:tcPr>
            <w:tcW w:w="660" w:type="pct"/>
            <w:tcBorders>
              <w:tl2br w:val="nil"/>
              <w:tr2bl w:val="nil"/>
            </w:tcBorders>
            <w:vAlign w:val="center"/>
          </w:tcPr>
          <w:p>
            <w:pPr>
              <w:spacing w:line="240" w:lineRule="exact"/>
              <w:jc w:val="center"/>
              <w:rPr>
                <w:kern w:val="24"/>
                <w:szCs w:val="21"/>
              </w:rPr>
            </w:pPr>
            <w:r>
              <w:rPr>
                <w:rFonts w:hint="eastAsia"/>
                <w:kern w:val="24"/>
                <w:szCs w:val="21"/>
              </w:rPr>
              <w:t>合理处置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5" w:hRule="exact"/>
          <w:jc w:val="center"/>
        </w:trPr>
        <w:tc>
          <w:tcPr>
            <w:tcW w:w="214" w:type="pct"/>
            <w:vMerge w:val="continue"/>
            <w:tcBorders>
              <w:tl2br w:val="nil"/>
              <w:tr2bl w:val="nil"/>
            </w:tcBorders>
            <w:vAlign w:val="center"/>
          </w:tcPr>
          <w:p>
            <w:pPr>
              <w:spacing w:line="240" w:lineRule="exact"/>
              <w:jc w:val="center"/>
              <w:rPr>
                <w:bCs/>
                <w:kern w:val="0"/>
                <w:szCs w:val="21"/>
                <w:lang w:val="zh-CN"/>
              </w:rPr>
            </w:pPr>
          </w:p>
        </w:tc>
        <w:tc>
          <w:tcPr>
            <w:tcW w:w="220" w:type="pct"/>
            <w:vMerge w:val="restart"/>
            <w:tcBorders>
              <w:tl2br w:val="nil"/>
              <w:tr2bl w:val="nil"/>
            </w:tcBorders>
            <w:vAlign w:val="center"/>
          </w:tcPr>
          <w:p>
            <w:pPr>
              <w:spacing w:line="240" w:lineRule="exact"/>
              <w:jc w:val="center"/>
              <w:rPr>
                <w:bCs/>
                <w:kern w:val="0"/>
                <w:szCs w:val="21"/>
                <w:lang w:val="zh-CN"/>
              </w:rPr>
            </w:pPr>
            <w:r>
              <w:rPr>
                <w:rFonts w:hint="eastAsia"/>
                <w:bCs/>
                <w:kern w:val="0"/>
                <w:szCs w:val="21"/>
                <w:lang w:val="zh-CN"/>
              </w:rPr>
              <w:t>固废</w:t>
            </w:r>
          </w:p>
        </w:tc>
        <w:tc>
          <w:tcPr>
            <w:tcW w:w="455" w:type="pct"/>
            <w:tcBorders>
              <w:tl2br w:val="nil"/>
              <w:tr2bl w:val="nil"/>
            </w:tcBorders>
            <w:vAlign w:val="center"/>
          </w:tcPr>
          <w:p>
            <w:pPr>
              <w:spacing w:line="240" w:lineRule="exact"/>
              <w:jc w:val="center"/>
              <w:rPr>
                <w:color w:val="000000"/>
                <w:szCs w:val="21"/>
              </w:rPr>
            </w:pPr>
            <w:r>
              <w:rPr>
                <w:rFonts w:hint="eastAsia"/>
                <w:bCs/>
                <w:szCs w:val="21"/>
                <w:lang w:val="zh-CN"/>
              </w:rPr>
              <w:t>办公管理区</w:t>
            </w:r>
          </w:p>
        </w:tc>
        <w:tc>
          <w:tcPr>
            <w:tcW w:w="340" w:type="pct"/>
            <w:tcBorders>
              <w:tl2br w:val="nil"/>
              <w:tr2bl w:val="nil"/>
            </w:tcBorders>
            <w:vAlign w:val="center"/>
          </w:tcPr>
          <w:p>
            <w:pPr>
              <w:spacing w:line="240" w:lineRule="exact"/>
              <w:jc w:val="center"/>
              <w:rPr>
                <w:color w:val="000000"/>
                <w:szCs w:val="21"/>
              </w:rPr>
            </w:pPr>
            <w:r>
              <w:rPr>
                <w:rFonts w:hint="eastAsia"/>
                <w:bCs/>
                <w:kern w:val="0"/>
                <w:szCs w:val="21"/>
              </w:rPr>
              <w:t>职工生活垃圾</w:t>
            </w:r>
          </w:p>
        </w:tc>
        <w:tc>
          <w:tcPr>
            <w:tcW w:w="1227" w:type="pct"/>
            <w:gridSpan w:val="3"/>
            <w:tcBorders>
              <w:tl2br w:val="nil"/>
              <w:tr2bl w:val="nil"/>
            </w:tcBorders>
            <w:vAlign w:val="center"/>
          </w:tcPr>
          <w:p>
            <w:pPr>
              <w:spacing w:line="240" w:lineRule="exact"/>
              <w:jc w:val="center"/>
              <w:rPr>
                <w:kern w:val="24"/>
                <w:szCs w:val="21"/>
              </w:rPr>
            </w:pPr>
            <w:r>
              <w:rPr>
                <w:rFonts w:hint="eastAsia"/>
                <w:szCs w:val="21"/>
              </w:rPr>
              <w:t>3.65t/a</w:t>
            </w:r>
          </w:p>
        </w:tc>
        <w:tc>
          <w:tcPr>
            <w:tcW w:w="1884" w:type="pct"/>
            <w:tcBorders>
              <w:tl2br w:val="nil"/>
              <w:tr2bl w:val="nil"/>
            </w:tcBorders>
            <w:vAlign w:val="center"/>
          </w:tcPr>
          <w:p>
            <w:pPr>
              <w:spacing w:line="240" w:lineRule="exact"/>
              <w:jc w:val="center"/>
              <w:rPr>
                <w:szCs w:val="21"/>
              </w:rPr>
            </w:pPr>
            <w:r>
              <w:rPr>
                <w:rFonts w:hint="eastAsia"/>
                <w:szCs w:val="21"/>
              </w:rPr>
              <w:t>收集后送至场内库区进行处置。</w:t>
            </w:r>
          </w:p>
        </w:tc>
        <w:tc>
          <w:tcPr>
            <w:tcW w:w="660" w:type="pct"/>
            <w:vMerge w:val="restart"/>
            <w:tcBorders>
              <w:tl2br w:val="nil"/>
              <w:tr2bl w:val="nil"/>
            </w:tcBorders>
            <w:vAlign w:val="center"/>
          </w:tcPr>
          <w:p>
            <w:pPr>
              <w:spacing w:line="240" w:lineRule="exact"/>
              <w:jc w:val="center"/>
              <w:rPr>
                <w:kern w:val="24"/>
                <w:szCs w:val="21"/>
              </w:rPr>
            </w:pPr>
            <w:r>
              <w:rPr>
                <w:rFonts w:hint="eastAsia"/>
                <w:kern w:val="24"/>
                <w:szCs w:val="21"/>
              </w:rPr>
              <w:t>合理处置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0" w:hRule="exact"/>
          <w:jc w:val="center"/>
        </w:trPr>
        <w:tc>
          <w:tcPr>
            <w:tcW w:w="214" w:type="pct"/>
            <w:vMerge w:val="continue"/>
            <w:tcBorders>
              <w:tl2br w:val="nil"/>
              <w:tr2bl w:val="nil"/>
            </w:tcBorders>
            <w:vAlign w:val="center"/>
          </w:tcPr>
          <w:p>
            <w:pPr>
              <w:spacing w:line="240" w:lineRule="exact"/>
              <w:jc w:val="center"/>
              <w:rPr>
                <w:bCs/>
                <w:kern w:val="0"/>
                <w:szCs w:val="21"/>
                <w:lang w:val="zh-CN"/>
              </w:rPr>
            </w:pPr>
          </w:p>
        </w:tc>
        <w:tc>
          <w:tcPr>
            <w:tcW w:w="220" w:type="pct"/>
            <w:vMerge w:val="continue"/>
            <w:tcBorders>
              <w:tl2br w:val="nil"/>
              <w:tr2bl w:val="nil"/>
            </w:tcBorders>
            <w:vAlign w:val="center"/>
          </w:tcPr>
          <w:p>
            <w:pPr>
              <w:spacing w:line="240" w:lineRule="exact"/>
              <w:jc w:val="center"/>
              <w:rPr>
                <w:bCs/>
                <w:kern w:val="0"/>
                <w:szCs w:val="21"/>
                <w:lang w:val="zh-CN"/>
              </w:rPr>
            </w:pPr>
          </w:p>
        </w:tc>
        <w:tc>
          <w:tcPr>
            <w:tcW w:w="455" w:type="pct"/>
            <w:tcBorders>
              <w:tl2br w:val="nil"/>
              <w:tr2bl w:val="nil"/>
            </w:tcBorders>
            <w:vAlign w:val="center"/>
          </w:tcPr>
          <w:p>
            <w:pPr>
              <w:spacing w:line="240" w:lineRule="exact"/>
              <w:jc w:val="center"/>
              <w:rPr>
                <w:color w:val="000000"/>
                <w:szCs w:val="21"/>
              </w:rPr>
            </w:pPr>
            <w:r>
              <w:rPr>
                <w:rFonts w:hint="eastAsia"/>
                <w:color w:val="000000"/>
                <w:szCs w:val="21"/>
              </w:rPr>
              <w:t>化粪池</w:t>
            </w:r>
          </w:p>
        </w:tc>
        <w:tc>
          <w:tcPr>
            <w:tcW w:w="340" w:type="pct"/>
            <w:tcBorders>
              <w:tl2br w:val="nil"/>
              <w:tr2bl w:val="nil"/>
            </w:tcBorders>
            <w:vAlign w:val="center"/>
          </w:tcPr>
          <w:p>
            <w:pPr>
              <w:spacing w:line="240" w:lineRule="exact"/>
              <w:jc w:val="center"/>
              <w:rPr>
                <w:color w:val="000000"/>
                <w:szCs w:val="21"/>
              </w:rPr>
            </w:pPr>
            <w:r>
              <w:rPr>
                <w:rFonts w:hint="eastAsia"/>
                <w:color w:val="000000"/>
                <w:szCs w:val="21"/>
              </w:rPr>
              <w:t>粪渣</w:t>
            </w:r>
          </w:p>
        </w:tc>
        <w:tc>
          <w:tcPr>
            <w:tcW w:w="1227" w:type="pct"/>
            <w:gridSpan w:val="3"/>
            <w:tcBorders>
              <w:tl2br w:val="nil"/>
              <w:tr2bl w:val="nil"/>
            </w:tcBorders>
            <w:vAlign w:val="center"/>
          </w:tcPr>
          <w:p>
            <w:pPr>
              <w:spacing w:line="240" w:lineRule="exact"/>
              <w:jc w:val="center"/>
              <w:rPr>
                <w:bCs/>
                <w:kern w:val="0"/>
                <w:szCs w:val="21"/>
              </w:rPr>
            </w:pPr>
            <w:r>
              <w:rPr>
                <w:rFonts w:hint="eastAsia"/>
                <w:bCs/>
                <w:kern w:val="0"/>
                <w:szCs w:val="21"/>
              </w:rPr>
              <w:t>0.8t/a</w:t>
            </w:r>
          </w:p>
        </w:tc>
        <w:tc>
          <w:tcPr>
            <w:tcW w:w="1884" w:type="pct"/>
            <w:tcBorders>
              <w:tl2br w:val="nil"/>
              <w:tr2bl w:val="nil"/>
            </w:tcBorders>
            <w:vAlign w:val="center"/>
          </w:tcPr>
          <w:p>
            <w:pPr>
              <w:spacing w:line="240" w:lineRule="exact"/>
              <w:jc w:val="center"/>
              <w:rPr>
                <w:szCs w:val="21"/>
              </w:rPr>
            </w:pPr>
            <w:r>
              <w:rPr>
                <w:szCs w:val="21"/>
              </w:rPr>
              <w:t>由市政环卫定期清掏。</w:t>
            </w:r>
          </w:p>
        </w:tc>
        <w:tc>
          <w:tcPr>
            <w:tcW w:w="660" w:type="pct"/>
            <w:vMerge w:val="continue"/>
            <w:tcBorders>
              <w:tl2br w:val="nil"/>
              <w:tr2bl w:val="nil"/>
            </w:tcBorders>
            <w:vAlign w:val="center"/>
          </w:tcPr>
          <w:p>
            <w:pPr>
              <w:spacing w:line="24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8" w:hRule="exact"/>
          <w:jc w:val="center"/>
        </w:trPr>
        <w:tc>
          <w:tcPr>
            <w:tcW w:w="214" w:type="pct"/>
            <w:vMerge w:val="restart"/>
            <w:tcBorders>
              <w:tl2br w:val="nil"/>
              <w:tr2bl w:val="nil"/>
            </w:tcBorders>
            <w:vAlign w:val="center"/>
          </w:tcPr>
          <w:p>
            <w:pPr>
              <w:spacing w:line="240" w:lineRule="exact"/>
              <w:jc w:val="center"/>
              <w:rPr>
                <w:bCs/>
                <w:kern w:val="0"/>
                <w:szCs w:val="21"/>
                <w:lang w:val="zh-CN"/>
              </w:rPr>
            </w:pPr>
            <w:r>
              <w:rPr>
                <w:rFonts w:hint="eastAsia"/>
                <w:bCs/>
                <w:kern w:val="0"/>
                <w:szCs w:val="21"/>
                <w:lang w:val="zh-CN"/>
              </w:rPr>
              <w:t>封场后</w:t>
            </w:r>
          </w:p>
        </w:tc>
        <w:tc>
          <w:tcPr>
            <w:tcW w:w="220" w:type="pct"/>
            <w:tcBorders>
              <w:tl2br w:val="nil"/>
              <w:tr2bl w:val="nil"/>
            </w:tcBorders>
            <w:vAlign w:val="center"/>
          </w:tcPr>
          <w:p>
            <w:pPr>
              <w:spacing w:line="240" w:lineRule="exact"/>
              <w:jc w:val="center"/>
              <w:rPr>
                <w:bCs/>
                <w:szCs w:val="21"/>
                <w:lang w:val="zh-CN"/>
              </w:rPr>
            </w:pPr>
            <w:r>
              <w:rPr>
                <w:rFonts w:hint="eastAsia"/>
                <w:bCs/>
                <w:szCs w:val="21"/>
                <w:lang w:val="zh-CN"/>
              </w:rPr>
              <w:t>大气污染物</w:t>
            </w:r>
          </w:p>
        </w:tc>
        <w:tc>
          <w:tcPr>
            <w:tcW w:w="795" w:type="pct"/>
            <w:gridSpan w:val="2"/>
            <w:tcBorders>
              <w:tl2br w:val="nil"/>
              <w:tr2bl w:val="nil"/>
            </w:tcBorders>
            <w:vAlign w:val="center"/>
          </w:tcPr>
          <w:p>
            <w:pPr>
              <w:spacing w:line="240" w:lineRule="exact"/>
              <w:jc w:val="center"/>
              <w:rPr>
                <w:color w:val="000000"/>
                <w:szCs w:val="21"/>
              </w:rPr>
            </w:pPr>
            <w:r>
              <w:rPr>
                <w:rFonts w:hint="eastAsia"/>
                <w:color w:val="000000"/>
                <w:szCs w:val="21"/>
              </w:rPr>
              <w:t>填埋气</w:t>
            </w:r>
          </w:p>
        </w:tc>
        <w:tc>
          <w:tcPr>
            <w:tcW w:w="1227" w:type="pct"/>
            <w:gridSpan w:val="3"/>
            <w:vMerge w:val="restart"/>
            <w:tcBorders>
              <w:tl2br w:val="nil"/>
              <w:tr2bl w:val="nil"/>
            </w:tcBorders>
            <w:vAlign w:val="center"/>
          </w:tcPr>
          <w:p>
            <w:pPr>
              <w:spacing w:line="280" w:lineRule="exact"/>
              <w:jc w:val="center"/>
              <w:rPr>
                <w:kern w:val="24"/>
                <w:szCs w:val="21"/>
              </w:rPr>
            </w:pPr>
            <w:r>
              <w:rPr>
                <w:rFonts w:hint="eastAsia"/>
                <w:kern w:val="24"/>
                <w:szCs w:val="21"/>
              </w:rPr>
              <w:t>参照运营期</w:t>
            </w:r>
          </w:p>
        </w:tc>
        <w:tc>
          <w:tcPr>
            <w:tcW w:w="1884" w:type="pct"/>
            <w:vMerge w:val="restart"/>
            <w:tcBorders>
              <w:tl2br w:val="nil"/>
              <w:tr2bl w:val="nil"/>
            </w:tcBorders>
            <w:vAlign w:val="center"/>
          </w:tcPr>
          <w:p>
            <w:pPr>
              <w:spacing w:line="280" w:lineRule="exact"/>
              <w:jc w:val="left"/>
              <w:rPr>
                <w:kern w:val="24"/>
                <w:szCs w:val="21"/>
              </w:rPr>
            </w:pPr>
            <w:r>
              <w:rPr>
                <w:rFonts w:hint="eastAsia"/>
                <w:kern w:val="24"/>
                <w:szCs w:val="21"/>
              </w:rPr>
              <w:t>1、按要求进行垃圾堆体整形、终场覆盖、堆体表面敷设排水沟等封场处理，终场覆盖各层应具有排气、防渗、排水、绿化土层等功能；2、继续进行维护管理工作。包括维护最终覆盖层的完整性和有效性；继续进行渗滤液和填埋气的收集、处理；继续监测地下水水质的变化等。</w:t>
            </w:r>
          </w:p>
          <w:p>
            <w:pPr>
              <w:spacing w:line="280" w:lineRule="exact"/>
              <w:ind w:left="31" w:leftChars="15" w:right="31" w:rightChars="15"/>
              <w:jc w:val="center"/>
              <w:rPr>
                <w:kern w:val="24"/>
                <w:szCs w:val="21"/>
              </w:rPr>
            </w:pPr>
          </w:p>
        </w:tc>
        <w:tc>
          <w:tcPr>
            <w:tcW w:w="660" w:type="pct"/>
            <w:tcBorders>
              <w:tl2br w:val="nil"/>
              <w:tr2bl w:val="nil"/>
            </w:tcBorders>
            <w:vAlign w:val="center"/>
          </w:tcPr>
          <w:p>
            <w:pPr>
              <w:spacing w:line="240" w:lineRule="exact"/>
              <w:jc w:val="center"/>
              <w:rPr>
                <w:kern w:val="24"/>
                <w:szCs w:val="21"/>
              </w:rPr>
            </w:pPr>
            <w:r>
              <w:rPr>
                <w:rFonts w:hint="eastAsia"/>
                <w:kern w:val="24"/>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5" w:hRule="exact"/>
          <w:jc w:val="center"/>
        </w:trPr>
        <w:tc>
          <w:tcPr>
            <w:tcW w:w="214" w:type="pct"/>
            <w:vMerge w:val="continue"/>
            <w:tcBorders>
              <w:tl2br w:val="nil"/>
              <w:tr2bl w:val="nil"/>
            </w:tcBorders>
            <w:vAlign w:val="center"/>
          </w:tcPr>
          <w:p>
            <w:pPr>
              <w:spacing w:line="240" w:lineRule="exact"/>
              <w:jc w:val="center"/>
              <w:rPr>
                <w:bCs/>
                <w:kern w:val="0"/>
                <w:szCs w:val="21"/>
                <w:lang w:val="zh-CN"/>
              </w:rPr>
            </w:pPr>
          </w:p>
        </w:tc>
        <w:tc>
          <w:tcPr>
            <w:tcW w:w="220" w:type="pct"/>
            <w:tcBorders>
              <w:tl2br w:val="nil"/>
              <w:tr2bl w:val="nil"/>
            </w:tcBorders>
            <w:vAlign w:val="center"/>
          </w:tcPr>
          <w:p>
            <w:pPr>
              <w:spacing w:line="240" w:lineRule="exact"/>
              <w:jc w:val="center"/>
              <w:rPr>
                <w:bCs/>
                <w:szCs w:val="21"/>
                <w:lang w:val="zh-CN"/>
              </w:rPr>
            </w:pPr>
            <w:r>
              <w:rPr>
                <w:rFonts w:hint="eastAsia"/>
                <w:bCs/>
                <w:szCs w:val="21"/>
                <w:lang w:val="zh-CN"/>
              </w:rPr>
              <w:t>水污染物</w:t>
            </w:r>
          </w:p>
        </w:tc>
        <w:tc>
          <w:tcPr>
            <w:tcW w:w="795" w:type="pct"/>
            <w:gridSpan w:val="2"/>
            <w:tcBorders>
              <w:tl2br w:val="nil"/>
              <w:tr2bl w:val="nil"/>
            </w:tcBorders>
            <w:vAlign w:val="center"/>
          </w:tcPr>
          <w:p>
            <w:pPr>
              <w:spacing w:line="240" w:lineRule="exact"/>
              <w:jc w:val="center"/>
              <w:rPr>
                <w:color w:val="000000"/>
                <w:szCs w:val="21"/>
              </w:rPr>
            </w:pPr>
            <w:r>
              <w:rPr>
                <w:rFonts w:hint="eastAsia"/>
                <w:color w:val="000000"/>
                <w:szCs w:val="21"/>
              </w:rPr>
              <w:t>渗滤液</w:t>
            </w:r>
          </w:p>
        </w:tc>
        <w:tc>
          <w:tcPr>
            <w:tcW w:w="1227" w:type="pct"/>
            <w:gridSpan w:val="3"/>
            <w:vMerge w:val="continue"/>
            <w:tcBorders>
              <w:tl2br w:val="nil"/>
              <w:tr2bl w:val="nil"/>
            </w:tcBorders>
            <w:vAlign w:val="center"/>
          </w:tcPr>
          <w:p>
            <w:pPr>
              <w:spacing w:line="240" w:lineRule="exact"/>
              <w:jc w:val="center"/>
              <w:rPr>
                <w:kern w:val="24"/>
                <w:szCs w:val="21"/>
              </w:rPr>
            </w:pPr>
          </w:p>
        </w:tc>
        <w:tc>
          <w:tcPr>
            <w:tcW w:w="1884" w:type="pct"/>
            <w:vMerge w:val="continue"/>
            <w:tcBorders>
              <w:tl2br w:val="nil"/>
              <w:tr2bl w:val="nil"/>
            </w:tcBorders>
            <w:vAlign w:val="center"/>
          </w:tcPr>
          <w:p>
            <w:pPr>
              <w:spacing w:line="240" w:lineRule="exact"/>
              <w:ind w:left="31" w:leftChars="15" w:right="31" w:rightChars="15"/>
              <w:jc w:val="center"/>
              <w:rPr>
                <w:kern w:val="24"/>
                <w:szCs w:val="21"/>
              </w:rPr>
            </w:pPr>
          </w:p>
        </w:tc>
        <w:tc>
          <w:tcPr>
            <w:tcW w:w="660" w:type="pct"/>
            <w:tcBorders>
              <w:tl2br w:val="nil"/>
              <w:tr2bl w:val="nil"/>
            </w:tcBorders>
            <w:vAlign w:val="center"/>
          </w:tcPr>
          <w:p>
            <w:pPr>
              <w:spacing w:line="240" w:lineRule="exact"/>
              <w:jc w:val="center"/>
              <w:rPr>
                <w:kern w:val="24"/>
                <w:szCs w:val="21"/>
              </w:rPr>
            </w:pPr>
            <w:r>
              <w:rPr>
                <w:rFonts w:hint="eastAsia"/>
                <w:kern w:val="24"/>
                <w:szCs w:val="21"/>
              </w:rPr>
              <w:t>/</w:t>
            </w:r>
          </w:p>
        </w:tc>
      </w:tr>
    </w:tbl>
    <w:p>
      <w:pPr>
        <w:pStyle w:val="10"/>
        <w:ind w:firstLine="0" w:firstLineChars="0"/>
        <w:sectPr>
          <w:headerReference r:id="rId14" w:type="default"/>
          <w:pgSz w:w="16838" w:h="11906" w:orient="landscape"/>
          <w:pgMar w:top="1800" w:right="1245" w:bottom="1800" w:left="1440" w:header="907" w:footer="992" w:gutter="0"/>
          <w:cols w:space="425" w:num="1"/>
          <w:docGrid w:type="lines" w:linePitch="312" w:charSpace="0"/>
        </w:sectPr>
      </w:pPr>
    </w:p>
    <w:bookmarkEnd w:id="102"/>
    <w:bookmarkEnd w:id="103"/>
    <w:p>
      <w:pPr>
        <w:pStyle w:val="4"/>
        <w:spacing w:after="260" w:line="579" w:lineRule="auto"/>
        <w:jc w:val="center"/>
      </w:pPr>
      <w:bookmarkStart w:id="110" w:name="_Toc1678"/>
      <w:bookmarkStart w:id="111" w:name="_Toc1621179403"/>
      <w:bookmarkStart w:id="112" w:name="_Toc413076033"/>
      <w:bookmarkStart w:id="113" w:name="_Toc364787168"/>
      <w:bookmarkStart w:id="114" w:name="_Toc292893815"/>
      <w:bookmarkStart w:id="115" w:name="_Toc15146"/>
      <w:r>
        <w:t>4  环境现状调查与评价</w:t>
      </w:r>
      <w:bookmarkEnd w:id="110"/>
      <w:bookmarkEnd w:id="111"/>
    </w:p>
    <w:p>
      <w:pPr>
        <w:pStyle w:val="2"/>
        <w:rPr>
          <w:rFonts w:ascii="Times New Roman" w:hAnsi="Times New Roman" w:cs="Times New Roman"/>
          <w:color w:val="FF0000"/>
          <w:szCs w:val="28"/>
        </w:rPr>
      </w:pPr>
    </w:p>
    <w:p>
      <w:pPr>
        <w:pStyle w:val="3"/>
        <w:jc w:val="left"/>
        <w:rPr>
          <w:rFonts w:hint="eastAsia" w:eastAsia="宋体"/>
          <w:color w:val="auto"/>
          <w:lang w:eastAsia="zh-CN"/>
        </w:rPr>
        <w:sectPr>
          <w:headerReference r:id="rId15" w:type="default"/>
          <w:footerReference r:id="rId16" w:type="default"/>
          <w:pgSz w:w="11906" w:h="16838"/>
          <w:pgMar w:top="1440" w:right="1800" w:bottom="1440" w:left="1800" w:header="851" w:footer="992" w:gutter="0"/>
          <w:cols w:space="720" w:num="1"/>
          <w:docGrid w:type="lines" w:linePitch="312" w:charSpace="0"/>
        </w:sectPr>
      </w:pPr>
      <w:r>
        <w:rPr>
          <w:rFonts w:hint="eastAsia" w:cs="Times New Roman"/>
          <w:color w:val="auto"/>
          <w:szCs w:val="28"/>
          <w:lang w:eastAsia="zh-CN"/>
        </w:rPr>
        <w:t>略</w:t>
      </w:r>
    </w:p>
    <w:bookmarkEnd w:id="112"/>
    <w:bookmarkEnd w:id="113"/>
    <w:bookmarkEnd w:id="114"/>
    <w:bookmarkEnd w:id="115"/>
    <w:p>
      <w:pPr>
        <w:pStyle w:val="4"/>
        <w:spacing w:after="260" w:line="579" w:lineRule="auto"/>
        <w:jc w:val="center"/>
      </w:pPr>
      <w:bookmarkStart w:id="116" w:name="_Toc4692"/>
      <w:bookmarkStart w:id="117" w:name="_Toc1926981"/>
      <w:bookmarkStart w:id="118" w:name="_Toc25246"/>
      <w:bookmarkStart w:id="119" w:name="_Toc30869"/>
      <w:bookmarkStart w:id="120" w:name="_Toc479255192"/>
      <w:bookmarkStart w:id="121" w:name="_Toc413076034"/>
      <w:bookmarkStart w:id="122" w:name="_Toc364787160"/>
      <w:bookmarkStart w:id="123" w:name="_Toc413076037"/>
      <w:bookmarkStart w:id="124" w:name="_Toc29921"/>
      <w:r>
        <w:t xml:space="preserve">5  </w:t>
      </w:r>
      <w:bookmarkEnd w:id="116"/>
      <w:r>
        <w:t>环境影响预测与评价</w:t>
      </w:r>
      <w:bookmarkEnd w:id="117"/>
    </w:p>
    <w:p>
      <w:pPr>
        <w:pStyle w:val="5"/>
        <w:spacing w:beforeLines="0" w:after="120" w:line="500" w:lineRule="exact"/>
        <w:rPr>
          <w:rFonts w:eastAsia="宋体"/>
          <w:b/>
          <w:bCs w:val="0"/>
          <w:color w:val="auto"/>
          <w:szCs w:val="30"/>
        </w:rPr>
      </w:pPr>
      <w:bookmarkStart w:id="125" w:name="_Toc1343974189"/>
      <w:bookmarkStart w:id="126" w:name="_Toc7092"/>
      <w:r>
        <w:rPr>
          <w:rFonts w:eastAsia="宋体"/>
          <w:b/>
          <w:bCs w:val="0"/>
          <w:color w:val="auto"/>
          <w:szCs w:val="30"/>
        </w:rPr>
        <w:t xml:space="preserve">5.1 </w:t>
      </w:r>
      <w:r>
        <w:rPr>
          <w:rFonts w:hint="eastAsia" w:eastAsia="宋体"/>
          <w:b/>
          <w:bCs w:val="0"/>
          <w:color w:val="auto"/>
          <w:szCs w:val="30"/>
        </w:rPr>
        <w:t>环境空气</w:t>
      </w:r>
      <w:r>
        <w:rPr>
          <w:rFonts w:eastAsia="宋体"/>
          <w:b/>
          <w:bCs w:val="0"/>
          <w:color w:val="auto"/>
          <w:szCs w:val="30"/>
        </w:rPr>
        <w:t>影响评价</w:t>
      </w:r>
      <w:bookmarkEnd w:id="125"/>
      <w:bookmarkEnd w:id="126"/>
    </w:p>
    <w:p>
      <w:pPr>
        <w:pStyle w:val="6"/>
      </w:pPr>
      <w:r>
        <w:t xml:space="preserve">5.1.1 </w:t>
      </w:r>
      <w:r>
        <w:rPr>
          <w:rFonts w:hint="eastAsia"/>
        </w:rPr>
        <w:t>区域常规气象资料</w:t>
      </w:r>
    </w:p>
    <w:p>
      <w:pPr>
        <w:spacing w:line="480" w:lineRule="exact"/>
        <w:ind w:firstLine="480" w:firstLineChars="200"/>
        <w:rPr>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3128645</wp:posOffset>
                </wp:positionH>
                <wp:positionV relativeFrom="paragraph">
                  <wp:posOffset>2411730</wp:posOffset>
                </wp:positionV>
                <wp:extent cx="2026920" cy="342900"/>
                <wp:effectExtent l="0" t="0" r="0" b="0"/>
                <wp:wrapNone/>
                <wp:docPr id="30" name="矩形 30"/>
                <wp:cNvGraphicFramePr/>
                <a:graphic xmlns:a="http://schemas.openxmlformats.org/drawingml/2006/main">
                  <a:graphicData uri="http://schemas.microsoft.com/office/word/2010/wordprocessingShape">
                    <wps:wsp>
                      <wps:cNvSpPr/>
                      <wps:spPr>
                        <a:xfrm>
                          <a:off x="4203065" y="5215890"/>
                          <a:ext cx="2026920" cy="342900"/>
                        </a:xfrm>
                        <a:prstGeom prst="rect">
                          <a:avLst/>
                        </a:prstGeom>
                        <a:noFill/>
                        <a:ln w="12700" cap="flat" cmpd="sng" algn="ctr">
                          <a:noFill/>
                          <a:prstDash val="solid"/>
                          <a:miter lim="800000"/>
                        </a:ln>
                        <a:effectLst/>
                      </wps:spPr>
                      <wps:txbx>
                        <w:txbxContent>
                          <w:p>
                            <w:pPr>
                              <w:jc w:val="center"/>
                              <w:rPr>
                                <w:rFonts w:asciiTheme="minorEastAsia" w:hAnsiTheme="minorEastAsia" w:eastAsiaTheme="minorEastAsia" w:cstheme="minorEastAsia"/>
                                <w:b/>
                                <w:bCs/>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壶关县多年风向风玫瑰图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5pt;margin-top:189.9pt;height:27pt;width:159.6pt;z-index:251666432;v-text-anchor:middle;mso-width-relative:page;mso-height-relative:page;" filled="f" stroked="f" coordsize="21600,21600" o:gfxdata="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FIX/ZAAAACwEAAA8AAAAAAAAAAQAgAAAAIgAAAGRycy9k&#10;b3ducmV2LnhtbFBLAQIUABQAAAAIAIdO4kBnHoUycwIAAMkEAAAOAAAAAAAAAAEAIAAAACgBAABk&#10;cnMvZTJvRG9jLnhtbFBLBQYAAAAABgAGAFkBAAANBgAAAAA=&#10;">
                <v:fill on="f" focussize="0,0"/>
                <v:stroke on="f" weight="1pt" miterlimit="8" joinstyle="miter"/>
                <v:imagedata o:title=""/>
                <o:lock v:ext="edit" aspectratio="f"/>
                <v:textbox>
                  <w:txbxContent>
                    <w:p>
                      <w:pPr>
                        <w:jc w:val="center"/>
                        <w:rPr>
                          <w:rFonts w:asciiTheme="minorEastAsia" w:hAnsiTheme="minorEastAsia" w:eastAsiaTheme="minorEastAsia" w:cstheme="minorEastAsia"/>
                          <w:b/>
                          <w:bCs/>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壶关县多年风向风玫瑰图</w:t>
                      </w:r>
                    </w:p>
                  </w:txbxContent>
                </v:textbox>
              </v:rect>
            </w:pict>
          </mc:Fallback>
        </mc:AlternateContent>
      </w:r>
      <w:r>
        <w:rPr>
          <w:rFonts w:hint="eastAsia"/>
          <w:sz w:val="24"/>
        </w:rPr>
        <w:drawing>
          <wp:anchor distT="0" distB="0" distL="114300" distR="114300" simplePos="0" relativeHeight="251661312" behindDoc="0" locked="0" layoutInCell="1" allowOverlap="1">
            <wp:simplePos x="0" y="0"/>
            <wp:positionH relativeFrom="column">
              <wp:posOffset>2969260</wp:posOffset>
            </wp:positionH>
            <wp:positionV relativeFrom="paragraph">
              <wp:posOffset>680720</wp:posOffset>
            </wp:positionV>
            <wp:extent cx="2326005" cy="1800225"/>
            <wp:effectExtent l="0" t="0" r="17145" b="9525"/>
            <wp:wrapSquare wrapText="bothSides"/>
            <wp:docPr id="25" name="图片 25" descr="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风玫瑰图"/>
                    <pic:cNvPicPr>
                      <a:picLocks noChangeAspect="1"/>
                    </pic:cNvPicPr>
                  </pic:nvPicPr>
                  <pic:blipFill>
                    <a:blip r:embed="rId57" cstate="print"/>
                    <a:stretch>
                      <a:fillRect/>
                    </a:stretch>
                  </pic:blipFill>
                  <pic:spPr>
                    <a:xfrm>
                      <a:off x="0" y="0"/>
                      <a:ext cx="2326005" cy="1800225"/>
                    </a:xfrm>
                    <a:prstGeom prst="rect">
                      <a:avLst/>
                    </a:prstGeom>
                  </pic:spPr>
                </pic:pic>
              </a:graphicData>
            </a:graphic>
          </wp:anchor>
        </w:drawing>
      </w:r>
      <w:r>
        <w:rPr>
          <w:rFonts w:hint="eastAsia"/>
          <w:sz w:val="24"/>
        </w:rPr>
        <w:t>壶关县总体呈暖温带季风气候，但由于境内地形复杂、海拔高度差大，又存在不同地域间的区域性小气候，其中，多数平川、半山区属暖温带大陆性气候，山区则属温带大陆性气候。本次评价收集了壶关县近20年（1997-2016年）的主要气候统计资料，期间年平均降雨量为578.4mm，最大年降雨量为973.8mm（2003年），最小年降雨量为351.5mm（1997年），年平均相对湿度62.4%，年平均气温为9.9℃，最高气温为37.1℃（2005年），最低气温为-24.7℃（1998年），年平均风速1.8m/s，主要风向为S、风频占10.0％，主导风向不明显。</w:t>
      </w:r>
    </w:p>
    <w:p>
      <w:pPr>
        <w:spacing w:line="500" w:lineRule="exact"/>
        <w:ind w:left="540" w:leftChars="257"/>
        <w:jc w:val="center"/>
        <w:rPr>
          <w:b/>
          <w:bCs/>
          <w:sz w:val="24"/>
        </w:rPr>
      </w:pPr>
      <w:r>
        <w:rPr>
          <w:b/>
          <w:bCs/>
          <w:sz w:val="24"/>
        </w:rPr>
        <w:t>表5.</w:t>
      </w:r>
      <w:r>
        <w:rPr>
          <w:rFonts w:hint="eastAsia"/>
          <w:b/>
          <w:bCs/>
          <w:sz w:val="24"/>
        </w:rPr>
        <w:t>1</w:t>
      </w:r>
      <w:r>
        <w:rPr>
          <w:b/>
          <w:bCs/>
          <w:sz w:val="24"/>
        </w:rPr>
        <w:t>-</w:t>
      </w:r>
      <w:r>
        <w:rPr>
          <w:rFonts w:hint="eastAsia"/>
          <w:b/>
          <w:bCs/>
          <w:sz w:val="24"/>
        </w:rPr>
        <w:t>1</w:t>
      </w:r>
      <w:r>
        <w:rPr>
          <w:b/>
          <w:bCs/>
          <w:sz w:val="24"/>
        </w:rPr>
        <w:t xml:space="preserve"> 壶关县近20年</w:t>
      </w:r>
      <w:r>
        <w:rPr>
          <w:rFonts w:hint="eastAsia"/>
          <w:b/>
          <w:bCs/>
          <w:sz w:val="24"/>
        </w:rPr>
        <w:t>（1997-2016年）</w:t>
      </w:r>
      <w:r>
        <w:rPr>
          <w:b/>
          <w:bCs/>
          <w:sz w:val="24"/>
        </w:rPr>
        <w:t>主要气候</w:t>
      </w:r>
      <w:r>
        <w:rPr>
          <w:rFonts w:hint="eastAsia"/>
          <w:b/>
          <w:bCs/>
          <w:sz w:val="24"/>
        </w:rPr>
        <w:t>资料</w:t>
      </w:r>
      <w:r>
        <w:rPr>
          <w:b/>
          <w:bCs/>
          <w:sz w:val="24"/>
        </w:rPr>
        <w:t>统计</w:t>
      </w:r>
      <w:r>
        <w:rPr>
          <w:rFonts w:hint="eastAsia"/>
          <w:b/>
          <w:bCs/>
          <w:sz w:val="24"/>
        </w:rPr>
        <w:t>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3960"/>
        <w:gridCol w:w="3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序号</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项目</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数值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1</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年平均风速（m/s）</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2</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多年主导风向</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3</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多年平均气温(</w:t>
            </w:r>
            <w:r>
              <w:rPr>
                <w:rFonts w:hint="eastAsia" w:ascii="宋体" w:hAnsi="宋体" w:cs="宋体"/>
                <w:kern w:val="0"/>
                <w:szCs w:val="20"/>
              </w:rPr>
              <w:t>℃</w:t>
            </w:r>
            <w:r>
              <w:rPr>
                <w:kern w:val="0"/>
                <w:szCs w:val="20"/>
              </w:rPr>
              <w:t>)</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4</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最高气温(</w:t>
            </w:r>
            <w:r>
              <w:rPr>
                <w:rFonts w:hint="eastAsia" w:ascii="宋体" w:hAnsi="宋体" w:cs="宋体"/>
                <w:kern w:val="0"/>
                <w:szCs w:val="20"/>
              </w:rPr>
              <w:t>℃</w:t>
            </w:r>
            <w:r>
              <w:rPr>
                <w:kern w:val="0"/>
                <w:szCs w:val="20"/>
              </w:rPr>
              <w:t>)</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37.1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5</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最低气温(</w:t>
            </w:r>
            <w:r>
              <w:rPr>
                <w:rFonts w:hint="eastAsia" w:ascii="宋体" w:hAnsi="宋体" w:cs="宋体"/>
                <w:kern w:val="0"/>
                <w:szCs w:val="20"/>
              </w:rPr>
              <w:t>℃</w:t>
            </w:r>
            <w:r>
              <w:rPr>
                <w:kern w:val="0"/>
                <w:szCs w:val="20"/>
              </w:rPr>
              <w:t>)</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-24.7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94" w:type="dxa"/>
            <w:tcBorders>
              <w:tl2br w:val="nil"/>
              <w:tr2bl w:val="nil"/>
            </w:tcBorders>
            <w:vAlign w:val="center"/>
          </w:tcPr>
          <w:p>
            <w:pPr>
              <w:widowControl/>
              <w:spacing w:line="240" w:lineRule="exact"/>
              <w:jc w:val="center"/>
              <w:rPr>
                <w:spacing w:val="-20"/>
                <w:w w:val="90"/>
                <w:szCs w:val="21"/>
              </w:rPr>
            </w:pPr>
            <w:r>
              <w:rPr>
                <w:kern w:val="0"/>
                <w:szCs w:val="20"/>
              </w:rPr>
              <w:t>6</w:t>
            </w:r>
          </w:p>
        </w:tc>
        <w:tc>
          <w:tcPr>
            <w:tcW w:w="3960" w:type="dxa"/>
            <w:tcBorders>
              <w:tl2br w:val="nil"/>
              <w:tr2bl w:val="nil"/>
            </w:tcBorders>
            <w:vAlign w:val="center"/>
          </w:tcPr>
          <w:p>
            <w:pPr>
              <w:widowControl/>
              <w:spacing w:line="240" w:lineRule="exact"/>
              <w:jc w:val="center"/>
              <w:rPr>
                <w:spacing w:val="-20"/>
                <w:w w:val="90"/>
                <w:szCs w:val="21"/>
              </w:rPr>
            </w:pPr>
            <w:r>
              <w:rPr>
                <w:kern w:val="0"/>
                <w:szCs w:val="20"/>
              </w:rPr>
              <w:t>多年相对湿度</w:t>
            </w:r>
          </w:p>
        </w:tc>
        <w:tc>
          <w:tcPr>
            <w:tcW w:w="3365" w:type="dxa"/>
            <w:tcBorders>
              <w:tl2br w:val="nil"/>
              <w:tr2bl w:val="nil"/>
            </w:tcBorders>
            <w:vAlign w:val="center"/>
          </w:tcPr>
          <w:p>
            <w:pPr>
              <w:widowControl/>
              <w:spacing w:line="240" w:lineRule="exact"/>
              <w:jc w:val="center"/>
              <w:rPr>
                <w:spacing w:val="-20"/>
                <w:w w:val="90"/>
                <w:szCs w:val="21"/>
              </w:rPr>
            </w:pPr>
            <w:r>
              <w:rPr>
                <w:kern w:val="0"/>
                <w:szCs w:val="20"/>
              </w:rPr>
              <w:t>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94" w:type="dxa"/>
            <w:tcBorders>
              <w:tl2br w:val="nil"/>
              <w:tr2bl w:val="nil"/>
            </w:tcBorders>
            <w:vAlign w:val="center"/>
          </w:tcPr>
          <w:p>
            <w:pPr>
              <w:widowControl/>
              <w:spacing w:line="240" w:lineRule="exact"/>
              <w:jc w:val="center"/>
              <w:rPr>
                <w:kern w:val="0"/>
                <w:szCs w:val="20"/>
              </w:rPr>
            </w:pPr>
            <w:r>
              <w:rPr>
                <w:kern w:val="0"/>
                <w:szCs w:val="20"/>
              </w:rPr>
              <w:t>7</w:t>
            </w:r>
          </w:p>
        </w:tc>
        <w:tc>
          <w:tcPr>
            <w:tcW w:w="3960" w:type="dxa"/>
            <w:tcBorders>
              <w:tl2br w:val="nil"/>
              <w:tr2bl w:val="nil"/>
            </w:tcBorders>
            <w:vAlign w:val="center"/>
          </w:tcPr>
          <w:p>
            <w:pPr>
              <w:widowControl/>
              <w:spacing w:line="240" w:lineRule="exact"/>
              <w:jc w:val="center"/>
              <w:rPr>
                <w:kern w:val="0"/>
                <w:szCs w:val="20"/>
              </w:rPr>
            </w:pPr>
            <w:r>
              <w:rPr>
                <w:kern w:val="0"/>
                <w:szCs w:val="20"/>
              </w:rPr>
              <w:t>多年平均降水量(mm)</w:t>
            </w:r>
          </w:p>
        </w:tc>
        <w:tc>
          <w:tcPr>
            <w:tcW w:w="3365" w:type="dxa"/>
            <w:tcBorders>
              <w:tl2br w:val="nil"/>
              <w:tr2bl w:val="nil"/>
            </w:tcBorders>
            <w:vAlign w:val="center"/>
          </w:tcPr>
          <w:p>
            <w:pPr>
              <w:widowControl/>
              <w:spacing w:line="240" w:lineRule="exact"/>
              <w:jc w:val="center"/>
              <w:rPr>
                <w:kern w:val="0"/>
                <w:szCs w:val="20"/>
              </w:rPr>
            </w:pPr>
            <w:r>
              <w:rPr>
                <w:kern w:val="0"/>
                <w:szCs w:val="20"/>
              </w:rPr>
              <w:t>578.4</w:t>
            </w:r>
          </w:p>
        </w:tc>
      </w:tr>
    </w:tbl>
    <w:p>
      <w:pPr>
        <w:pStyle w:val="6"/>
      </w:pPr>
      <w:r>
        <w:t>5.1.</w:t>
      </w:r>
      <w:r>
        <w:rPr>
          <w:rFonts w:hint="eastAsia"/>
        </w:rPr>
        <w:t>2施工期大气环境影响评价</w:t>
      </w:r>
    </w:p>
    <w:p>
      <w:pPr>
        <w:spacing w:line="480" w:lineRule="exact"/>
        <w:ind w:firstLine="480" w:firstLineChars="200"/>
        <w:rPr>
          <w:sz w:val="24"/>
        </w:rPr>
      </w:pPr>
      <w:r>
        <w:rPr>
          <w:rFonts w:hint="eastAsia"/>
          <w:sz w:val="24"/>
        </w:rPr>
        <w:t>本项目已于2020年9月建成投用，施工期已结束，施工过程中场地平整及、清库等产生的多余弃土，约22万m</w:t>
      </w:r>
      <w:r>
        <w:rPr>
          <w:rFonts w:hint="eastAsia"/>
          <w:sz w:val="24"/>
          <w:vertAlign w:val="superscript"/>
        </w:rPr>
        <w:t>3</w:t>
      </w:r>
      <w:r>
        <w:rPr>
          <w:rFonts w:hint="eastAsia"/>
          <w:sz w:val="24"/>
        </w:rPr>
        <w:t>，在场内西南角进行临时堆存，综合利用于场地后期填埋及封场覆土，上述土方量相对较大，堆存时间较长，其堆存过程中可能会产生大风扬尘，现场调查，该土堆已基本固定成型，表面有部分杂草生长，在采取覆盖、播撒草籽等措施后，项目施工遗留弃土堆扬尘影响较小。</w:t>
      </w:r>
    </w:p>
    <w:p>
      <w:pPr>
        <w:pStyle w:val="6"/>
        <w:spacing w:line="500" w:lineRule="exact"/>
      </w:pPr>
      <w:r>
        <w:t>5.1.</w:t>
      </w:r>
      <w:r>
        <w:rPr>
          <w:rFonts w:hint="eastAsia"/>
        </w:rPr>
        <w:t>3运营期大气环境影响评价</w:t>
      </w:r>
    </w:p>
    <w:p>
      <w:pPr>
        <w:spacing w:line="480" w:lineRule="exact"/>
        <w:ind w:firstLine="480" w:firstLineChars="200"/>
        <w:rPr>
          <w:sz w:val="24"/>
        </w:rPr>
      </w:pPr>
      <w:r>
        <w:rPr>
          <w:rFonts w:hint="eastAsia"/>
          <w:sz w:val="24"/>
        </w:rPr>
        <w:t>项目运营过程中大气污染源主要为垃圾压实后垃圾中有机物发酵产生的填埋气及由此产生的恶臭，其次为垃圾运输、倾倒、覆土等过程产生的扬尘等。</w:t>
      </w:r>
    </w:p>
    <w:p>
      <w:pPr>
        <w:spacing w:line="480" w:lineRule="exact"/>
        <w:ind w:firstLine="482" w:firstLineChars="200"/>
        <w:rPr>
          <w:b/>
          <w:bCs/>
          <w:sz w:val="24"/>
        </w:rPr>
      </w:pPr>
      <w:r>
        <w:rPr>
          <w:rFonts w:hint="eastAsia"/>
          <w:b/>
          <w:bCs/>
          <w:sz w:val="24"/>
        </w:rPr>
        <w:t>1、评价等级判定</w:t>
      </w:r>
    </w:p>
    <w:p>
      <w:pPr>
        <w:tabs>
          <w:tab w:val="left" w:pos="280"/>
          <w:tab w:val="left" w:pos="1290"/>
        </w:tabs>
        <w:adjustRightInd w:val="0"/>
        <w:snapToGrid w:val="0"/>
        <w:spacing w:line="480" w:lineRule="exact"/>
        <w:ind w:firstLine="480" w:firstLineChars="200"/>
        <w:rPr>
          <w:sz w:val="24"/>
        </w:rPr>
      </w:pPr>
      <w:r>
        <w:rPr>
          <w:rFonts w:hint="eastAsia"/>
          <w:sz w:val="24"/>
        </w:rPr>
        <w:t>本次评价选择</w:t>
      </w:r>
      <w:r>
        <w:rPr>
          <w:sz w:val="24"/>
        </w:rPr>
        <w:t>H</w:t>
      </w:r>
      <w:r>
        <w:rPr>
          <w:sz w:val="24"/>
          <w:vertAlign w:val="subscript"/>
        </w:rPr>
        <w:t>2</w:t>
      </w:r>
      <w:r>
        <w:rPr>
          <w:sz w:val="24"/>
        </w:rPr>
        <w:t>S、NH</w:t>
      </w:r>
      <w:r>
        <w:rPr>
          <w:sz w:val="24"/>
          <w:vertAlign w:val="subscript"/>
        </w:rPr>
        <w:t>3</w:t>
      </w:r>
      <w:r>
        <w:rPr>
          <w:rFonts w:hint="eastAsia"/>
          <w:sz w:val="24"/>
        </w:rPr>
        <w:t>、TSP为项目的主要污染物，采用</w:t>
      </w:r>
      <w:r>
        <w:rPr>
          <w:sz w:val="24"/>
        </w:rPr>
        <w:t>《环境影响评价技术导则  大气环境》（HJ2.2-20</w:t>
      </w:r>
      <w:r>
        <w:rPr>
          <w:rFonts w:hint="eastAsia"/>
          <w:sz w:val="24"/>
        </w:rPr>
        <w:t>1</w:t>
      </w:r>
      <w:r>
        <w:rPr>
          <w:sz w:val="24"/>
        </w:rPr>
        <w:t>8）</w:t>
      </w:r>
      <w:r>
        <w:rPr>
          <w:rFonts w:hint="eastAsia"/>
          <w:sz w:val="24"/>
        </w:rPr>
        <w:t>附录A推荐模型中的估算模型</w:t>
      </w:r>
      <w:r>
        <w:rPr>
          <w:sz w:val="24"/>
        </w:rPr>
        <w:t>计算</w:t>
      </w:r>
      <w:r>
        <w:rPr>
          <w:rFonts w:hint="eastAsia"/>
          <w:sz w:val="24"/>
        </w:rPr>
        <w:t>其</w:t>
      </w:r>
      <w:r>
        <w:rPr>
          <w:sz w:val="24"/>
        </w:rPr>
        <w:t>最大</w:t>
      </w:r>
      <w:r>
        <w:rPr>
          <w:rFonts w:hint="eastAsia"/>
          <w:sz w:val="24"/>
        </w:rPr>
        <w:t>环境</w:t>
      </w:r>
      <w:r>
        <w:rPr>
          <w:sz w:val="24"/>
        </w:rPr>
        <w:t>影响</w:t>
      </w:r>
      <w:r>
        <w:rPr>
          <w:rFonts w:hint="eastAsia"/>
          <w:sz w:val="24"/>
        </w:rPr>
        <w:t>，然后判定大气环境的评价等级</w:t>
      </w:r>
      <w:r>
        <w:rPr>
          <w:sz w:val="24"/>
        </w:rPr>
        <w:t>。</w:t>
      </w:r>
    </w:p>
    <w:p>
      <w:pPr>
        <w:spacing w:line="500" w:lineRule="exact"/>
        <w:ind w:firstLine="482" w:firstLineChars="200"/>
        <w:rPr>
          <w:b/>
          <w:bCs/>
          <w:sz w:val="24"/>
        </w:rPr>
      </w:pPr>
      <w:r>
        <w:rPr>
          <w:b/>
          <w:bCs/>
          <w:sz w:val="24"/>
        </w:rPr>
        <w:t>（</w:t>
      </w:r>
      <w:r>
        <w:rPr>
          <w:rFonts w:hint="eastAsia"/>
          <w:b/>
          <w:bCs/>
          <w:sz w:val="24"/>
        </w:rPr>
        <w:t>1</w:t>
      </w:r>
      <w:r>
        <w:rPr>
          <w:b/>
          <w:bCs/>
          <w:sz w:val="24"/>
        </w:rPr>
        <w:t xml:space="preserve">）估算模型参数 </w:t>
      </w:r>
    </w:p>
    <w:p>
      <w:pPr>
        <w:spacing w:line="500" w:lineRule="exact"/>
        <w:jc w:val="center"/>
        <w:rPr>
          <w:rFonts w:eastAsiaTheme="minorEastAsia"/>
          <w:b/>
          <w:bCs/>
          <w:sz w:val="24"/>
        </w:rPr>
      </w:pPr>
      <w:r>
        <w:rPr>
          <w:rFonts w:eastAsiaTheme="minorEastAsia"/>
          <w:b/>
          <w:bCs/>
          <w:sz w:val="24"/>
        </w:rPr>
        <w:t>表5.</w:t>
      </w:r>
      <w:r>
        <w:rPr>
          <w:rFonts w:hint="eastAsia"/>
          <w:b/>
          <w:bCs/>
          <w:sz w:val="24"/>
        </w:rPr>
        <w:t>1</w:t>
      </w:r>
      <w:r>
        <w:rPr>
          <w:rFonts w:eastAsiaTheme="minorEastAsia"/>
          <w:b/>
          <w:bCs/>
          <w:sz w:val="24"/>
        </w:rPr>
        <w:t>-</w:t>
      </w:r>
      <w:r>
        <w:rPr>
          <w:rFonts w:hint="eastAsia"/>
          <w:b/>
          <w:bCs/>
          <w:sz w:val="24"/>
        </w:rPr>
        <w:t>2</w:t>
      </w:r>
      <w:r>
        <w:rPr>
          <w:rFonts w:eastAsiaTheme="minorEastAsia"/>
          <w:b/>
          <w:bCs/>
          <w:sz w:val="24"/>
        </w:rPr>
        <w:t>估算模型参数表</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32"/>
        <w:gridCol w:w="2365"/>
        <w:gridCol w:w="3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4997" w:type="dxa"/>
            <w:gridSpan w:val="2"/>
            <w:tcBorders>
              <w:tl2br w:val="nil"/>
              <w:tr2bl w:val="nil"/>
            </w:tcBorders>
          </w:tcPr>
          <w:p>
            <w:pPr>
              <w:jc w:val="center"/>
              <w:rPr>
                <w:rFonts w:eastAsiaTheme="minorEastAsia"/>
                <w:szCs w:val="21"/>
              </w:rPr>
            </w:pPr>
            <w:r>
              <w:rPr>
                <w:rFonts w:eastAsiaTheme="minorEastAsia"/>
                <w:szCs w:val="21"/>
              </w:rPr>
              <w:t>参数</w:t>
            </w:r>
          </w:p>
        </w:tc>
        <w:tc>
          <w:tcPr>
            <w:tcW w:w="3525" w:type="dxa"/>
            <w:tcBorders>
              <w:tl2br w:val="nil"/>
              <w:tr2bl w:val="nil"/>
            </w:tcBorders>
          </w:tcPr>
          <w:p>
            <w:pPr>
              <w:jc w:val="center"/>
              <w:rPr>
                <w:rFonts w:eastAsiaTheme="minorEastAsia"/>
                <w:szCs w:val="21"/>
              </w:rPr>
            </w:pPr>
            <w:r>
              <w:rPr>
                <w:rFonts w:eastAsiaTheme="minorEastAsia"/>
                <w:szCs w:val="21"/>
              </w:rPr>
              <w:t>取值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restart"/>
            <w:tcBorders>
              <w:tl2br w:val="nil"/>
              <w:tr2bl w:val="nil"/>
            </w:tcBorders>
            <w:vAlign w:val="center"/>
          </w:tcPr>
          <w:p>
            <w:pPr>
              <w:jc w:val="center"/>
              <w:rPr>
                <w:rFonts w:eastAsiaTheme="minorEastAsia"/>
                <w:szCs w:val="21"/>
              </w:rPr>
            </w:pPr>
            <w:r>
              <w:rPr>
                <w:rFonts w:eastAsiaTheme="minorEastAsia"/>
                <w:szCs w:val="21"/>
              </w:rPr>
              <w:t>城市/农村选项</w:t>
            </w:r>
          </w:p>
        </w:tc>
        <w:tc>
          <w:tcPr>
            <w:tcW w:w="2365" w:type="dxa"/>
            <w:tcBorders>
              <w:tl2br w:val="nil"/>
              <w:tr2bl w:val="nil"/>
            </w:tcBorders>
            <w:vAlign w:val="center"/>
          </w:tcPr>
          <w:p>
            <w:pPr>
              <w:jc w:val="center"/>
              <w:rPr>
                <w:rFonts w:eastAsiaTheme="minorEastAsia"/>
                <w:szCs w:val="21"/>
              </w:rPr>
            </w:pPr>
            <w:r>
              <w:rPr>
                <w:rFonts w:eastAsiaTheme="minorEastAsia"/>
                <w:szCs w:val="21"/>
              </w:rPr>
              <w:t>城市/农村</w:t>
            </w:r>
          </w:p>
        </w:tc>
        <w:tc>
          <w:tcPr>
            <w:tcW w:w="3525" w:type="dxa"/>
            <w:tcBorders>
              <w:tl2br w:val="nil"/>
              <w:tr2bl w:val="nil"/>
            </w:tcBorders>
            <w:vAlign w:val="center"/>
          </w:tcPr>
          <w:p>
            <w:pPr>
              <w:jc w:val="center"/>
              <w:rPr>
                <w:rFonts w:eastAsiaTheme="minorEastAsia"/>
                <w:szCs w:val="21"/>
              </w:rPr>
            </w:pPr>
            <w:r>
              <w:rPr>
                <w:rFonts w:eastAsiaTheme="minorEastAsia"/>
                <w:szCs w:val="21"/>
              </w:rPr>
              <w:t>农村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continue"/>
            <w:tcBorders>
              <w:tl2br w:val="nil"/>
              <w:tr2bl w:val="nil"/>
            </w:tcBorders>
            <w:vAlign w:val="center"/>
          </w:tcPr>
          <w:p>
            <w:pPr>
              <w:jc w:val="center"/>
              <w:rPr>
                <w:rFonts w:eastAsiaTheme="minorEastAsia"/>
                <w:szCs w:val="21"/>
              </w:rPr>
            </w:pPr>
          </w:p>
        </w:tc>
        <w:tc>
          <w:tcPr>
            <w:tcW w:w="2365" w:type="dxa"/>
            <w:tcBorders>
              <w:tl2br w:val="nil"/>
              <w:tr2bl w:val="nil"/>
            </w:tcBorders>
            <w:vAlign w:val="center"/>
          </w:tcPr>
          <w:p>
            <w:pPr>
              <w:jc w:val="center"/>
              <w:rPr>
                <w:rFonts w:eastAsiaTheme="minorEastAsia"/>
                <w:szCs w:val="21"/>
              </w:rPr>
            </w:pPr>
            <w:r>
              <w:rPr>
                <w:rFonts w:eastAsiaTheme="minorEastAsia"/>
                <w:szCs w:val="21"/>
              </w:rPr>
              <w:t>人口数（城市选项时）</w:t>
            </w:r>
          </w:p>
        </w:tc>
        <w:tc>
          <w:tcPr>
            <w:tcW w:w="3525" w:type="dxa"/>
            <w:tcBorders>
              <w:tl2br w:val="nil"/>
              <w:tr2bl w:val="nil"/>
            </w:tcBorders>
            <w:vAlign w:val="center"/>
          </w:tcPr>
          <w:p>
            <w:pPr>
              <w:jc w:val="center"/>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4997" w:type="dxa"/>
            <w:gridSpan w:val="2"/>
            <w:tcBorders>
              <w:tl2br w:val="nil"/>
              <w:tr2bl w:val="nil"/>
            </w:tcBorders>
            <w:vAlign w:val="center"/>
          </w:tcPr>
          <w:p>
            <w:pPr>
              <w:jc w:val="center"/>
              <w:rPr>
                <w:rFonts w:eastAsiaTheme="minorEastAsia"/>
                <w:szCs w:val="21"/>
              </w:rPr>
            </w:pPr>
            <w:r>
              <w:rPr>
                <w:rFonts w:eastAsiaTheme="minorEastAsia"/>
                <w:szCs w:val="21"/>
              </w:rPr>
              <w:t>最高环境温度/</w:t>
            </w:r>
            <w:r>
              <w:rPr>
                <w:rFonts w:eastAsiaTheme="minorEastAsia"/>
                <w:spacing w:val="4"/>
                <w:szCs w:val="21"/>
              </w:rPr>
              <w:t>℃</w:t>
            </w:r>
          </w:p>
        </w:tc>
        <w:tc>
          <w:tcPr>
            <w:tcW w:w="3525" w:type="dxa"/>
            <w:tcBorders>
              <w:tl2br w:val="nil"/>
              <w:tr2bl w:val="nil"/>
            </w:tcBorders>
            <w:vAlign w:val="center"/>
          </w:tcPr>
          <w:p>
            <w:pPr>
              <w:jc w:val="center"/>
              <w:rPr>
                <w:rFonts w:eastAsiaTheme="minorEastAsia"/>
                <w:szCs w:val="21"/>
              </w:rPr>
            </w:pPr>
            <w:r>
              <w:rPr>
                <w:rFonts w:hint="eastAsia" w:eastAsiaTheme="minorEastAsia"/>
                <w:spacing w:val="4"/>
                <w:szCs w:val="21"/>
              </w:rPr>
              <w:t>37.1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4997" w:type="dxa"/>
            <w:gridSpan w:val="2"/>
            <w:tcBorders>
              <w:tl2br w:val="nil"/>
              <w:tr2bl w:val="nil"/>
            </w:tcBorders>
            <w:vAlign w:val="center"/>
          </w:tcPr>
          <w:p>
            <w:pPr>
              <w:jc w:val="center"/>
              <w:rPr>
                <w:rFonts w:eastAsiaTheme="minorEastAsia"/>
                <w:szCs w:val="21"/>
              </w:rPr>
            </w:pPr>
            <w:r>
              <w:rPr>
                <w:rFonts w:eastAsiaTheme="minorEastAsia"/>
                <w:szCs w:val="21"/>
              </w:rPr>
              <w:t>最低环境温度/</w:t>
            </w:r>
            <w:r>
              <w:rPr>
                <w:rFonts w:eastAsiaTheme="minorEastAsia"/>
                <w:spacing w:val="4"/>
                <w:szCs w:val="21"/>
              </w:rPr>
              <w:t>℃</w:t>
            </w:r>
          </w:p>
        </w:tc>
        <w:tc>
          <w:tcPr>
            <w:tcW w:w="3525" w:type="dxa"/>
            <w:tcBorders>
              <w:tl2br w:val="nil"/>
              <w:tr2bl w:val="nil"/>
            </w:tcBorders>
            <w:vAlign w:val="center"/>
          </w:tcPr>
          <w:p>
            <w:pPr>
              <w:jc w:val="center"/>
              <w:rPr>
                <w:rFonts w:eastAsiaTheme="minorEastAsia"/>
                <w:szCs w:val="21"/>
              </w:rPr>
            </w:pPr>
            <w:r>
              <w:rPr>
                <w:rFonts w:eastAsiaTheme="minorEastAsia"/>
                <w:spacing w:val="4"/>
                <w:szCs w:val="21"/>
              </w:rPr>
              <w:t>-</w:t>
            </w:r>
            <w:r>
              <w:rPr>
                <w:rFonts w:hint="eastAsia" w:eastAsiaTheme="minorEastAsia"/>
                <w:spacing w:val="4"/>
                <w:szCs w:val="21"/>
              </w:rPr>
              <w:t>24.7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4997" w:type="dxa"/>
            <w:gridSpan w:val="2"/>
            <w:tcBorders>
              <w:tl2br w:val="nil"/>
              <w:tr2bl w:val="nil"/>
            </w:tcBorders>
            <w:vAlign w:val="center"/>
          </w:tcPr>
          <w:p>
            <w:pPr>
              <w:jc w:val="center"/>
              <w:rPr>
                <w:rFonts w:eastAsiaTheme="minorEastAsia"/>
                <w:szCs w:val="21"/>
              </w:rPr>
            </w:pPr>
            <w:r>
              <w:rPr>
                <w:rFonts w:eastAsiaTheme="minorEastAsia"/>
                <w:szCs w:val="21"/>
              </w:rPr>
              <w:t>土地利用类型</w:t>
            </w:r>
          </w:p>
        </w:tc>
        <w:tc>
          <w:tcPr>
            <w:tcW w:w="3525" w:type="dxa"/>
            <w:tcBorders>
              <w:tl2br w:val="nil"/>
              <w:tr2bl w:val="nil"/>
            </w:tcBorders>
            <w:vAlign w:val="center"/>
          </w:tcPr>
          <w:p>
            <w:pPr>
              <w:widowControl/>
              <w:spacing w:line="300" w:lineRule="exact"/>
              <w:jc w:val="center"/>
              <w:rPr>
                <w:rFonts w:eastAsiaTheme="minorEastAsia"/>
                <w:szCs w:val="21"/>
              </w:rPr>
            </w:pPr>
            <w:r>
              <w:rPr>
                <w:rFonts w:hint="eastAsia"/>
                <w:szCs w:val="21"/>
              </w:rPr>
              <w:t>耕地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4997" w:type="dxa"/>
            <w:gridSpan w:val="2"/>
            <w:tcBorders>
              <w:tl2br w:val="nil"/>
              <w:tr2bl w:val="nil"/>
            </w:tcBorders>
            <w:vAlign w:val="center"/>
          </w:tcPr>
          <w:p>
            <w:pPr>
              <w:jc w:val="center"/>
              <w:rPr>
                <w:rFonts w:eastAsiaTheme="minorEastAsia"/>
                <w:szCs w:val="21"/>
              </w:rPr>
            </w:pPr>
            <w:r>
              <w:rPr>
                <w:rFonts w:eastAsiaTheme="minorEastAsia"/>
                <w:szCs w:val="21"/>
              </w:rPr>
              <w:t>区域湿度条件</w:t>
            </w:r>
          </w:p>
        </w:tc>
        <w:tc>
          <w:tcPr>
            <w:tcW w:w="3525" w:type="dxa"/>
            <w:tcBorders>
              <w:tl2br w:val="nil"/>
              <w:tr2bl w:val="nil"/>
            </w:tcBorders>
            <w:vAlign w:val="center"/>
          </w:tcPr>
          <w:p>
            <w:pPr>
              <w:widowControl/>
              <w:spacing w:line="300" w:lineRule="exact"/>
              <w:jc w:val="center"/>
              <w:rPr>
                <w:rFonts w:eastAsiaTheme="minorEastAsia"/>
                <w:szCs w:val="21"/>
              </w:rPr>
            </w:pPr>
            <w:r>
              <w:rPr>
                <w:szCs w:val="21"/>
              </w:rPr>
              <w:t>平均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restart"/>
            <w:tcBorders>
              <w:tl2br w:val="nil"/>
              <w:tr2bl w:val="nil"/>
            </w:tcBorders>
            <w:vAlign w:val="center"/>
          </w:tcPr>
          <w:p>
            <w:pPr>
              <w:jc w:val="center"/>
              <w:rPr>
                <w:rFonts w:eastAsiaTheme="minorEastAsia"/>
                <w:szCs w:val="21"/>
              </w:rPr>
            </w:pPr>
            <w:r>
              <w:rPr>
                <w:rFonts w:eastAsiaTheme="minorEastAsia"/>
                <w:szCs w:val="21"/>
              </w:rPr>
              <w:t>是否考虑地形</w:t>
            </w:r>
          </w:p>
        </w:tc>
        <w:tc>
          <w:tcPr>
            <w:tcW w:w="2365" w:type="dxa"/>
            <w:tcBorders>
              <w:tl2br w:val="nil"/>
              <w:tr2bl w:val="nil"/>
            </w:tcBorders>
            <w:vAlign w:val="center"/>
          </w:tcPr>
          <w:p>
            <w:pPr>
              <w:jc w:val="center"/>
              <w:rPr>
                <w:rFonts w:eastAsiaTheme="minorEastAsia"/>
                <w:szCs w:val="21"/>
              </w:rPr>
            </w:pPr>
            <w:r>
              <w:rPr>
                <w:rFonts w:eastAsiaTheme="minorEastAsia"/>
                <w:szCs w:val="21"/>
              </w:rPr>
              <w:t>考虑地形</w:t>
            </w:r>
          </w:p>
        </w:tc>
        <w:tc>
          <w:tcPr>
            <w:tcW w:w="3525" w:type="dxa"/>
            <w:tcBorders>
              <w:tl2br w:val="nil"/>
              <w:tr2bl w:val="nil"/>
            </w:tcBorders>
            <w:vAlign w:val="center"/>
          </w:tcPr>
          <w:p>
            <w:pPr>
              <w:jc w:val="center"/>
              <w:rPr>
                <w:rFonts w:eastAsiaTheme="minorEastAsia"/>
                <w:szCs w:val="21"/>
              </w:rPr>
            </w:pPr>
            <w:r>
              <w:rPr>
                <w:rFonts w:eastAsiaTheme="minorEastAsia"/>
                <w:szCs w:val="21"/>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continue"/>
            <w:tcBorders>
              <w:tl2br w:val="nil"/>
              <w:tr2bl w:val="nil"/>
            </w:tcBorders>
            <w:vAlign w:val="center"/>
          </w:tcPr>
          <w:p>
            <w:pPr>
              <w:jc w:val="center"/>
              <w:rPr>
                <w:rFonts w:eastAsiaTheme="minorEastAsia"/>
                <w:szCs w:val="21"/>
              </w:rPr>
            </w:pPr>
          </w:p>
        </w:tc>
        <w:tc>
          <w:tcPr>
            <w:tcW w:w="2365" w:type="dxa"/>
            <w:tcBorders>
              <w:tl2br w:val="nil"/>
              <w:tr2bl w:val="nil"/>
            </w:tcBorders>
            <w:vAlign w:val="center"/>
          </w:tcPr>
          <w:p>
            <w:pPr>
              <w:jc w:val="center"/>
              <w:rPr>
                <w:rFonts w:eastAsiaTheme="minorEastAsia"/>
                <w:szCs w:val="21"/>
              </w:rPr>
            </w:pPr>
            <w:r>
              <w:rPr>
                <w:rFonts w:eastAsiaTheme="minorEastAsia"/>
                <w:szCs w:val="21"/>
              </w:rPr>
              <w:t>地形数据分辨率/m</w:t>
            </w:r>
          </w:p>
        </w:tc>
        <w:tc>
          <w:tcPr>
            <w:tcW w:w="3525" w:type="dxa"/>
            <w:tcBorders>
              <w:tl2br w:val="nil"/>
              <w:tr2bl w:val="nil"/>
            </w:tcBorders>
            <w:vAlign w:val="center"/>
          </w:tcPr>
          <w:p>
            <w:pPr>
              <w:jc w:val="center"/>
              <w:rPr>
                <w:rFonts w:eastAsiaTheme="minorEastAsia"/>
                <w:szCs w:val="21"/>
              </w:rPr>
            </w:pPr>
            <w:r>
              <w:rPr>
                <w:rFonts w:eastAsiaTheme="minorEastAsia"/>
                <w:szCs w:val="21"/>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restart"/>
            <w:tcBorders>
              <w:tl2br w:val="nil"/>
              <w:tr2bl w:val="nil"/>
            </w:tcBorders>
            <w:vAlign w:val="center"/>
          </w:tcPr>
          <w:p>
            <w:pPr>
              <w:jc w:val="center"/>
              <w:rPr>
                <w:rFonts w:eastAsiaTheme="minorEastAsia"/>
                <w:szCs w:val="21"/>
              </w:rPr>
            </w:pPr>
            <w:r>
              <w:rPr>
                <w:rFonts w:eastAsiaTheme="minorEastAsia"/>
                <w:szCs w:val="21"/>
              </w:rPr>
              <w:t>是否考虑岸线熏烟</w:t>
            </w:r>
          </w:p>
        </w:tc>
        <w:tc>
          <w:tcPr>
            <w:tcW w:w="2365" w:type="dxa"/>
            <w:tcBorders>
              <w:tl2br w:val="nil"/>
              <w:tr2bl w:val="nil"/>
            </w:tcBorders>
            <w:vAlign w:val="center"/>
          </w:tcPr>
          <w:p>
            <w:pPr>
              <w:jc w:val="center"/>
              <w:rPr>
                <w:rFonts w:eastAsiaTheme="minorEastAsia"/>
                <w:szCs w:val="21"/>
              </w:rPr>
            </w:pPr>
            <w:r>
              <w:rPr>
                <w:rFonts w:eastAsiaTheme="minorEastAsia"/>
                <w:szCs w:val="21"/>
              </w:rPr>
              <w:t>考虑岸线熏烟</w:t>
            </w:r>
          </w:p>
        </w:tc>
        <w:tc>
          <w:tcPr>
            <w:tcW w:w="3525" w:type="dxa"/>
            <w:tcBorders>
              <w:tl2br w:val="nil"/>
              <w:tr2bl w:val="nil"/>
            </w:tcBorders>
            <w:vAlign w:val="center"/>
          </w:tcPr>
          <w:p>
            <w:pPr>
              <w:jc w:val="center"/>
              <w:rPr>
                <w:rFonts w:eastAsiaTheme="minorEastAsia"/>
                <w:szCs w:val="21"/>
              </w:rPr>
            </w:pPr>
            <w:r>
              <w:rPr>
                <w:rFonts w:eastAsiaTheme="minorEastAsia"/>
                <w:szCs w:val="21"/>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continue"/>
            <w:tcBorders>
              <w:tl2br w:val="nil"/>
              <w:tr2bl w:val="nil"/>
            </w:tcBorders>
            <w:vAlign w:val="center"/>
          </w:tcPr>
          <w:p>
            <w:pPr>
              <w:jc w:val="center"/>
              <w:rPr>
                <w:rFonts w:eastAsiaTheme="minorEastAsia"/>
                <w:szCs w:val="21"/>
              </w:rPr>
            </w:pPr>
          </w:p>
        </w:tc>
        <w:tc>
          <w:tcPr>
            <w:tcW w:w="2365" w:type="dxa"/>
            <w:tcBorders>
              <w:tl2br w:val="nil"/>
              <w:tr2bl w:val="nil"/>
            </w:tcBorders>
            <w:vAlign w:val="center"/>
          </w:tcPr>
          <w:p>
            <w:pPr>
              <w:jc w:val="center"/>
              <w:rPr>
                <w:rFonts w:eastAsiaTheme="minorEastAsia"/>
                <w:szCs w:val="21"/>
              </w:rPr>
            </w:pPr>
            <w:r>
              <w:rPr>
                <w:rFonts w:eastAsiaTheme="minorEastAsia"/>
                <w:szCs w:val="21"/>
              </w:rPr>
              <w:t>岸线距离/km</w:t>
            </w:r>
          </w:p>
        </w:tc>
        <w:tc>
          <w:tcPr>
            <w:tcW w:w="3525" w:type="dxa"/>
            <w:tcBorders>
              <w:tl2br w:val="nil"/>
              <w:tr2bl w:val="nil"/>
            </w:tcBorders>
            <w:vAlign w:val="center"/>
          </w:tcPr>
          <w:p>
            <w:pPr>
              <w:jc w:val="center"/>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2632" w:type="dxa"/>
            <w:vMerge w:val="continue"/>
            <w:tcBorders>
              <w:tl2br w:val="nil"/>
              <w:tr2bl w:val="nil"/>
            </w:tcBorders>
            <w:vAlign w:val="center"/>
          </w:tcPr>
          <w:p>
            <w:pPr>
              <w:jc w:val="center"/>
              <w:rPr>
                <w:rFonts w:eastAsiaTheme="minorEastAsia"/>
                <w:szCs w:val="21"/>
              </w:rPr>
            </w:pPr>
          </w:p>
        </w:tc>
        <w:tc>
          <w:tcPr>
            <w:tcW w:w="2365" w:type="dxa"/>
            <w:tcBorders>
              <w:tl2br w:val="nil"/>
              <w:tr2bl w:val="nil"/>
            </w:tcBorders>
            <w:vAlign w:val="center"/>
          </w:tcPr>
          <w:p>
            <w:pPr>
              <w:jc w:val="center"/>
              <w:rPr>
                <w:rFonts w:eastAsiaTheme="minorEastAsia"/>
                <w:szCs w:val="21"/>
              </w:rPr>
            </w:pPr>
            <w:r>
              <w:rPr>
                <w:rFonts w:eastAsiaTheme="minorEastAsia"/>
                <w:szCs w:val="21"/>
              </w:rPr>
              <w:t>岸线方向/</w:t>
            </w:r>
            <w:r>
              <w:rPr>
                <w:rFonts w:eastAsiaTheme="minorEastAsia"/>
                <w:szCs w:val="21"/>
                <w:vertAlign w:val="superscript"/>
              </w:rPr>
              <w:t>。</w:t>
            </w:r>
          </w:p>
        </w:tc>
        <w:tc>
          <w:tcPr>
            <w:tcW w:w="3525" w:type="dxa"/>
            <w:tcBorders>
              <w:tl2br w:val="nil"/>
              <w:tr2bl w:val="nil"/>
            </w:tcBorders>
            <w:vAlign w:val="center"/>
          </w:tcPr>
          <w:p>
            <w:pPr>
              <w:jc w:val="center"/>
              <w:rPr>
                <w:rFonts w:eastAsiaTheme="minorEastAsia"/>
                <w:szCs w:val="21"/>
              </w:rPr>
            </w:pPr>
            <w:r>
              <w:rPr>
                <w:rFonts w:eastAsiaTheme="minorEastAsia"/>
                <w:szCs w:val="21"/>
              </w:rPr>
              <w:t>/</w:t>
            </w:r>
          </w:p>
        </w:tc>
      </w:tr>
    </w:tbl>
    <w:p>
      <w:pPr>
        <w:spacing w:line="500" w:lineRule="exact"/>
        <w:ind w:left="420" w:leftChars="200"/>
        <w:rPr>
          <w:b/>
          <w:bCs/>
          <w:sz w:val="24"/>
        </w:rPr>
      </w:pPr>
      <w:r>
        <w:rPr>
          <w:b/>
          <w:bCs/>
          <w:sz w:val="24"/>
        </w:rPr>
        <w:t>（</w:t>
      </w:r>
      <w:r>
        <w:rPr>
          <w:rFonts w:hint="eastAsia"/>
          <w:b/>
          <w:bCs/>
          <w:sz w:val="24"/>
        </w:rPr>
        <w:t>2</w:t>
      </w:r>
      <w:r>
        <w:rPr>
          <w:b/>
          <w:bCs/>
          <w:sz w:val="24"/>
        </w:rPr>
        <w:t xml:space="preserve">）污染源参数 </w:t>
      </w:r>
    </w:p>
    <w:p>
      <w:pPr>
        <w:spacing w:line="480" w:lineRule="exact"/>
        <w:ind w:firstLine="480" w:firstLineChars="200"/>
        <w:rPr>
          <w:color w:val="000000"/>
          <w:sz w:val="24"/>
        </w:rPr>
      </w:pPr>
      <w:r>
        <w:rPr>
          <w:rFonts w:hint="eastAsia"/>
          <w:color w:val="000000"/>
          <w:sz w:val="24"/>
        </w:rPr>
        <w:t>项目</w:t>
      </w:r>
      <w:r>
        <w:rPr>
          <w:rFonts w:hint="eastAsia"/>
          <w:sz w:val="24"/>
        </w:rPr>
        <w:t>填埋作业区面积约36600m</w:t>
      </w:r>
      <w:r>
        <w:rPr>
          <w:rFonts w:hint="eastAsia"/>
          <w:sz w:val="24"/>
          <w:vertAlign w:val="superscript"/>
        </w:rPr>
        <w:t>2</w:t>
      </w:r>
      <w:r>
        <w:rPr>
          <w:rFonts w:hint="eastAsia"/>
          <w:sz w:val="24"/>
        </w:rPr>
        <w:t>，呈近似174m×210m的矩形，污染源属无组织面源，其污染源参数情况详见下表。</w:t>
      </w:r>
    </w:p>
    <w:p>
      <w:pPr>
        <w:spacing w:line="500" w:lineRule="exact"/>
        <w:jc w:val="center"/>
        <w:rPr>
          <w:rFonts w:eastAsiaTheme="minorEastAsia"/>
          <w:b/>
          <w:bCs/>
          <w:sz w:val="24"/>
        </w:rPr>
      </w:pPr>
      <w:r>
        <w:rPr>
          <w:rFonts w:eastAsiaTheme="minorEastAsia"/>
          <w:b/>
          <w:bCs/>
          <w:sz w:val="24"/>
        </w:rPr>
        <w:t>表</w:t>
      </w:r>
      <w:r>
        <w:rPr>
          <w:rFonts w:hint="eastAsia" w:eastAsiaTheme="minorEastAsia"/>
          <w:b/>
          <w:bCs/>
          <w:sz w:val="24"/>
        </w:rPr>
        <w:t>5.1-3</w:t>
      </w:r>
      <w:r>
        <w:rPr>
          <w:rFonts w:hint="eastAsia"/>
          <w:b/>
          <w:bCs/>
          <w:sz w:val="24"/>
        </w:rPr>
        <w:t>项目面源参数表</w:t>
      </w:r>
    </w:p>
    <w:tbl>
      <w:tblPr>
        <w:tblStyle w:val="29"/>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284"/>
        <w:gridCol w:w="880"/>
        <w:gridCol w:w="902"/>
        <w:gridCol w:w="576"/>
        <w:gridCol w:w="627"/>
        <w:gridCol w:w="565"/>
        <w:gridCol w:w="538"/>
        <w:gridCol w:w="575"/>
        <w:gridCol w:w="683"/>
        <w:gridCol w:w="693"/>
        <w:gridCol w:w="638"/>
        <w:gridCol w:w="536"/>
        <w:gridCol w:w="8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08" w:hRule="atLeast"/>
        </w:trPr>
        <w:tc>
          <w:tcPr>
            <w:tcW w:w="170"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r>
              <w:rPr>
                <w:rFonts w:hint="eastAsia"/>
                <w:kern w:val="0"/>
                <w:szCs w:val="21"/>
              </w:rPr>
              <w:t>编号</w:t>
            </w:r>
          </w:p>
        </w:tc>
        <w:tc>
          <w:tcPr>
            <w:tcW w:w="1067" w:type="pct"/>
            <w:gridSpan w:val="2"/>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eastAsiaTheme="minorEastAsia"/>
                <w:kern w:val="0"/>
                <w:szCs w:val="21"/>
              </w:rPr>
              <w:t>名称</w:t>
            </w:r>
          </w:p>
        </w:tc>
        <w:tc>
          <w:tcPr>
            <w:tcW w:w="721" w:type="pct"/>
            <w:gridSpan w:val="2"/>
            <w:tcBorders>
              <w:tl2br w:val="nil"/>
              <w:tr2bl w:val="nil"/>
            </w:tcBorders>
            <w:shd w:val="clear" w:color="auto" w:fill="FFFFFF"/>
            <w:vAlign w:val="center"/>
          </w:tcPr>
          <w:p>
            <w:pPr>
              <w:widowControl/>
              <w:spacing w:line="260" w:lineRule="exact"/>
              <w:jc w:val="center"/>
              <w:textAlignment w:val="center"/>
              <w:rPr>
                <w:szCs w:val="21"/>
              </w:rPr>
            </w:pPr>
            <w:r>
              <w:rPr>
                <w:bCs/>
                <w:kern w:val="0"/>
                <w:szCs w:val="21"/>
              </w:rPr>
              <w:t>面源中心点坐标/</w:t>
            </w:r>
            <w:r>
              <w:rPr>
                <w:rFonts w:hint="eastAsia"/>
                <w:bCs/>
                <w:kern w:val="0"/>
                <w:szCs w:val="21"/>
              </w:rPr>
              <w:t>m</w:t>
            </w:r>
          </w:p>
        </w:tc>
        <w:tc>
          <w:tcPr>
            <w:tcW w:w="339"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hint="eastAsia"/>
                <w:szCs w:val="21"/>
              </w:rPr>
              <w:t>面源海拔高度</w:t>
            </w:r>
            <w:r>
              <w:rPr>
                <w:rFonts w:eastAsiaTheme="minorEastAsia"/>
                <w:szCs w:val="21"/>
              </w:rPr>
              <w:t>/m</w:t>
            </w:r>
          </w:p>
        </w:tc>
        <w:tc>
          <w:tcPr>
            <w:tcW w:w="323"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hint="eastAsia"/>
                <w:kern w:val="0"/>
                <w:szCs w:val="21"/>
              </w:rPr>
              <w:t>面源长度</w:t>
            </w:r>
            <w:r>
              <w:rPr>
                <w:rFonts w:eastAsiaTheme="minorEastAsia"/>
                <w:szCs w:val="21"/>
              </w:rPr>
              <w:t>/m</w:t>
            </w:r>
          </w:p>
        </w:tc>
        <w:tc>
          <w:tcPr>
            <w:tcW w:w="345"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hint="eastAsia"/>
                <w:kern w:val="0"/>
                <w:szCs w:val="21"/>
              </w:rPr>
              <w:t>面源宽度</w:t>
            </w:r>
            <w:r>
              <w:rPr>
                <w:rFonts w:eastAsiaTheme="minorEastAsia"/>
                <w:szCs w:val="21"/>
              </w:rPr>
              <w:t>/m</w:t>
            </w:r>
          </w:p>
        </w:tc>
        <w:tc>
          <w:tcPr>
            <w:tcW w:w="410"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hint="eastAsia"/>
                <w:kern w:val="0"/>
                <w:szCs w:val="21"/>
              </w:rPr>
              <w:t>与正北方向夹角/</w:t>
            </w:r>
            <w:r>
              <w:rPr>
                <w:kern w:val="0"/>
                <w:szCs w:val="21"/>
              </w:rPr>
              <w:t>˚</w:t>
            </w:r>
          </w:p>
        </w:tc>
        <w:tc>
          <w:tcPr>
            <w:tcW w:w="416"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hint="eastAsia"/>
                <w:kern w:val="0"/>
                <w:szCs w:val="21"/>
              </w:rPr>
              <w:t>面源有效排放高度</w:t>
            </w:r>
            <w:r>
              <w:rPr>
                <w:rFonts w:eastAsiaTheme="minorEastAsia"/>
                <w:szCs w:val="21"/>
              </w:rPr>
              <w:t>/m</w:t>
            </w:r>
          </w:p>
        </w:tc>
        <w:tc>
          <w:tcPr>
            <w:tcW w:w="383"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eastAsiaTheme="minorEastAsia"/>
                <w:kern w:val="0"/>
                <w:szCs w:val="21"/>
              </w:rPr>
              <w:t>年排放小时数</w:t>
            </w:r>
            <w:r>
              <w:rPr>
                <w:rFonts w:eastAsiaTheme="minorEastAsia"/>
                <w:szCs w:val="21"/>
              </w:rPr>
              <w:t>/h</w:t>
            </w:r>
          </w:p>
        </w:tc>
        <w:tc>
          <w:tcPr>
            <w:tcW w:w="322"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szCs w:val="21"/>
              </w:rPr>
            </w:pPr>
            <w:r>
              <w:rPr>
                <w:rFonts w:eastAsiaTheme="minorEastAsia"/>
                <w:kern w:val="0"/>
                <w:szCs w:val="21"/>
              </w:rPr>
              <w:t>排放工况</w:t>
            </w:r>
          </w:p>
        </w:tc>
        <w:tc>
          <w:tcPr>
            <w:tcW w:w="499" w:type="pct"/>
            <w:vMerge w:val="restart"/>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r>
              <w:rPr>
                <w:rFonts w:eastAsiaTheme="minorEastAsia"/>
                <w:kern w:val="0"/>
                <w:szCs w:val="21"/>
              </w:rPr>
              <w:t>污染物排放速率</w:t>
            </w:r>
            <w:r>
              <w:rPr>
                <w:rFonts w:eastAsiaTheme="minorEastAsia"/>
                <w:szCs w:val="21"/>
              </w:rPr>
              <w:t>/</w:t>
            </w:r>
          </w:p>
          <w:p>
            <w:pPr>
              <w:widowControl/>
              <w:spacing w:line="260" w:lineRule="exact"/>
              <w:jc w:val="center"/>
              <w:textAlignment w:val="center"/>
              <w:rPr>
                <w:rFonts w:eastAsiaTheme="minorEastAsia"/>
                <w:szCs w:val="21"/>
              </w:rPr>
            </w:pPr>
            <w:r>
              <w:rPr>
                <w:rFonts w:eastAsiaTheme="minorEastAsia"/>
                <w:kern w:val="0"/>
                <w:szCs w:val="21"/>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20" w:hRule="atLeast"/>
        </w:trPr>
        <w:tc>
          <w:tcPr>
            <w:tcW w:w="170" w:type="pct"/>
            <w:vMerge w:val="continue"/>
            <w:tcBorders>
              <w:tl2br w:val="nil"/>
              <w:tr2bl w:val="nil"/>
            </w:tcBorders>
            <w:shd w:val="clear" w:color="auto" w:fill="FFFFFF"/>
            <w:vAlign w:val="center"/>
          </w:tcPr>
          <w:p>
            <w:pPr>
              <w:widowControl/>
              <w:spacing w:line="260" w:lineRule="exact"/>
              <w:jc w:val="center"/>
              <w:textAlignment w:val="center"/>
              <w:rPr>
                <w:kern w:val="0"/>
                <w:szCs w:val="21"/>
              </w:rPr>
            </w:pPr>
          </w:p>
        </w:tc>
        <w:tc>
          <w:tcPr>
            <w:tcW w:w="1067" w:type="pct"/>
            <w:gridSpan w:val="2"/>
            <w:vMerge w:val="continue"/>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p>
        </w:tc>
        <w:tc>
          <w:tcPr>
            <w:tcW w:w="345" w:type="pct"/>
            <w:tcBorders>
              <w:tl2br w:val="nil"/>
              <w:tr2bl w:val="nil"/>
            </w:tcBorders>
            <w:shd w:val="clear" w:color="auto" w:fill="FFFFFF"/>
            <w:vAlign w:val="center"/>
          </w:tcPr>
          <w:p>
            <w:pPr>
              <w:widowControl/>
              <w:spacing w:line="260" w:lineRule="exact"/>
              <w:jc w:val="center"/>
              <w:rPr>
                <w:szCs w:val="21"/>
              </w:rPr>
            </w:pPr>
            <w:r>
              <w:rPr>
                <w:rFonts w:hint="eastAsia"/>
                <w:bCs/>
                <w:szCs w:val="21"/>
              </w:rPr>
              <w:t>X</w:t>
            </w:r>
          </w:p>
        </w:tc>
        <w:tc>
          <w:tcPr>
            <w:tcW w:w="375" w:type="pct"/>
            <w:tcBorders>
              <w:tl2br w:val="nil"/>
              <w:tr2bl w:val="nil"/>
            </w:tcBorders>
            <w:shd w:val="clear" w:color="auto" w:fill="FFFFFF"/>
            <w:vAlign w:val="center"/>
          </w:tcPr>
          <w:p>
            <w:pPr>
              <w:widowControl/>
              <w:spacing w:line="260" w:lineRule="exact"/>
              <w:jc w:val="center"/>
              <w:rPr>
                <w:szCs w:val="21"/>
              </w:rPr>
            </w:pPr>
            <w:r>
              <w:rPr>
                <w:rFonts w:hint="eastAsia"/>
                <w:bCs/>
                <w:szCs w:val="21"/>
              </w:rPr>
              <w:t>Y</w:t>
            </w:r>
          </w:p>
        </w:tc>
        <w:tc>
          <w:tcPr>
            <w:tcW w:w="339" w:type="pct"/>
            <w:vMerge w:val="continue"/>
            <w:tcBorders>
              <w:tl2br w:val="nil"/>
              <w:tr2bl w:val="nil"/>
            </w:tcBorders>
            <w:shd w:val="clear" w:color="auto" w:fill="FFFFFF"/>
            <w:vAlign w:val="center"/>
          </w:tcPr>
          <w:p>
            <w:pPr>
              <w:widowControl/>
              <w:spacing w:line="260" w:lineRule="exact"/>
              <w:jc w:val="center"/>
              <w:textAlignment w:val="center"/>
              <w:rPr>
                <w:szCs w:val="21"/>
              </w:rPr>
            </w:pPr>
          </w:p>
        </w:tc>
        <w:tc>
          <w:tcPr>
            <w:tcW w:w="323" w:type="pct"/>
            <w:vMerge w:val="continue"/>
            <w:tcBorders>
              <w:tl2br w:val="nil"/>
              <w:tr2bl w:val="nil"/>
            </w:tcBorders>
            <w:shd w:val="clear" w:color="auto" w:fill="FFFFFF"/>
            <w:vAlign w:val="center"/>
          </w:tcPr>
          <w:p>
            <w:pPr>
              <w:widowControl/>
              <w:spacing w:line="260" w:lineRule="exact"/>
              <w:jc w:val="center"/>
              <w:textAlignment w:val="center"/>
              <w:rPr>
                <w:kern w:val="0"/>
                <w:szCs w:val="21"/>
              </w:rPr>
            </w:pPr>
          </w:p>
        </w:tc>
        <w:tc>
          <w:tcPr>
            <w:tcW w:w="345" w:type="pct"/>
            <w:vMerge w:val="continue"/>
            <w:tcBorders>
              <w:tl2br w:val="nil"/>
              <w:tr2bl w:val="nil"/>
            </w:tcBorders>
            <w:shd w:val="clear" w:color="auto" w:fill="FFFFFF"/>
            <w:vAlign w:val="center"/>
          </w:tcPr>
          <w:p>
            <w:pPr>
              <w:widowControl/>
              <w:spacing w:line="260" w:lineRule="exact"/>
              <w:jc w:val="center"/>
              <w:textAlignment w:val="center"/>
              <w:rPr>
                <w:kern w:val="0"/>
                <w:szCs w:val="21"/>
              </w:rPr>
            </w:pPr>
          </w:p>
        </w:tc>
        <w:tc>
          <w:tcPr>
            <w:tcW w:w="410" w:type="pct"/>
            <w:vMerge w:val="continue"/>
            <w:tcBorders>
              <w:tl2br w:val="nil"/>
              <w:tr2bl w:val="nil"/>
            </w:tcBorders>
            <w:shd w:val="clear" w:color="auto" w:fill="FFFFFF"/>
            <w:vAlign w:val="center"/>
          </w:tcPr>
          <w:p>
            <w:pPr>
              <w:widowControl/>
              <w:spacing w:line="260" w:lineRule="exact"/>
              <w:jc w:val="center"/>
              <w:textAlignment w:val="center"/>
              <w:rPr>
                <w:kern w:val="0"/>
                <w:szCs w:val="21"/>
              </w:rPr>
            </w:pPr>
          </w:p>
        </w:tc>
        <w:tc>
          <w:tcPr>
            <w:tcW w:w="416" w:type="pct"/>
            <w:vMerge w:val="continue"/>
            <w:tcBorders>
              <w:tl2br w:val="nil"/>
              <w:tr2bl w:val="nil"/>
            </w:tcBorders>
            <w:shd w:val="clear" w:color="auto" w:fill="FFFFFF"/>
            <w:vAlign w:val="center"/>
          </w:tcPr>
          <w:p>
            <w:pPr>
              <w:widowControl/>
              <w:spacing w:line="260" w:lineRule="exact"/>
              <w:jc w:val="center"/>
              <w:textAlignment w:val="center"/>
              <w:rPr>
                <w:kern w:val="0"/>
                <w:szCs w:val="21"/>
              </w:rPr>
            </w:pPr>
          </w:p>
        </w:tc>
        <w:tc>
          <w:tcPr>
            <w:tcW w:w="383" w:type="pct"/>
            <w:vMerge w:val="continue"/>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p>
        </w:tc>
        <w:tc>
          <w:tcPr>
            <w:tcW w:w="322" w:type="pct"/>
            <w:vMerge w:val="continue"/>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p>
        </w:tc>
        <w:tc>
          <w:tcPr>
            <w:tcW w:w="499" w:type="pct"/>
            <w:vMerge w:val="continue"/>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exact"/>
        </w:trPr>
        <w:tc>
          <w:tcPr>
            <w:tcW w:w="170" w:type="pc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eastAsiaTheme="minorEastAsia"/>
                <w:szCs w:val="21"/>
              </w:rPr>
              <w:t>1</w:t>
            </w:r>
          </w:p>
        </w:tc>
        <w:tc>
          <w:tcPr>
            <w:tcW w:w="527" w:type="pct"/>
            <w:vMerge w:val="restart"/>
            <w:tcBorders>
              <w:right w:val="single" w:color="auto" w:sz="4" w:space="0"/>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垃圾填埋作业产生的无组织恶臭及粉尘</w:t>
            </w:r>
          </w:p>
        </w:tc>
        <w:tc>
          <w:tcPr>
            <w:tcW w:w="540" w:type="pct"/>
            <w:tcBorders>
              <w:left w:val="single" w:color="auto" w:sz="4" w:space="0"/>
              <w:tl2br w:val="nil"/>
              <w:tr2bl w:val="nil"/>
            </w:tcBorders>
            <w:shd w:val="clear" w:color="auto" w:fill="FFFFFF"/>
            <w:vAlign w:val="center"/>
          </w:tcPr>
          <w:p>
            <w:pPr>
              <w:spacing w:line="360" w:lineRule="exact"/>
              <w:jc w:val="center"/>
              <w:rPr>
                <w:szCs w:val="21"/>
              </w:rPr>
            </w:pPr>
            <w:r>
              <w:rPr>
                <w:rFonts w:hint="eastAsia"/>
                <w:szCs w:val="21"/>
              </w:rPr>
              <w:t>NH</w:t>
            </w:r>
            <w:r>
              <w:rPr>
                <w:rFonts w:hint="eastAsia"/>
                <w:szCs w:val="21"/>
                <w:vertAlign w:val="subscript"/>
              </w:rPr>
              <w:t>3</w:t>
            </w:r>
          </w:p>
        </w:tc>
        <w:tc>
          <w:tcPr>
            <w:tcW w:w="345" w:type="pct"/>
            <w:vMerge w:val="restart"/>
            <w:tcBorders>
              <w:tl2br w:val="nil"/>
              <w:tr2bl w:val="nil"/>
            </w:tcBorders>
            <w:shd w:val="clear" w:color="auto" w:fill="FFFFFF"/>
            <w:vAlign w:val="center"/>
          </w:tcPr>
          <w:p>
            <w:pPr>
              <w:jc w:val="center"/>
              <w:rPr>
                <w:szCs w:val="21"/>
              </w:rPr>
            </w:pPr>
            <w:r>
              <w:rPr>
                <w:rFonts w:hint="eastAsia"/>
                <w:szCs w:val="21"/>
              </w:rPr>
              <w:t>703751.5</w:t>
            </w:r>
          </w:p>
        </w:tc>
        <w:tc>
          <w:tcPr>
            <w:tcW w:w="375" w:type="pct"/>
            <w:vMerge w:val="restart"/>
            <w:tcBorders>
              <w:tl2br w:val="nil"/>
              <w:tr2bl w:val="nil"/>
            </w:tcBorders>
            <w:shd w:val="clear" w:color="auto" w:fill="FFFFFF"/>
            <w:vAlign w:val="center"/>
          </w:tcPr>
          <w:p>
            <w:pPr>
              <w:jc w:val="center"/>
              <w:rPr>
                <w:szCs w:val="21"/>
              </w:rPr>
            </w:pPr>
            <w:r>
              <w:rPr>
                <w:rFonts w:hint="eastAsia"/>
                <w:szCs w:val="21"/>
              </w:rPr>
              <w:t>4006980.7</w:t>
            </w:r>
          </w:p>
        </w:tc>
        <w:tc>
          <w:tcPr>
            <w:tcW w:w="339" w:type="pct"/>
            <w:vMerge w:val="restar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1003</w:t>
            </w:r>
          </w:p>
        </w:tc>
        <w:tc>
          <w:tcPr>
            <w:tcW w:w="323" w:type="pct"/>
            <w:vMerge w:val="restar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210</w:t>
            </w:r>
          </w:p>
        </w:tc>
        <w:tc>
          <w:tcPr>
            <w:tcW w:w="345" w:type="pct"/>
            <w:vMerge w:val="restar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174</w:t>
            </w:r>
          </w:p>
        </w:tc>
        <w:tc>
          <w:tcPr>
            <w:tcW w:w="410" w:type="pct"/>
            <w:vMerge w:val="restar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25</w:t>
            </w:r>
          </w:p>
        </w:tc>
        <w:tc>
          <w:tcPr>
            <w:tcW w:w="416" w:type="pct"/>
            <w:vMerge w:val="restar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10</w:t>
            </w:r>
          </w:p>
        </w:tc>
        <w:tc>
          <w:tcPr>
            <w:tcW w:w="383" w:type="pc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8760</w:t>
            </w:r>
          </w:p>
        </w:tc>
        <w:tc>
          <w:tcPr>
            <w:tcW w:w="322" w:type="pc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eastAsiaTheme="minorEastAsia"/>
                <w:szCs w:val="21"/>
              </w:rPr>
              <w:t>连续</w:t>
            </w:r>
          </w:p>
        </w:tc>
        <w:tc>
          <w:tcPr>
            <w:tcW w:w="499" w:type="pct"/>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r>
              <w:rPr>
                <w:rFonts w:hint="eastAsia" w:eastAsiaTheme="minorEastAsia"/>
                <w:kern w:val="0"/>
                <w:szCs w:val="21"/>
              </w:rPr>
              <w:t>0.032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exact"/>
        </w:trPr>
        <w:tc>
          <w:tcPr>
            <w:tcW w:w="170" w:type="pc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eastAsiaTheme="minorEastAsia"/>
                <w:szCs w:val="21"/>
              </w:rPr>
              <w:t>2</w:t>
            </w:r>
          </w:p>
        </w:tc>
        <w:tc>
          <w:tcPr>
            <w:tcW w:w="527" w:type="pct"/>
            <w:vMerge w:val="continue"/>
            <w:tcBorders>
              <w:right w:val="single" w:color="auto" w:sz="4" w:space="0"/>
              <w:tl2br w:val="nil"/>
              <w:tr2bl w:val="nil"/>
            </w:tcBorders>
            <w:shd w:val="clear" w:color="auto" w:fill="FFFFFF"/>
            <w:vAlign w:val="center"/>
          </w:tcPr>
          <w:p>
            <w:pPr>
              <w:widowControl/>
              <w:spacing w:line="260" w:lineRule="exact"/>
              <w:jc w:val="center"/>
              <w:rPr>
                <w:rFonts w:eastAsiaTheme="minorEastAsia"/>
                <w:szCs w:val="21"/>
              </w:rPr>
            </w:pPr>
          </w:p>
        </w:tc>
        <w:tc>
          <w:tcPr>
            <w:tcW w:w="540" w:type="pct"/>
            <w:tcBorders>
              <w:left w:val="single" w:color="auto" w:sz="4" w:space="0"/>
              <w:tl2br w:val="nil"/>
              <w:tr2bl w:val="nil"/>
            </w:tcBorders>
            <w:shd w:val="clear" w:color="auto" w:fill="FFFFFF"/>
            <w:vAlign w:val="center"/>
          </w:tcPr>
          <w:p>
            <w:pPr>
              <w:spacing w:line="36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345"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75"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39"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23"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45"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410"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416"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83" w:type="pc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8760</w:t>
            </w:r>
          </w:p>
        </w:tc>
        <w:tc>
          <w:tcPr>
            <w:tcW w:w="322" w:type="pct"/>
            <w:tcBorders>
              <w:tl2br w:val="nil"/>
              <w:tr2bl w:val="nil"/>
            </w:tcBorders>
            <w:shd w:val="clear" w:color="auto" w:fill="FFFFFF"/>
            <w:vAlign w:val="center"/>
          </w:tcPr>
          <w:p>
            <w:pPr>
              <w:widowControl/>
              <w:spacing w:line="260" w:lineRule="exact"/>
              <w:jc w:val="center"/>
              <w:rPr>
                <w:rFonts w:eastAsiaTheme="minorEastAsia"/>
                <w:szCs w:val="21"/>
              </w:rPr>
            </w:pPr>
            <w:r>
              <w:rPr>
                <w:rFonts w:hint="eastAsia"/>
                <w:szCs w:val="21"/>
              </w:rPr>
              <w:t>连续</w:t>
            </w:r>
          </w:p>
        </w:tc>
        <w:tc>
          <w:tcPr>
            <w:tcW w:w="499" w:type="pct"/>
            <w:tcBorders>
              <w:tl2br w:val="nil"/>
              <w:tr2bl w:val="nil"/>
            </w:tcBorders>
            <w:shd w:val="clear" w:color="auto" w:fill="FFFFFF"/>
            <w:vAlign w:val="center"/>
          </w:tcPr>
          <w:p>
            <w:pPr>
              <w:widowControl/>
              <w:spacing w:line="260" w:lineRule="exact"/>
              <w:jc w:val="center"/>
              <w:textAlignment w:val="center"/>
              <w:rPr>
                <w:rFonts w:eastAsiaTheme="minorEastAsia"/>
                <w:kern w:val="0"/>
                <w:szCs w:val="21"/>
              </w:rPr>
            </w:pPr>
            <w:r>
              <w:rPr>
                <w:rFonts w:hint="eastAsia" w:eastAsiaTheme="minorEastAsia"/>
                <w:kern w:val="0"/>
                <w:szCs w:val="21"/>
              </w:rPr>
              <w:t>0.0009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exact"/>
        </w:trPr>
        <w:tc>
          <w:tcPr>
            <w:tcW w:w="170" w:type="pct"/>
            <w:tcBorders>
              <w:tl2br w:val="nil"/>
              <w:tr2bl w:val="nil"/>
            </w:tcBorders>
            <w:shd w:val="clear" w:color="auto" w:fill="FFFFFF"/>
            <w:vAlign w:val="center"/>
          </w:tcPr>
          <w:p>
            <w:pPr>
              <w:widowControl/>
              <w:spacing w:line="260" w:lineRule="exact"/>
              <w:jc w:val="center"/>
              <w:rPr>
                <w:szCs w:val="21"/>
              </w:rPr>
            </w:pPr>
            <w:r>
              <w:rPr>
                <w:rFonts w:hint="eastAsia"/>
                <w:szCs w:val="21"/>
              </w:rPr>
              <w:t>3</w:t>
            </w:r>
          </w:p>
        </w:tc>
        <w:tc>
          <w:tcPr>
            <w:tcW w:w="527" w:type="pct"/>
            <w:vMerge w:val="continue"/>
            <w:tcBorders>
              <w:right w:val="single" w:color="auto" w:sz="4" w:space="0"/>
              <w:tl2br w:val="nil"/>
              <w:tr2bl w:val="nil"/>
            </w:tcBorders>
            <w:shd w:val="clear" w:color="auto" w:fill="FFFFFF"/>
            <w:vAlign w:val="center"/>
          </w:tcPr>
          <w:p>
            <w:pPr>
              <w:widowControl/>
              <w:spacing w:line="260" w:lineRule="exact"/>
              <w:jc w:val="center"/>
              <w:rPr>
                <w:szCs w:val="21"/>
              </w:rPr>
            </w:pPr>
          </w:p>
        </w:tc>
        <w:tc>
          <w:tcPr>
            <w:tcW w:w="540" w:type="pct"/>
            <w:tcBorders>
              <w:left w:val="single" w:color="auto" w:sz="4" w:space="0"/>
              <w:tl2br w:val="nil"/>
              <w:tr2bl w:val="nil"/>
            </w:tcBorders>
            <w:shd w:val="clear" w:color="auto" w:fill="FFFFFF"/>
            <w:vAlign w:val="center"/>
          </w:tcPr>
          <w:p>
            <w:pPr>
              <w:spacing w:line="360" w:lineRule="exact"/>
              <w:jc w:val="center"/>
              <w:rPr>
                <w:szCs w:val="21"/>
              </w:rPr>
            </w:pPr>
            <w:r>
              <w:rPr>
                <w:rFonts w:hint="eastAsia"/>
                <w:szCs w:val="21"/>
              </w:rPr>
              <w:t>TSP</w:t>
            </w:r>
          </w:p>
        </w:tc>
        <w:tc>
          <w:tcPr>
            <w:tcW w:w="345"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75"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39"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23"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45"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410"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416" w:type="pct"/>
            <w:vMerge w:val="continue"/>
            <w:tcBorders>
              <w:tl2br w:val="nil"/>
              <w:tr2bl w:val="nil"/>
            </w:tcBorders>
            <w:shd w:val="clear" w:color="auto" w:fill="FFFFFF"/>
            <w:vAlign w:val="center"/>
          </w:tcPr>
          <w:p>
            <w:pPr>
              <w:widowControl/>
              <w:spacing w:line="260" w:lineRule="exact"/>
              <w:jc w:val="center"/>
              <w:rPr>
                <w:rFonts w:eastAsiaTheme="minorEastAsia"/>
                <w:szCs w:val="21"/>
              </w:rPr>
            </w:pPr>
          </w:p>
        </w:tc>
        <w:tc>
          <w:tcPr>
            <w:tcW w:w="383" w:type="pct"/>
            <w:tcBorders>
              <w:tl2br w:val="nil"/>
              <w:tr2bl w:val="nil"/>
            </w:tcBorders>
            <w:shd w:val="clear" w:color="auto" w:fill="FFFFFF"/>
            <w:vAlign w:val="center"/>
          </w:tcPr>
          <w:p>
            <w:pPr>
              <w:widowControl/>
              <w:spacing w:line="260" w:lineRule="exact"/>
              <w:jc w:val="center"/>
              <w:rPr>
                <w:szCs w:val="21"/>
              </w:rPr>
            </w:pPr>
            <w:r>
              <w:rPr>
                <w:rFonts w:hint="eastAsia"/>
                <w:szCs w:val="21"/>
              </w:rPr>
              <w:t>8760</w:t>
            </w:r>
          </w:p>
        </w:tc>
        <w:tc>
          <w:tcPr>
            <w:tcW w:w="322" w:type="pct"/>
            <w:tcBorders>
              <w:tl2br w:val="nil"/>
              <w:tr2bl w:val="nil"/>
            </w:tcBorders>
            <w:shd w:val="clear" w:color="auto" w:fill="FFFFFF"/>
            <w:vAlign w:val="center"/>
          </w:tcPr>
          <w:p>
            <w:pPr>
              <w:widowControl/>
              <w:spacing w:line="260" w:lineRule="exact"/>
              <w:jc w:val="center"/>
              <w:rPr>
                <w:szCs w:val="21"/>
              </w:rPr>
            </w:pPr>
            <w:r>
              <w:rPr>
                <w:rFonts w:hint="eastAsia"/>
                <w:szCs w:val="21"/>
              </w:rPr>
              <w:t>连续</w:t>
            </w:r>
          </w:p>
        </w:tc>
        <w:tc>
          <w:tcPr>
            <w:tcW w:w="499" w:type="pct"/>
            <w:tcBorders>
              <w:tl2br w:val="nil"/>
              <w:tr2bl w:val="nil"/>
            </w:tcBorders>
            <w:shd w:val="clear" w:color="auto" w:fill="FFFFFF"/>
            <w:vAlign w:val="center"/>
          </w:tcPr>
          <w:p>
            <w:pPr>
              <w:widowControl/>
              <w:spacing w:line="260" w:lineRule="exact"/>
              <w:jc w:val="center"/>
              <w:textAlignment w:val="center"/>
              <w:rPr>
                <w:color w:val="FF0000"/>
                <w:szCs w:val="21"/>
              </w:rPr>
            </w:pPr>
            <w:r>
              <w:rPr>
                <w:rFonts w:hint="eastAsia" w:eastAsiaTheme="minorEastAsia"/>
                <w:kern w:val="0"/>
                <w:szCs w:val="21"/>
              </w:rPr>
              <w:t>0.115</w:t>
            </w:r>
          </w:p>
        </w:tc>
      </w:tr>
    </w:tbl>
    <w:p>
      <w:pPr>
        <w:spacing w:line="500" w:lineRule="exact"/>
        <w:ind w:firstLine="482" w:firstLineChars="200"/>
        <w:rPr>
          <w:b/>
          <w:bCs/>
          <w:sz w:val="24"/>
        </w:rPr>
      </w:pPr>
      <w:r>
        <w:rPr>
          <w:b/>
          <w:bCs/>
          <w:sz w:val="24"/>
        </w:rPr>
        <w:t>（</w:t>
      </w:r>
      <w:r>
        <w:rPr>
          <w:rFonts w:hint="eastAsia"/>
          <w:b/>
          <w:bCs/>
          <w:sz w:val="24"/>
        </w:rPr>
        <w:t>3</w:t>
      </w:r>
      <w:r>
        <w:rPr>
          <w:b/>
          <w:bCs/>
          <w:sz w:val="24"/>
        </w:rPr>
        <w:t>）主</w:t>
      </w:r>
      <w:r>
        <w:rPr>
          <w:rFonts w:hint="eastAsia"/>
          <w:b/>
          <w:bCs/>
          <w:sz w:val="24"/>
        </w:rPr>
        <w:t>要污染源估算模型计算结果</w:t>
      </w:r>
    </w:p>
    <w:p>
      <w:pPr>
        <w:spacing w:line="500" w:lineRule="exact"/>
        <w:jc w:val="center"/>
        <w:rPr>
          <w:rFonts w:eastAsiaTheme="minorEastAsia"/>
          <w:b/>
          <w:bCs/>
          <w:sz w:val="24"/>
        </w:rPr>
      </w:pPr>
    </w:p>
    <w:p>
      <w:pPr>
        <w:spacing w:line="500" w:lineRule="exact"/>
        <w:jc w:val="center"/>
        <w:rPr>
          <w:rFonts w:eastAsiaTheme="minorEastAsia"/>
          <w:b/>
          <w:bCs/>
          <w:sz w:val="24"/>
        </w:rPr>
      </w:pPr>
      <w:r>
        <w:rPr>
          <w:rFonts w:eastAsiaTheme="minorEastAsia"/>
          <w:b/>
          <w:bCs/>
          <w:sz w:val="24"/>
        </w:rPr>
        <w:t>表5.</w:t>
      </w:r>
      <w:r>
        <w:rPr>
          <w:rFonts w:hint="eastAsia"/>
          <w:b/>
          <w:bCs/>
          <w:sz w:val="24"/>
        </w:rPr>
        <w:t>1</w:t>
      </w:r>
      <w:r>
        <w:rPr>
          <w:rFonts w:eastAsiaTheme="minorEastAsia"/>
          <w:b/>
          <w:bCs/>
          <w:sz w:val="24"/>
        </w:rPr>
        <w:t>-</w:t>
      </w:r>
      <w:r>
        <w:rPr>
          <w:rFonts w:hint="eastAsia"/>
          <w:b/>
          <w:bCs/>
          <w:sz w:val="24"/>
        </w:rPr>
        <w:t>4项目污染源估算模型计算结果</w:t>
      </w:r>
      <w:r>
        <w:rPr>
          <w:rFonts w:eastAsiaTheme="minorEastAsia"/>
          <w:b/>
          <w:bCs/>
          <w:sz w:val="24"/>
        </w:rPr>
        <w:t>表</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990"/>
        <w:gridCol w:w="992"/>
        <w:gridCol w:w="990"/>
        <w:gridCol w:w="992"/>
        <w:gridCol w:w="990"/>
        <w:gridCol w:w="9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7" w:type="pct"/>
            <w:vMerge w:val="restart"/>
            <w:tcBorders>
              <w:tl2br w:val="nil"/>
              <w:tr2bl w:val="nil"/>
            </w:tcBorders>
            <w:vAlign w:val="center"/>
          </w:tcPr>
          <w:p>
            <w:pPr>
              <w:spacing w:line="360" w:lineRule="exact"/>
              <w:jc w:val="center"/>
              <w:rPr>
                <w:rFonts w:eastAsiaTheme="minorEastAsia"/>
                <w:szCs w:val="21"/>
              </w:rPr>
            </w:pPr>
            <w:r>
              <w:rPr>
                <w:rFonts w:eastAsiaTheme="minorEastAsia"/>
                <w:szCs w:val="21"/>
              </w:rPr>
              <w:t>下风向距离m</w:t>
            </w:r>
          </w:p>
        </w:tc>
        <w:tc>
          <w:tcPr>
            <w:tcW w:w="1163" w:type="pct"/>
            <w:gridSpan w:val="2"/>
            <w:tcBorders>
              <w:tl2br w:val="nil"/>
              <w:tr2bl w:val="nil"/>
            </w:tcBorders>
            <w:vAlign w:val="center"/>
          </w:tcPr>
          <w:p>
            <w:pPr>
              <w:widowControl/>
              <w:jc w:val="center"/>
              <w:textAlignment w:val="center"/>
              <w:rPr>
                <w:szCs w:val="21"/>
              </w:rPr>
            </w:pPr>
            <w:r>
              <w:rPr>
                <w:rFonts w:eastAsiaTheme="minorEastAsia"/>
                <w:szCs w:val="21"/>
              </w:rPr>
              <w:t>H</w:t>
            </w:r>
            <w:r>
              <w:rPr>
                <w:rFonts w:eastAsiaTheme="minorEastAsia"/>
                <w:szCs w:val="21"/>
                <w:vertAlign w:val="subscript"/>
              </w:rPr>
              <w:t>2</w:t>
            </w:r>
            <w:r>
              <w:rPr>
                <w:rFonts w:eastAsiaTheme="minorEastAsia"/>
                <w:szCs w:val="21"/>
              </w:rPr>
              <w:t>S</w:t>
            </w:r>
          </w:p>
          <w:p>
            <w:pPr>
              <w:spacing w:line="280" w:lineRule="exact"/>
              <w:jc w:val="center"/>
              <w:rPr>
                <w:rFonts w:eastAsiaTheme="minorEastAsia"/>
                <w:szCs w:val="21"/>
              </w:rPr>
            </w:pPr>
          </w:p>
        </w:tc>
        <w:tc>
          <w:tcPr>
            <w:tcW w:w="1163" w:type="pct"/>
            <w:gridSpan w:val="2"/>
            <w:tcBorders>
              <w:tl2br w:val="nil"/>
              <w:tr2bl w:val="nil"/>
            </w:tcBorders>
            <w:vAlign w:val="center"/>
          </w:tcPr>
          <w:p>
            <w:pPr>
              <w:widowControl/>
              <w:jc w:val="center"/>
              <w:textAlignment w:val="center"/>
              <w:rPr>
                <w:szCs w:val="21"/>
                <w:vertAlign w:val="subscript"/>
              </w:rPr>
            </w:pPr>
            <w:r>
              <w:rPr>
                <w:rFonts w:hint="eastAsia" w:eastAsiaTheme="minorEastAsia"/>
                <w:szCs w:val="21"/>
              </w:rPr>
              <w:t>NH</w:t>
            </w:r>
            <w:r>
              <w:rPr>
                <w:rFonts w:hint="eastAsia" w:eastAsiaTheme="minorEastAsia"/>
                <w:szCs w:val="21"/>
                <w:vertAlign w:val="subscript"/>
              </w:rPr>
              <w:t>3</w:t>
            </w:r>
          </w:p>
          <w:p>
            <w:pPr>
              <w:spacing w:line="280" w:lineRule="exact"/>
              <w:jc w:val="center"/>
              <w:rPr>
                <w:szCs w:val="21"/>
              </w:rPr>
            </w:pPr>
          </w:p>
        </w:tc>
        <w:tc>
          <w:tcPr>
            <w:tcW w:w="1166" w:type="pct"/>
            <w:gridSpan w:val="2"/>
            <w:tcBorders>
              <w:tl2br w:val="nil"/>
              <w:tr2bl w:val="nil"/>
            </w:tcBorders>
            <w:vAlign w:val="center"/>
          </w:tcPr>
          <w:p>
            <w:pPr>
              <w:spacing w:line="280" w:lineRule="exact"/>
              <w:jc w:val="center"/>
              <w:rPr>
                <w:szCs w:val="21"/>
              </w:rPr>
            </w:pPr>
            <w:r>
              <w:rPr>
                <w:rFonts w:hint="eastAsia"/>
                <w:szCs w:val="21"/>
              </w:rPr>
              <w:t>TSP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exact"/>
        </w:trPr>
        <w:tc>
          <w:tcPr>
            <w:tcW w:w="1507" w:type="pct"/>
            <w:vMerge w:val="continue"/>
            <w:tcBorders>
              <w:tl2br w:val="nil"/>
              <w:tr2bl w:val="nil"/>
            </w:tcBorders>
            <w:vAlign w:val="center"/>
          </w:tcPr>
          <w:p>
            <w:pPr>
              <w:spacing w:line="360" w:lineRule="exact"/>
              <w:jc w:val="center"/>
              <w:rPr>
                <w:rFonts w:eastAsiaTheme="minorEastAsia"/>
                <w:szCs w:val="21"/>
              </w:rPr>
            </w:pPr>
          </w:p>
        </w:tc>
        <w:tc>
          <w:tcPr>
            <w:tcW w:w="581" w:type="pct"/>
            <w:tcBorders>
              <w:tl2br w:val="nil"/>
              <w:tr2bl w:val="nil"/>
            </w:tcBorders>
            <w:vAlign w:val="center"/>
          </w:tcPr>
          <w:p>
            <w:pPr>
              <w:spacing w:line="280" w:lineRule="exact"/>
              <w:jc w:val="center"/>
              <w:rPr>
                <w:rFonts w:eastAsiaTheme="minorEastAsia"/>
                <w:szCs w:val="21"/>
              </w:rPr>
            </w:pPr>
            <w:r>
              <w:rPr>
                <w:rFonts w:eastAsiaTheme="minorEastAsia"/>
                <w:szCs w:val="21"/>
              </w:rPr>
              <w:t>浓度</w:t>
            </w:r>
            <w:r>
              <w:rPr>
                <w:rFonts w:eastAsiaTheme="minorEastAsia"/>
                <w:kern w:val="0"/>
                <w:szCs w:val="21"/>
              </w:rPr>
              <w:t>μg/m</w:t>
            </w:r>
            <w:r>
              <w:rPr>
                <w:rFonts w:eastAsiaTheme="minorEastAsia"/>
                <w:kern w:val="0"/>
                <w:szCs w:val="21"/>
                <w:vertAlign w:val="superscript"/>
              </w:rPr>
              <w:t>3</w:t>
            </w:r>
          </w:p>
        </w:tc>
        <w:tc>
          <w:tcPr>
            <w:tcW w:w="581" w:type="pct"/>
            <w:tcBorders>
              <w:tl2br w:val="nil"/>
              <w:tr2bl w:val="nil"/>
            </w:tcBorders>
            <w:vAlign w:val="center"/>
          </w:tcPr>
          <w:p>
            <w:pPr>
              <w:spacing w:line="280" w:lineRule="exact"/>
              <w:jc w:val="center"/>
              <w:rPr>
                <w:rFonts w:eastAsiaTheme="minorEastAsia"/>
                <w:szCs w:val="21"/>
              </w:rPr>
            </w:pPr>
            <w:r>
              <w:rPr>
                <w:rFonts w:eastAsiaTheme="minorEastAsia"/>
                <w:szCs w:val="21"/>
              </w:rPr>
              <w:t>占标率%</w:t>
            </w:r>
          </w:p>
        </w:tc>
        <w:tc>
          <w:tcPr>
            <w:tcW w:w="581" w:type="pct"/>
            <w:tcBorders>
              <w:tl2br w:val="nil"/>
              <w:tr2bl w:val="nil"/>
            </w:tcBorders>
            <w:vAlign w:val="center"/>
          </w:tcPr>
          <w:p>
            <w:pPr>
              <w:spacing w:line="280" w:lineRule="exact"/>
              <w:jc w:val="center"/>
              <w:rPr>
                <w:rFonts w:eastAsiaTheme="minorEastAsia"/>
                <w:szCs w:val="21"/>
              </w:rPr>
            </w:pPr>
            <w:r>
              <w:rPr>
                <w:rFonts w:eastAsiaTheme="minorEastAsia"/>
                <w:szCs w:val="21"/>
              </w:rPr>
              <w:t>浓度</w:t>
            </w:r>
            <w:r>
              <w:rPr>
                <w:rFonts w:eastAsiaTheme="minorEastAsia"/>
                <w:kern w:val="0"/>
                <w:szCs w:val="21"/>
              </w:rPr>
              <w:t>μg/m</w:t>
            </w:r>
            <w:r>
              <w:rPr>
                <w:rFonts w:eastAsiaTheme="minorEastAsia"/>
                <w:kern w:val="0"/>
                <w:szCs w:val="21"/>
                <w:vertAlign w:val="superscript"/>
              </w:rPr>
              <w:t>3</w:t>
            </w:r>
          </w:p>
        </w:tc>
        <w:tc>
          <w:tcPr>
            <w:tcW w:w="581" w:type="pct"/>
            <w:tcBorders>
              <w:tl2br w:val="nil"/>
              <w:tr2bl w:val="nil"/>
            </w:tcBorders>
            <w:vAlign w:val="center"/>
          </w:tcPr>
          <w:p>
            <w:pPr>
              <w:spacing w:line="280" w:lineRule="exact"/>
              <w:jc w:val="center"/>
              <w:rPr>
                <w:rFonts w:eastAsiaTheme="minorEastAsia"/>
                <w:szCs w:val="21"/>
              </w:rPr>
            </w:pPr>
            <w:r>
              <w:rPr>
                <w:rFonts w:eastAsiaTheme="minorEastAsia"/>
                <w:szCs w:val="21"/>
              </w:rPr>
              <w:t>占标率%</w:t>
            </w:r>
          </w:p>
        </w:tc>
        <w:tc>
          <w:tcPr>
            <w:tcW w:w="581" w:type="pct"/>
            <w:tcBorders>
              <w:tl2br w:val="nil"/>
              <w:tr2bl w:val="nil"/>
            </w:tcBorders>
            <w:vAlign w:val="center"/>
          </w:tcPr>
          <w:p>
            <w:pPr>
              <w:spacing w:line="280" w:lineRule="exact"/>
              <w:jc w:val="center"/>
              <w:rPr>
                <w:rFonts w:eastAsiaTheme="minorEastAsia"/>
                <w:szCs w:val="21"/>
              </w:rPr>
            </w:pPr>
            <w:r>
              <w:rPr>
                <w:rFonts w:eastAsiaTheme="minorEastAsia"/>
                <w:szCs w:val="21"/>
              </w:rPr>
              <w:t>浓度</w:t>
            </w:r>
            <w:r>
              <w:rPr>
                <w:rFonts w:eastAsiaTheme="minorEastAsia"/>
                <w:kern w:val="0"/>
                <w:szCs w:val="21"/>
              </w:rPr>
              <w:t>μg/m</w:t>
            </w:r>
            <w:r>
              <w:rPr>
                <w:rFonts w:eastAsiaTheme="minorEastAsia"/>
                <w:kern w:val="0"/>
                <w:szCs w:val="21"/>
                <w:vertAlign w:val="superscript"/>
              </w:rPr>
              <w:t>3</w:t>
            </w:r>
          </w:p>
        </w:tc>
        <w:tc>
          <w:tcPr>
            <w:tcW w:w="584" w:type="pct"/>
            <w:tcBorders>
              <w:tl2br w:val="nil"/>
              <w:tr2bl w:val="nil"/>
            </w:tcBorders>
            <w:vAlign w:val="center"/>
          </w:tcPr>
          <w:p>
            <w:pPr>
              <w:spacing w:line="280" w:lineRule="exact"/>
              <w:jc w:val="center"/>
              <w:rPr>
                <w:rFonts w:eastAsiaTheme="minorEastAsia"/>
                <w:szCs w:val="21"/>
              </w:rPr>
            </w:pPr>
            <w:r>
              <w:rPr>
                <w:rFonts w:eastAsiaTheme="minorEastAsia"/>
                <w:szCs w:val="21"/>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50</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0.099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0.992 </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3.533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1.766 </w:t>
            </w:r>
          </w:p>
        </w:tc>
        <w:tc>
          <w:tcPr>
            <w:tcW w:w="990"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12.703 </w:t>
            </w:r>
          </w:p>
        </w:tc>
        <w:tc>
          <w:tcPr>
            <w:tcW w:w="997"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1.411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100</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0.138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1.383 </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4.922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2.461 </w:t>
            </w:r>
          </w:p>
        </w:tc>
        <w:tc>
          <w:tcPr>
            <w:tcW w:w="990"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17.699 </w:t>
            </w:r>
          </w:p>
        </w:tc>
        <w:tc>
          <w:tcPr>
            <w:tcW w:w="997"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1.967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shd w:val="clear" w:color="auto" w:fill="E7E6E6" w:themeFill="background2"/>
            <w:vAlign w:val="center"/>
          </w:tcPr>
          <w:p>
            <w:pPr>
              <w:widowControl/>
              <w:jc w:val="center"/>
              <w:textAlignment w:val="center"/>
              <w:rPr>
                <w:rFonts w:eastAsia="SimSun-ExtB"/>
                <w:kern w:val="0"/>
                <w:szCs w:val="21"/>
              </w:rPr>
            </w:pPr>
            <w:r>
              <w:rPr>
                <w:rFonts w:hint="eastAsia" w:ascii="宋体" w:hAnsi="宋体" w:cs="宋体"/>
                <w:kern w:val="0"/>
                <w:szCs w:val="21"/>
              </w:rPr>
              <w:t>178</w:t>
            </w:r>
          </w:p>
        </w:tc>
        <w:tc>
          <w:tcPr>
            <w:tcW w:w="990" w:type="dxa"/>
            <w:tcBorders>
              <w:tl2br w:val="nil"/>
              <w:tr2bl w:val="nil"/>
            </w:tcBorders>
            <w:shd w:val="clear" w:color="auto" w:fill="E7E6E6" w:themeFill="background2"/>
            <w:vAlign w:val="center"/>
          </w:tcPr>
          <w:p>
            <w:pPr>
              <w:widowControl/>
              <w:jc w:val="center"/>
              <w:textAlignment w:val="center"/>
              <w:rPr>
                <w:rFonts w:eastAsiaTheme="minorEastAsia"/>
                <w:szCs w:val="21"/>
              </w:rPr>
            </w:pPr>
            <w:r>
              <w:rPr>
                <w:rFonts w:hint="eastAsia" w:ascii="宋体" w:hAnsi="宋体" w:cs="宋体"/>
                <w:kern w:val="0"/>
                <w:szCs w:val="21"/>
              </w:rPr>
              <w:t xml:space="preserve">0.441 </w:t>
            </w:r>
          </w:p>
        </w:tc>
        <w:tc>
          <w:tcPr>
            <w:tcW w:w="992" w:type="dxa"/>
            <w:tcBorders>
              <w:tl2br w:val="nil"/>
              <w:tr2bl w:val="nil"/>
            </w:tcBorders>
            <w:shd w:val="clear" w:color="auto" w:fill="E7E6E6" w:themeFill="background2"/>
            <w:vAlign w:val="center"/>
          </w:tcPr>
          <w:p>
            <w:pPr>
              <w:widowControl/>
              <w:jc w:val="center"/>
              <w:textAlignment w:val="center"/>
              <w:rPr>
                <w:rFonts w:eastAsiaTheme="minorEastAsia"/>
                <w:szCs w:val="21"/>
              </w:rPr>
            </w:pPr>
            <w:r>
              <w:rPr>
                <w:rFonts w:hint="eastAsia" w:ascii="宋体" w:hAnsi="宋体" w:cs="宋体"/>
                <w:kern w:val="0"/>
                <w:szCs w:val="21"/>
              </w:rPr>
              <w:t xml:space="preserve">4.408 </w:t>
            </w:r>
          </w:p>
        </w:tc>
        <w:tc>
          <w:tcPr>
            <w:tcW w:w="990" w:type="dxa"/>
            <w:tcBorders>
              <w:tl2br w:val="nil"/>
              <w:tr2bl w:val="nil"/>
            </w:tcBorders>
            <w:shd w:val="clear" w:color="auto" w:fill="E7E6E6" w:themeFill="background2"/>
            <w:vAlign w:val="center"/>
          </w:tcPr>
          <w:p>
            <w:pPr>
              <w:widowControl/>
              <w:jc w:val="center"/>
              <w:textAlignment w:val="center"/>
              <w:rPr>
                <w:rFonts w:eastAsiaTheme="minorEastAsia"/>
                <w:szCs w:val="21"/>
              </w:rPr>
            </w:pPr>
            <w:r>
              <w:rPr>
                <w:rFonts w:hint="eastAsia" w:ascii="宋体" w:hAnsi="宋体" w:cs="宋体"/>
                <w:kern w:val="0"/>
                <w:szCs w:val="21"/>
              </w:rPr>
              <w:t xml:space="preserve">15.694 </w:t>
            </w:r>
          </w:p>
        </w:tc>
        <w:tc>
          <w:tcPr>
            <w:tcW w:w="992" w:type="dxa"/>
            <w:tcBorders>
              <w:tl2br w:val="nil"/>
              <w:tr2bl w:val="nil"/>
            </w:tcBorders>
            <w:shd w:val="clear" w:color="auto" w:fill="E7E6E6" w:themeFill="background2"/>
            <w:vAlign w:val="center"/>
          </w:tcPr>
          <w:p>
            <w:pPr>
              <w:widowControl/>
              <w:jc w:val="center"/>
              <w:textAlignment w:val="center"/>
              <w:rPr>
                <w:rFonts w:eastAsiaTheme="minorEastAsia"/>
                <w:szCs w:val="21"/>
              </w:rPr>
            </w:pPr>
            <w:r>
              <w:rPr>
                <w:rFonts w:hint="eastAsia" w:ascii="宋体" w:hAnsi="宋体" w:cs="宋体"/>
                <w:kern w:val="0"/>
                <w:szCs w:val="21"/>
              </w:rPr>
              <w:t xml:space="preserve">7.847 </w:t>
            </w:r>
          </w:p>
        </w:tc>
        <w:tc>
          <w:tcPr>
            <w:tcW w:w="990" w:type="dxa"/>
            <w:tcBorders>
              <w:tl2br w:val="nil"/>
              <w:tr2bl w:val="nil"/>
            </w:tcBorders>
            <w:shd w:val="clear" w:color="auto" w:fill="E7E6E6" w:themeFill="background2"/>
            <w:vAlign w:val="center"/>
          </w:tcPr>
          <w:p>
            <w:pPr>
              <w:widowControl/>
              <w:jc w:val="center"/>
              <w:textAlignment w:val="center"/>
              <w:rPr>
                <w:szCs w:val="21"/>
              </w:rPr>
            </w:pPr>
            <w:r>
              <w:rPr>
                <w:rFonts w:hint="eastAsia" w:ascii="宋体" w:hAnsi="宋体" w:cs="宋体"/>
                <w:color w:val="000000"/>
                <w:kern w:val="0"/>
                <w:szCs w:val="21"/>
              </w:rPr>
              <w:t xml:space="preserve">56.426 </w:t>
            </w:r>
          </w:p>
        </w:tc>
        <w:tc>
          <w:tcPr>
            <w:tcW w:w="997" w:type="dxa"/>
            <w:tcBorders>
              <w:tl2br w:val="nil"/>
              <w:tr2bl w:val="nil"/>
            </w:tcBorders>
            <w:shd w:val="clear" w:color="auto" w:fill="E7E6E6" w:themeFill="background2"/>
            <w:vAlign w:val="center"/>
          </w:tcPr>
          <w:p>
            <w:pPr>
              <w:widowControl/>
              <w:jc w:val="center"/>
              <w:textAlignment w:val="center"/>
              <w:rPr>
                <w:szCs w:val="21"/>
              </w:rPr>
            </w:pPr>
            <w:r>
              <w:rPr>
                <w:rFonts w:hint="eastAsia" w:ascii="宋体" w:hAnsi="宋体" w:cs="宋体"/>
                <w:color w:val="000000"/>
                <w:kern w:val="0"/>
                <w:szCs w:val="21"/>
              </w:rPr>
              <w:t xml:space="preserve">6.27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shd w:val="clear" w:color="auto" w:fill="auto"/>
            <w:vAlign w:val="center"/>
          </w:tcPr>
          <w:p>
            <w:pPr>
              <w:widowControl/>
              <w:jc w:val="center"/>
              <w:textAlignment w:val="center"/>
              <w:rPr>
                <w:rFonts w:eastAsia="SimSun-ExtB"/>
                <w:kern w:val="0"/>
                <w:szCs w:val="21"/>
              </w:rPr>
            </w:pPr>
            <w:r>
              <w:rPr>
                <w:rFonts w:hint="eastAsia" w:ascii="宋体" w:hAnsi="宋体" w:cs="宋体"/>
                <w:kern w:val="0"/>
                <w:szCs w:val="21"/>
              </w:rPr>
              <w:t>200</w:t>
            </w:r>
          </w:p>
        </w:tc>
        <w:tc>
          <w:tcPr>
            <w:tcW w:w="990"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0.435 </w:t>
            </w:r>
          </w:p>
        </w:tc>
        <w:tc>
          <w:tcPr>
            <w:tcW w:w="992"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4.354 </w:t>
            </w:r>
          </w:p>
        </w:tc>
        <w:tc>
          <w:tcPr>
            <w:tcW w:w="990"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15.499 </w:t>
            </w:r>
          </w:p>
        </w:tc>
        <w:tc>
          <w:tcPr>
            <w:tcW w:w="992"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7.749 </w:t>
            </w:r>
          </w:p>
        </w:tc>
        <w:tc>
          <w:tcPr>
            <w:tcW w:w="990" w:type="dxa"/>
            <w:tcBorders>
              <w:tl2br w:val="nil"/>
              <w:tr2bl w:val="nil"/>
            </w:tcBorders>
            <w:shd w:val="clear" w:color="auto" w:fill="auto"/>
            <w:vAlign w:val="center"/>
          </w:tcPr>
          <w:p>
            <w:pPr>
              <w:widowControl/>
              <w:jc w:val="center"/>
              <w:textAlignment w:val="center"/>
              <w:rPr>
                <w:szCs w:val="21"/>
              </w:rPr>
            </w:pPr>
            <w:r>
              <w:rPr>
                <w:rFonts w:hint="eastAsia" w:ascii="宋体" w:hAnsi="宋体" w:cs="宋体"/>
                <w:kern w:val="0"/>
                <w:szCs w:val="21"/>
              </w:rPr>
              <w:t xml:space="preserve">55.725 </w:t>
            </w:r>
          </w:p>
        </w:tc>
        <w:tc>
          <w:tcPr>
            <w:tcW w:w="997" w:type="dxa"/>
            <w:tcBorders>
              <w:tl2br w:val="nil"/>
              <w:tr2bl w:val="nil"/>
            </w:tcBorders>
            <w:shd w:val="clear" w:color="auto" w:fill="auto"/>
            <w:vAlign w:val="center"/>
          </w:tcPr>
          <w:p>
            <w:pPr>
              <w:widowControl/>
              <w:jc w:val="center"/>
              <w:textAlignment w:val="center"/>
              <w:rPr>
                <w:szCs w:val="21"/>
              </w:rPr>
            </w:pPr>
            <w:r>
              <w:rPr>
                <w:rFonts w:hint="eastAsia" w:ascii="宋体" w:hAnsi="宋体" w:cs="宋体"/>
                <w:kern w:val="0"/>
                <w:szCs w:val="21"/>
              </w:rPr>
              <w:t xml:space="preserve">6.192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300</w:t>
            </w:r>
          </w:p>
        </w:tc>
        <w:tc>
          <w:tcPr>
            <w:tcW w:w="990"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0.409 </w:t>
            </w:r>
          </w:p>
        </w:tc>
        <w:tc>
          <w:tcPr>
            <w:tcW w:w="992"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4.088 </w:t>
            </w:r>
          </w:p>
        </w:tc>
        <w:tc>
          <w:tcPr>
            <w:tcW w:w="990"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14.552 </w:t>
            </w:r>
          </w:p>
        </w:tc>
        <w:tc>
          <w:tcPr>
            <w:tcW w:w="992"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7.276 </w:t>
            </w:r>
          </w:p>
        </w:tc>
        <w:tc>
          <w:tcPr>
            <w:tcW w:w="990" w:type="dxa"/>
            <w:tcBorders>
              <w:tl2br w:val="nil"/>
              <w:tr2bl w:val="nil"/>
            </w:tcBorders>
            <w:shd w:val="clear" w:color="auto" w:fill="auto"/>
            <w:vAlign w:val="center"/>
          </w:tcPr>
          <w:p>
            <w:pPr>
              <w:widowControl/>
              <w:jc w:val="center"/>
              <w:textAlignment w:val="center"/>
              <w:rPr>
                <w:szCs w:val="21"/>
              </w:rPr>
            </w:pPr>
            <w:r>
              <w:rPr>
                <w:rFonts w:hint="eastAsia" w:ascii="宋体" w:hAnsi="宋体" w:cs="宋体"/>
                <w:kern w:val="0"/>
                <w:szCs w:val="21"/>
              </w:rPr>
              <w:t xml:space="preserve">52.321 </w:t>
            </w:r>
          </w:p>
        </w:tc>
        <w:tc>
          <w:tcPr>
            <w:tcW w:w="997" w:type="dxa"/>
            <w:tcBorders>
              <w:tl2br w:val="nil"/>
              <w:tr2bl w:val="nil"/>
            </w:tcBorders>
            <w:shd w:val="clear" w:color="auto" w:fill="auto"/>
            <w:vAlign w:val="center"/>
          </w:tcPr>
          <w:p>
            <w:pPr>
              <w:widowControl/>
              <w:jc w:val="center"/>
              <w:textAlignment w:val="center"/>
              <w:rPr>
                <w:szCs w:val="21"/>
              </w:rPr>
            </w:pPr>
            <w:r>
              <w:rPr>
                <w:rFonts w:hint="eastAsia" w:ascii="宋体" w:hAnsi="宋体" w:cs="宋体"/>
                <w:kern w:val="0"/>
                <w:szCs w:val="21"/>
              </w:rPr>
              <w:t xml:space="preserve">5.813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400</w:t>
            </w:r>
          </w:p>
        </w:tc>
        <w:tc>
          <w:tcPr>
            <w:tcW w:w="990"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0.379 </w:t>
            </w:r>
          </w:p>
        </w:tc>
        <w:tc>
          <w:tcPr>
            <w:tcW w:w="992"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3.788 </w:t>
            </w:r>
          </w:p>
        </w:tc>
        <w:tc>
          <w:tcPr>
            <w:tcW w:w="990"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13.486 </w:t>
            </w:r>
          </w:p>
        </w:tc>
        <w:tc>
          <w:tcPr>
            <w:tcW w:w="992" w:type="dxa"/>
            <w:tcBorders>
              <w:tl2br w:val="nil"/>
              <w:tr2bl w:val="nil"/>
            </w:tcBorders>
            <w:shd w:val="clear" w:color="auto" w:fill="auto"/>
            <w:vAlign w:val="center"/>
          </w:tcPr>
          <w:p>
            <w:pPr>
              <w:widowControl/>
              <w:jc w:val="center"/>
              <w:textAlignment w:val="center"/>
              <w:rPr>
                <w:rFonts w:eastAsiaTheme="minorEastAsia"/>
                <w:szCs w:val="21"/>
              </w:rPr>
            </w:pPr>
            <w:r>
              <w:rPr>
                <w:rFonts w:hint="eastAsia" w:ascii="宋体" w:hAnsi="宋体" w:cs="宋体"/>
                <w:kern w:val="0"/>
                <w:szCs w:val="21"/>
              </w:rPr>
              <w:t xml:space="preserve">6.743 </w:t>
            </w:r>
          </w:p>
        </w:tc>
        <w:tc>
          <w:tcPr>
            <w:tcW w:w="990" w:type="dxa"/>
            <w:tcBorders>
              <w:tl2br w:val="nil"/>
              <w:tr2bl w:val="nil"/>
            </w:tcBorders>
            <w:shd w:val="clear" w:color="auto" w:fill="auto"/>
            <w:vAlign w:val="center"/>
          </w:tcPr>
          <w:p>
            <w:pPr>
              <w:widowControl/>
              <w:jc w:val="center"/>
              <w:textAlignment w:val="center"/>
              <w:rPr>
                <w:szCs w:val="21"/>
              </w:rPr>
            </w:pPr>
            <w:r>
              <w:rPr>
                <w:rFonts w:hint="eastAsia" w:ascii="宋体" w:hAnsi="宋体" w:cs="宋体"/>
                <w:kern w:val="0"/>
                <w:szCs w:val="21"/>
              </w:rPr>
              <w:t xml:space="preserve">48.489 </w:t>
            </w:r>
          </w:p>
        </w:tc>
        <w:tc>
          <w:tcPr>
            <w:tcW w:w="997" w:type="dxa"/>
            <w:tcBorders>
              <w:tl2br w:val="nil"/>
              <w:tr2bl w:val="nil"/>
            </w:tcBorders>
            <w:shd w:val="clear" w:color="auto" w:fill="auto"/>
            <w:vAlign w:val="center"/>
          </w:tcPr>
          <w:p>
            <w:pPr>
              <w:widowControl/>
              <w:jc w:val="center"/>
              <w:textAlignment w:val="center"/>
              <w:rPr>
                <w:szCs w:val="21"/>
              </w:rPr>
            </w:pPr>
            <w:r>
              <w:rPr>
                <w:rFonts w:hint="eastAsia" w:ascii="宋体" w:hAnsi="宋体" w:cs="宋体"/>
                <w:kern w:val="0"/>
                <w:szCs w:val="21"/>
              </w:rPr>
              <w:t xml:space="preserve">5.388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500</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0.358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3.578 </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12.736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6.368 </w:t>
            </w:r>
          </w:p>
        </w:tc>
        <w:tc>
          <w:tcPr>
            <w:tcW w:w="990"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45.792 </w:t>
            </w:r>
          </w:p>
        </w:tc>
        <w:tc>
          <w:tcPr>
            <w:tcW w:w="997"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5.088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600</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0.331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3.307 </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11.772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5.886 </w:t>
            </w:r>
          </w:p>
        </w:tc>
        <w:tc>
          <w:tcPr>
            <w:tcW w:w="990"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42.325 </w:t>
            </w:r>
          </w:p>
        </w:tc>
        <w:tc>
          <w:tcPr>
            <w:tcW w:w="997"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4.703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700</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0.290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2.904 </w:t>
            </w:r>
          </w:p>
        </w:tc>
        <w:tc>
          <w:tcPr>
            <w:tcW w:w="990"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10.338 </w:t>
            </w:r>
          </w:p>
        </w:tc>
        <w:tc>
          <w:tcPr>
            <w:tcW w:w="992" w:type="dxa"/>
            <w:tcBorders>
              <w:tl2br w:val="nil"/>
              <w:tr2bl w:val="nil"/>
            </w:tcBorders>
            <w:vAlign w:val="center"/>
          </w:tcPr>
          <w:p>
            <w:pPr>
              <w:widowControl/>
              <w:jc w:val="center"/>
              <w:textAlignment w:val="center"/>
              <w:rPr>
                <w:rFonts w:eastAsiaTheme="minorEastAsia"/>
                <w:szCs w:val="21"/>
              </w:rPr>
            </w:pPr>
            <w:r>
              <w:rPr>
                <w:rFonts w:hint="eastAsia" w:ascii="宋体" w:hAnsi="宋体" w:cs="宋体"/>
                <w:kern w:val="0"/>
                <w:szCs w:val="21"/>
              </w:rPr>
              <w:t xml:space="preserve">5.169 </w:t>
            </w:r>
          </w:p>
        </w:tc>
        <w:tc>
          <w:tcPr>
            <w:tcW w:w="990"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37.171 </w:t>
            </w:r>
          </w:p>
        </w:tc>
        <w:tc>
          <w:tcPr>
            <w:tcW w:w="997" w:type="dxa"/>
            <w:tcBorders>
              <w:tl2br w:val="nil"/>
              <w:tr2bl w:val="nil"/>
            </w:tcBorders>
            <w:vAlign w:val="center"/>
          </w:tcPr>
          <w:p>
            <w:pPr>
              <w:widowControl/>
              <w:jc w:val="center"/>
              <w:textAlignment w:val="center"/>
              <w:rPr>
                <w:szCs w:val="21"/>
              </w:rPr>
            </w:pPr>
            <w:r>
              <w:rPr>
                <w:rFonts w:hint="eastAsia" w:ascii="宋体" w:hAnsi="宋体" w:cs="宋体"/>
                <w:kern w:val="0"/>
                <w:szCs w:val="21"/>
              </w:rPr>
              <w:t xml:space="preserve">4.130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800</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0.282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2.817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10.028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5.014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36.054 </w:t>
            </w:r>
          </w:p>
        </w:tc>
        <w:tc>
          <w:tcPr>
            <w:tcW w:w="997"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4.006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900</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0.235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2.349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8.362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4.181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30.066 </w:t>
            </w:r>
          </w:p>
        </w:tc>
        <w:tc>
          <w:tcPr>
            <w:tcW w:w="997"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3.341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1000</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0.243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2.435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8.668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4.334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31.167 </w:t>
            </w:r>
          </w:p>
        </w:tc>
        <w:tc>
          <w:tcPr>
            <w:tcW w:w="997"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3.463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68"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2000</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0.062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0.617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2.198 </w:t>
            </w:r>
          </w:p>
        </w:tc>
        <w:tc>
          <w:tcPr>
            <w:tcW w:w="992"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1.099 </w:t>
            </w:r>
          </w:p>
        </w:tc>
        <w:tc>
          <w:tcPr>
            <w:tcW w:w="990"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7.902 </w:t>
            </w:r>
          </w:p>
        </w:tc>
        <w:tc>
          <w:tcPr>
            <w:tcW w:w="997" w:type="dxa"/>
            <w:tcBorders>
              <w:tl2br w:val="nil"/>
              <w:tr2bl w:val="nil"/>
            </w:tcBorders>
            <w:vAlign w:val="center"/>
          </w:tcPr>
          <w:p>
            <w:pPr>
              <w:widowControl/>
              <w:jc w:val="center"/>
              <w:textAlignment w:val="center"/>
              <w:rPr>
                <w:rFonts w:eastAsia="SimSun-ExtB"/>
                <w:kern w:val="0"/>
                <w:szCs w:val="21"/>
              </w:rPr>
            </w:pPr>
            <w:r>
              <w:rPr>
                <w:rFonts w:hint="eastAsia" w:ascii="宋体" w:hAnsi="宋体" w:cs="宋体"/>
                <w:kern w:val="0"/>
                <w:szCs w:val="21"/>
              </w:rPr>
              <w:t xml:space="preserve">0.878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1507" w:type="pct"/>
            <w:tcBorders>
              <w:tl2br w:val="nil"/>
              <w:tr2bl w:val="nil"/>
            </w:tcBorders>
            <w:shd w:val="clear" w:color="auto" w:fill="E7E6E6" w:themeFill="background2"/>
            <w:vAlign w:val="center"/>
          </w:tcPr>
          <w:p>
            <w:pPr>
              <w:widowControl/>
              <w:spacing w:line="280" w:lineRule="exact"/>
              <w:jc w:val="center"/>
              <w:textAlignment w:val="center"/>
              <w:rPr>
                <w:rFonts w:eastAsiaTheme="minorEastAsia"/>
                <w:color w:val="000000"/>
                <w:kern w:val="0"/>
                <w:szCs w:val="21"/>
              </w:rPr>
            </w:pPr>
            <w:r>
              <w:rPr>
                <w:rFonts w:eastAsiaTheme="minorEastAsia"/>
                <w:color w:val="000000"/>
                <w:kern w:val="0"/>
                <w:szCs w:val="21"/>
              </w:rPr>
              <w:t>下风向最大浓度</w:t>
            </w:r>
            <w:r>
              <w:rPr>
                <w:rFonts w:hint="eastAsia"/>
                <w:color w:val="000000"/>
                <w:kern w:val="0"/>
                <w:szCs w:val="21"/>
              </w:rPr>
              <w:t>及占标率</w:t>
            </w:r>
          </w:p>
        </w:tc>
        <w:tc>
          <w:tcPr>
            <w:tcW w:w="990" w:type="dxa"/>
            <w:tcBorders>
              <w:tl2br w:val="nil"/>
              <w:tr2bl w:val="nil"/>
            </w:tcBorders>
            <w:shd w:val="clear" w:color="auto" w:fill="E7E6E6" w:themeFill="background2"/>
            <w:vAlign w:val="center"/>
          </w:tcPr>
          <w:p>
            <w:pPr>
              <w:widowControl/>
              <w:jc w:val="center"/>
              <w:textAlignment w:val="center"/>
              <w:rPr>
                <w:rFonts w:eastAsiaTheme="minorEastAsia"/>
                <w:color w:val="000000"/>
                <w:kern w:val="0"/>
                <w:szCs w:val="21"/>
              </w:rPr>
            </w:pPr>
            <w:r>
              <w:rPr>
                <w:rFonts w:hint="eastAsia" w:ascii="宋体" w:hAnsi="宋体" w:cs="宋体"/>
                <w:kern w:val="0"/>
                <w:szCs w:val="21"/>
              </w:rPr>
              <w:t xml:space="preserve">0.441 </w:t>
            </w:r>
          </w:p>
        </w:tc>
        <w:tc>
          <w:tcPr>
            <w:tcW w:w="992" w:type="dxa"/>
            <w:tcBorders>
              <w:tl2br w:val="nil"/>
              <w:tr2bl w:val="nil"/>
            </w:tcBorders>
            <w:shd w:val="clear" w:color="auto" w:fill="E7E6E6" w:themeFill="background2"/>
            <w:vAlign w:val="center"/>
          </w:tcPr>
          <w:p>
            <w:pPr>
              <w:widowControl/>
              <w:jc w:val="center"/>
              <w:textAlignment w:val="center"/>
              <w:rPr>
                <w:rFonts w:eastAsiaTheme="minorEastAsia"/>
                <w:color w:val="000000"/>
                <w:kern w:val="0"/>
                <w:szCs w:val="21"/>
              </w:rPr>
            </w:pPr>
            <w:r>
              <w:rPr>
                <w:rFonts w:hint="eastAsia" w:ascii="宋体" w:hAnsi="宋体" w:cs="宋体"/>
                <w:kern w:val="0"/>
                <w:szCs w:val="21"/>
              </w:rPr>
              <w:t xml:space="preserve">4.41 </w:t>
            </w:r>
          </w:p>
        </w:tc>
        <w:tc>
          <w:tcPr>
            <w:tcW w:w="990" w:type="dxa"/>
            <w:tcBorders>
              <w:tl2br w:val="nil"/>
              <w:tr2bl w:val="nil"/>
            </w:tcBorders>
            <w:shd w:val="clear" w:color="auto" w:fill="E7E6E6" w:themeFill="background2"/>
            <w:vAlign w:val="center"/>
          </w:tcPr>
          <w:p>
            <w:pPr>
              <w:widowControl/>
              <w:jc w:val="center"/>
              <w:textAlignment w:val="center"/>
              <w:rPr>
                <w:rFonts w:eastAsiaTheme="minorEastAsia"/>
                <w:color w:val="000000"/>
                <w:kern w:val="0"/>
                <w:szCs w:val="21"/>
              </w:rPr>
            </w:pPr>
            <w:r>
              <w:rPr>
                <w:rFonts w:hint="eastAsia" w:ascii="宋体" w:hAnsi="宋体" w:cs="宋体"/>
                <w:kern w:val="0"/>
                <w:szCs w:val="21"/>
              </w:rPr>
              <w:t>15.69</w:t>
            </w:r>
          </w:p>
        </w:tc>
        <w:tc>
          <w:tcPr>
            <w:tcW w:w="992" w:type="dxa"/>
            <w:tcBorders>
              <w:tl2br w:val="nil"/>
              <w:tr2bl w:val="nil"/>
            </w:tcBorders>
            <w:shd w:val="clear" w:color="auto" w:fill="E7E6E6" w:themeFill="background2"/>
            <w:vAlign w:val="center"/>
          </w:tcPr>
          <w:p>
            <w:pPr>
              <w:widowControl/>
              <w:jc w:val="center"/>
              <w:textAlignment w:val="center"/>
              <w:rPr>
                <w:rFonts w:eastAsiaTheme="minorEastAsia"/>
                <w:color w:val="000000"/>
                <w:kern w:val="0"/>
                <w:szCs w:val="21"/>
              </w:rPr>
            </w:pPr>
            <w:r>
              <w:rPr>
                <w:rFonts w:hint="eastAsia" w:ascii="宋体" w:hAnsi="宋体" w:cs="宋体"/>
                <w:kern w:val="0"/>
                <w:szCs w:val="21"/>
              </w:rPr>
              <w:t xml:space="preserve">7.85 </w:t>
            </w:r>
          </w:p>
        </w:tc>
        <w:tc>
          <w:tcPr>
            <w:tcW w:w="990" w:type="dxa"/>
            <w:tcBorders>
              <w:tl2br w:val="nil"/>
              <w:tr2bl w:val="nil"/>
            </w:tcBorders>
            <w:shd w:val="clear" w:color="auto" w:fill="E7E6E6" w:themeFill="background2"/>
            <w:vAlign w:val="center"/>
          </w:tcPr>
          <w:p>
            <w:pPr>
              <w:widowControl/>
              <w:jc w:val="center"/>
              <w:textAlignment w:val="center"/>
              <w:rPr>
                <w:szCs w:val="21"/>
              </w:rPr>
            </w:pPr>
            <w:r>
              <w:rPr>
                <w:rFonts w:hint="eastAsia" w:ascii="宋体" w:hAnsi="宋体" w:cs="宋体"/>
                <w:kern w:val="0"/>
                <w:szCs w:val="21"/>
              </w:rPr>
              <w:t>56.43</w:t>
            </w:r>
          </w:p>
        </w:tc>
        <w:tc>
          <w:tcPr>
            <w:tcW w:w="997" w:type="dxa"/>
            <w:tcBorders>
              <w:tl2br w:val="nil"/>
              <w:tr2bl w:val="nil"/>
            </w:tcBorders>
            <w:shd w:val="clear" w:color="auto" w:fill="E7E6E6" w:themeFill="background2"/>
            <w:vAlign w:val="center"/>
          </w:tcPr>
          <w:p>
            <w:pPr>
              <w:widowControl/>
              <w:jc w:val="center"/>
              <w:textAlignment w:val="center"/>
              <w:rPr>
                <w:szCs w:val="21"/>
              </w:rPr>
            </w:pPr>
            <w:r>
              <w:rPr>
                <w:rFonts w:hint="eastAsia" w:ascii="宋体" w:hAnsi="宋体" w:cs="宋体"/>
                <w:kern w:val="0"/>
                <w:szCs w:val="21"/>
              </w:rPr>
              <w:t xml:space="preserve">6.27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507" w:type="pct"/>
            <w:tcBorders>
              <w:tl2br w:val="nil"/>
              <w:tr2bl w:val="nil"/>
            </w:tcBorders>
            <w:vAlign w:val="center"/>
          </w:tcPr>
          <w:p>
            <w:pPr>
              <w:widowControl/>
              <w:spacing w:line="360" w:lineRule="exact"/>
              <w:jc w:val="center"/>
              <w:textAlignment w:val="center"/>
              <w:rPr>
                <w:rFonts w:eastAsiaTheme="minorEastAsia"/>
                <w:color w:val="000000"/>
                <w:kern w:val="0"/>
                <w:szCs w:val="21"/>
              </w:rPr>
            </w:pPr>
            <w:r>
              <w:rPr>
                <w:rFonts w:eastAsiaTheme="minorEastAsia"/>
                <w:color w:val="000000"/>
                <w:kern w:val="0"/>
                <w:szCs w:val="21"/>
              </w:rPr>
              <w:t>D10%</w:t>
            </w:r>
            <w:r>
              <w:rPr>
                <w:rFonts w:hint="eastAsia"/>
                <w:color w:val="000000"/>
                <w:kern w:val="0"/>
                <w:szCs w:val="21"/>
              </w:rPr>
              <w:t>最远距离/m</w:t>
            </w:r>
          </w:p>
        </w:tc>
        <w:tc>
          <w:tcPr>
            <w:tcW w:w="1163" w:type="pct"/>
            <w:gridSpan w:val="2"/>
            <w:tcBorders>
              <w:tl2br w:val="nil"/>
              <w:tr2bl w:val="nil"/>
            </w:tcBorders>
            <w:vAlign w:val="center"/>
          </w:tcPr>
          <w:p>
            <w:pPr>
              <w:widowControl/>
              <w:spacing w:line="360" w:lineRule="exact"/>
              <w:jc w:val="center"/>
              <w:textAlignment w:val="center"/>
              <w:rPr>
                <w:rFonts w:eastAsiaTheme="minorEastAsia"/>
                <w:color w:val="000000"/>
                <w:kern w:val="0"/>
                <w:szCs w:val="21"/>
              </w:rPr>
            </w:pPr>
            <w:r>
              <w:rPr>
                <w:rFonts w:eastAsiaTheme="minorEastAsia"/>
                <w:color w:val="000000"/>
                <w:kern w:val="0"/>
                <w:szCs w:val="21"/>
              </w:rPr>
              <w:t>0</w:t>
            </w:r>
          </w:p>
        </w:tc>
        <w:tc>
          <w:tcPr>
            <w:tcW w:w="1163" w:type="pct"/>
            <w:gridSpan w:val="2"/>
            <w:tcBorders>
              <w:tl2br w:val="nil"/>
              <w:tr2bl w:val="nil"/>
            </w:tcBorders>
            <w:vAlign w:val="center"/>
          </w:tcPr>
          <w:p>
            <w:pPr>
              <w:widowControl/>
              <w:spacing w:line="360" w:lineRule="exact"/>
              <w:jc w:val="center"/>
              <w:textAlignment w:val="center"/>
              <w:rPr>
                <w:rFonts w:eastAsiaTheme="minorEastAsia"/>
                <w:color w:val="000000"/>
                <w:kern w:val="0"/>
                <w:szCs w:val="21"/>
              </w:rPr>
            </w:pPr>
            <w:r>
              <w:rPr>
                <w:rFonts w:hint="eastAsia" w:eastAsiaTheme="minorEastAsia"/>
                <w:color w:val="000000"/>
                <w:kern w:val="0"/>
                <w:szCs w:val="21"/>
              </w:rPr>
              <w:t>0</w:t>
            </w:r>
          </w:p>
        </w:tc>
        <w:tc>
          <w:tcPr>
            <w:tcW w:w="1166" w:type="pct"/>
            <w:gridSpan w:val="2"/>
            <w:tcBorders>
              <w:tl2br w:val="nil"/>
              <w:tr2bl w:val="nil"/>
            </w:tcBorders>
            <w:vAlign w:val="center"/>
          </w:tcPr>
          <w:p>
            <w:pPr>
              <w:widowControl/>
              <w:spacing w:line="360" w:lineRule="exact"/>
              <w:jc w:val="center"/>
              <w:textAlignment w:val="center"/>
              <w:rPr>
                <w:rFonts w:eastAsiaTheme="minorEastAsia"/>
                <w:color w:val="000000"/>
                <w:kern w:val="0"/>
                <w:szCs w:val="21"/>
              </w:rPr>
            </w:pPr>
          </w:p>
        </w:tc>
      </w:tr>
    </w:tbl>
    <w:p>
      <w:pPr>
        <w:spacing w:line="240" w:lineRule="exact"/>
        <w:jc w:val="center"/>
        <w:rPr>
          <w:rFonts w:eastAsiaTheme="minorEastAsia"/>
          <w:b/>
          <w:bCs/>
          <w:sz w:val="24"/>
        </w:rPr>
      </w:pPr>
    </w:p>
    <w:p>
      <w:pPr>
        <w:jc w:val="center"/>
        <w:rPr>
          <w:rFonts w:eastAsiaTheme="minorEastAsia"/>
          <w:b/>
          <w:bCs/>
          <w:sz w:val="24"/>
        </w:rPr>
      </w:pPr>
      <w:r>
        <w:rPr>
          <w:rFonts w:hint="eastAsia" w:eastAsiaTheme="minorEastAsia"/>
          <w:b/>
          <w:bCs/>
          <w:sz w:val="24"/>
        </w:rPr>
        <w:drawing>
          <wp:inline distT="0" distB="0" distL="114300" distR="114300">
            <wp:extent cx="5264785" cy="3188970"/>
            <wp:effectExtent l="0" t="0" r="12065" b="11430"/>
            <wp:docPr id="11" name="图片 11" descr="浓度趋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浓度趋势图"/>
                    <pic:cNvPicPr>
                      <a:picLocks noChangeAspect="1"/>
                    </pic:cNvPicPr>
                  </pic:nvPicPr>
                  <pic:blipFill>
                    <a:blip r:embed="rId58" cstate="print"/>
                    <a:stretch>
                      <a:fillRect/>
                    </a:stretch>
                  </pic:blipFill>
                  <pic:spPr>
                    <a:xfrm>
                      <a:off x="0" y="0"/>
                      <a:ext cx="5264785" cy="3188970"/>
                    </a:xfrm>
                    <a:prstGeom prst="rect">
                      <a:avLst/>
                    </a:prstGeom>
                  </pic:spPr>
                </pic:pic>
              </a:graphicData>
            </a:graphic>
          </wp:inline>
        </w:drawing>
      </w:r>
    </w:p>
    <w:p>
      <w:pPr>
        <w:jc w:val="center"/>
        <w:rPr>
          <w:rFonts w:eastAsiaTheme="minorEastAsia"/>
          <w:b/>
          <w:bCs/>
          <w:sz w:val="24"/>
        </w:rPr>
      </w:pPr>
      <w:r>
        <w:rPr>
          <w:rFonts w:hint="eastAsia"/>
          <w:b/>
          <w:bCs/>
          <w:sz w:val="24"/>
        </w:rPr>
        <w:t>项目污染物浓度</w:t>
      </w:r>
      <w:r>
        <w:rPr>
          <w:rFonts w:eastAsiaTheme="minorEastAsia"/>
          <w:b/>
          <w:bCs/>
          <w:sz w:val="24"/>
        </w:rPr>
        <w:t>随距离的变化规律</w:t>
      </w:r>
    </w:p>
    <w:p>
      <w:pPr>
        <w:jc w:val="center"/>
        <w:rPr>
          <w:rFonts w:eastAsiaTheme="minorEastAsia"/>
          <w:b/>
          <w:bCs/>
          <w:sz w:val="24"/>
        </w:rPr>
      </w:pPr>
      <w:r>
        <w:rPr>
          <w:rFonts w:hint="eastAsia" w:eastAsiaTheme="minorEastAsia"/>
          <w:b/>
          <w:bCs/>
          <w:sz w:val="24"/>
        </w:rPr>
        <w:drawing>
          <wp:inline distT="0" distB="0" distL="114300" distR="114300">
            <wp:extent cx="5264785" cy="3188970"/>
            <wp:effectExtent l="0" t="0" r="12065" b="11430"/>
            <wp:docPr id="13" name="图片 13" descr="占标率趋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占标率趋势图"/>
                    <pic:cNvPicPr>
                      <a:picLocks noChangeAspect="1"/>
                    </pic:cNvPicPr>
                  </pic:nvPicPr>
                  <pic:blipFill>
                    <a:blip r:embed="rId59" cstate="print"/>
                    <a:stretch>
                      <a:fillRect/>
                    </a:stretch>
                  </pic:blipFill>
                  <pic:spPr>
                    <a:xfrm>
                      <a:off x="0" y="0"/>
                      <a:ext cx="5264785" cy="3188970"/>
                    </a:xfrm>
                    <a:prstGeom prst="rect">
                      <a:avLst/>
                    </a:prstGeom>
                  </pic:spPr>
                </pic:pic>
              </a:graphicData>
            </a:graphic>
          </wp:inline>
        </w:drawing>
      </w:r>
    </w:p>
    <w:p>
      <w:pPr>
        <w:spacing w:line="500" w:lineRule="exact"/>
        <w:jc w:val="center"/>
        <w:rPr>
          <w:rFonts w:eastAsiaTheme="minorEastAsia"/>
          <w:b/>
          <w:bCs/>
          <w:sz w:val="24"/>
        </w:rPr>
      </w:pPr>
      <w:r>
        <w:rPr>
          <w:rFonts w:hint="eastAsia"/>
          <w:b/>
          <w:bCs/>
          <w:sz w:val="24"/>
        </w:rPr>
        <w:t>项目污染物占标率</w:t>
      </w:r>
      <w:r>
        <w:rPr>
          <w:rFonts w:eastAsiaTheme="minorEastAsia"/>
          <w:b/>
          <w:bCs/>
          <w:sz w:val="24"/>
        </w:rPr>
        <w:t>随距离的变化规律</w:t>
      </w:r>
    </w:p>
    <w:p>
      <w:pPr>
        <w:spacing w:line="480" w:lineRule="exact"/>
        <w:ind w:firstLine="482" w:firstLineChars="200"/>
        <w:rPr>
          <w:rFonts w:eastAsiaTheme="minorEastAsia"/>
          <w:b/>
          <w:bCs/>
          <w:sz w:val="24"/>
        </w:rPr>
      </w:pPr>
      <w:r>
        <w:rPr>
          <w:b/>
          <w:bCs/>
          <w:sz w:val="24"/>
        </w:rPr>
        <w:t>（</w:t>
      </w:r>
      <w:r>
        <w:rPr>
          <w:rFonts w:hint="eastAsia"/>
          <w:b/>
          <w:bCs/>
          <w:sz w:val="24"/>
        </w:rPr>
        <w:t>4</w:t>
      </w:r>
      <w:r>
        <w:rPr>
          <w:b/>
          <w:bCs/>
          <w:sz w:val="24"/>
        </w:rPr>
        <w:t>）判定依据及结果</w:t>
      </w:r>
    </w:p>
    <w:p>
      <w:pPr>
        <w:autoSpaceDE w:val="0"/>
        <w:autoSpaceDN w:val="0"/>
        <w:adjustRightInd w:val="0"/>
        <w:spacing w:line="480" w:lineRule="exact"/>
        <w:ind w:firstLine="480" w:firstLineChars="200"/>
        <w:rPr>
          <w:sz w:val="24"/>
        </w:rPr>
      </w:pPr>
      <w:r>
        <w:rPr>
          <w:rFonts w:hint="eastAsia"/>
          <w:sz w:val="24"/>
        </w:rPr>
        <w:t>由预测可知，本</w:t>
      </w:r>
      <w:r>
        <w:rPr>
          <w:sz w:val="24"/>
        </w:rPr>
        <w:t>项目H</w:t>
      </w:r>
      <w:r>
        <w:rPr>
          <w:sz w:val="24"/>
          <w:vertAlign w:val="subscript"/>
        </w:rPr>
        <w:t>2</w:t>
      </w:r>
      <w:r>
        <w:rPr>
          <w:sz w:val="24"/>
        </w:rPr>
        <w:t>S、NH</w:t>
      </w:r>
      <w:r>
        <w:rPr>
          <w:sz w:val="24"/>
          <w:vertAlign w:val="subscript"/>
        </w:rPr>
        <w:t>3</w:t>
      </w:r>
      <w:r>
        <w:rPr>
          <w:rFonts w:hint="eastAsia"/>
          <w:sz w:val="24"/>
        </w:rPr>
        <w:t>、TSP最大浓度占标率分别为</w:t>
      </w:r>
      <w:r>
        <w:rPr>
          <w:sz w:val="24"/>
        </w:rPr>
        <w:t>P</w:t>
      </w:r>
      <w:r>
        <w:rPr>
          <w:sz w:val="24"/>
          <w:vertAlign w:val="subscript"/>
        </w:rPr>
        <w:t>H2S</w:t>
      </w:r>
      <w:r>
        <w:rPr>
          <w:rFonts w:hint="eastAsia"/>
          <w:sz w:val="24"/>
        </w:rPr>
        <w:t>=4.41</w:t>
      </w:r>
      <w:r>
        <w:rPr>
          <w:sz w:val="24"/>
        </w:rPr>
        <w:t>%，P</w:t>
      </w:r>
      <w:r>
        <w:rPr>
          <w:sz w:val="24"/>
          <w:vertAlign w:val="subscript"/>
        </w:rPr>
        <w:t>NH3</w:t>
      </w:r>
      <w:r>
        <w:rPr>
          <w:rFonts w:hint="eastAsia"/>
          <w:sz w:val="24"/>
        </w:rPr>
        <w:t>=7.85</w:t>
      </w:r>
      <w:r>
        <w:rPr>
          <w:sz w:val="24"/>
        </w:rPr>
        <w:t>%，P</w:t>
      </w:r>
      <w:r>
        <w:rPr>
          <w:rFonts w:hint="eastAsia"/>
          <w:sz w:val="24"/>
          <w:vertAlign w:val="subscript"/>
        </w:rPr>
        <w:t>TSP</w:t>
      </w:r>
      <w:r>
        <w:rPr>
          <w:rFonts w:hint="eastAsia"/>
          <w:sz w:val="24"/>
        </w:rPr>
        <w:t>=6.27</w:t>
      </w:r>
      <w:r>
        <w:rPr>
          <w:sz w:val="24"/>
        </w:rPr>
        <w:t>%，</w:t>
      </w:r>
      <w:r>
        <w:rPr>
          <w:rFonts w:hint="eastAsia"/>
          <w:sz w:val="24"/>
        </w:rPr>
        <w:t>均未超过10%，根据导则HJ2.2-2018</w:t>
      </w:r>
      <w:r>
        <w:rPr>
          <w:sz w:val="24"/>
        </w:rPr>
        <w:t>，</w:t>
      </w:r>
      <w:r>
        <w:rPr>
          <w:rFonts w:hint="eastAsia"/>
          <w:sz w:val="24"/>
        </w:rPr>
        <w:t>本项目</w:t>
      </w:r>
      <w:r>
        <w:rPr>
          <w:sz w:val="24"/>
        </w:rPr>
        <w:t>大气</w:t>
      </w:r>
      <w:r>
        <w:rPr>
          <w:rFonts w:hint="eastAsia"/>
          <w:sz w:val="24"/>
        </w:rPr>
        <w:t>环境</w:t>
      </w:r>
      <w:r>
        <w:rPr>
          <w:sz w:val="24"/>
        </w:rPr>
        <w:t>评价等级为</w:t>
      </w:r>
      <w:r>
        <w:rPr>
          <w:rFonts w:hint="eastAsia"/>
          <w:sz w:val="24"/>
        </w:rPr>
        <w:t>二</w:t>
      </w:r>
      <w:r>
        <w:rPr>
          <w:sz w:val="24"/>
        </w:rPr>
        <w:t>级</w:t>
      </w:r>
      <w:r>
        <w:rPr>
          <w:rFonts w:hint="eastAsia"/>
          <w:sz w:val="24"/>
        </w:rPr>
        <w:t>，不需进行进一步预测与评价，可只对污染物排放量进行核算。</w:t>
      </w:r>
    </w:p>
    <w:p>
      <w:pPr>
        <w:spacing w:line="480" w:lineRule="exact"/>
        <w:ind w:firstLine="482" w:firstLineChars="200"/>
        <w:rPr>
          <w:b/>
          <w:bCs/>
          <w:sz w:val="24"/>
        </w:rPr>
      </w:pPr>
      <w:r>
        <w:rPr>
          <w:rFonts w:hint="eastAsia"/>
          <w:b/>
          <w:bCs/>
          <w:sz w:val="24"/>
        </w:rPr>
        <w:t>2、污染物排放量核算</w:t>
      </w:r>
    </w:p>
    <w:p>
      <w:pPr>
        <w:autoSpaceDE w:val="0"/>
        <w:autoSpaceDN w:val="0"/>
        <w:adjustRightInd w:val="0"/>
        <w:spacing w:line="480" w:lineRule="exact"/>
        <w:ind w:firstLine="480" w:firstLineChars="200"/>
        <w:rPr>
          <w:sz w:val="24"/>
        </w:rPr>
      </w:pPr>
      <w:r>
        <w:rPr>
          <w:rFonts w:hint="eastAsia"/>
          <w:sz w:val="24"/>
        </w:rPr>
        <w:t>本项目填埋气</w:t>
      </w:r>
      <w:r>
        <w:rPr>
          <w:sz w:val="24"/>
        </w:rPr>
        <w:t>H</w:t>
      </w:r>
      <w:r>
        <w:rPr>
          <w:sz w:val="24"/>
          <w:vertAlign w:val="subscript"/>
        </w:rPr>
        <w:t>2</w:t>
      </w:r>
      <w:r>
        <w:rPr>
          <w:sz w:val="24"/>
        </w:rPr>
        <w:t>S、NH</w:t>
      </w:r>
      <w:r>
        <w:rPr>
          <w:sz w:val="24"/>
          <w:vertAlign w:val="subscript"/>
        </w:rPr>
        <w:t>3</w:t>
      </w:r>
      <w:r>
        <w:rPr>
          <w:rFonts w:hint="eastAsia"/>
          <w:sz w:val="24"/>
        </w:rPr>
        <w:t>、</w:t>
      </w:r>
      <w:r>
        <w:rPr>
          <w:sz w:val="24"/>
        </w:rPr>
        <w:t>甲硫醇</w:t>
      </w:r>
      <w:r>
        <w:rPr>
          <w:rFonts w:hint="eastAsia"/>
          <w:sz w:val="24"/>
        </w:rPr>
        <w:t>及场内运输作业产生的扬尘等污染物均属无组织排放，无有组织排放污染物，项目污染物排放量核算情况详见下表。</w:t>
      </w:r>
    </w:p>
    <w:p>
      <w:pPr>
        <w:spacing w:line="500" w:lineRule="exact"/>
        <w:jc w:val="center"/>
        <w:rPr>
          <w:b/>
          <w:bCs/>
          <w:sz w:val="24"/>
        </w:rPr>
      </w:pPr>
      <w:r>
        <w:rPr>
          <w:b/>
          <w:bCs/>
          <w:sz w:val="24"/>
        </w:rPr>
        <w:t>表5.</w:t>
      </w:r>
      <w:r>
        <w:rPr>
          <w:rFonts w:hint="eastAsia"/>
          <w:b/>
          <w:bCs/>
          <w:sz w:val="24"/>
        </w:rPr>
        <w:t>1</w:t>
      </w:r>
      <w:r>
        <w:rPr>
          <w:b/>
          <w:bCs/>
          <w:sz w:val="24"/>
        </w:rPr>
        <w:t>-</w:t>
      </w:r>
      <w:r>
        <w:rPr>
          <w:rFonts w:hint="eastAsia"/>
          <w:b/>
          <w:bCs/>
          <w:sz w:val="24"/>
        </w:rPr>
        <w:t>5项目</w:t>
      </w:r>
      <w:r>
        <w:rPr>
          <w:b/>
          <w:bCs/>
          <w:sz w:val="24"/>
        </w:rPr>
        <w:t>大气污染物</w:t>
      </w:r>
      <w:r>
        <w:rPr>
          <w:rFonts w:hint="eastAsia"/>
          <w:b/>
          <w:bCs/>
          <w:sz w:val="24"/>
        </w:rPr>
        <w:t>无组织</w:t>
      </w:r>
      <w:r>
        <w:rPr>
          <w:b/>
          <w:bCs/>
          <w:sz w:val="24"/>
        </w:rPr>
        <w:t>排放量核算表</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65"/>
        <w:gridCol w:w="577"/>
        <w:gridCol w:w="636"/>
        <w:gridCol w:w="3482"/>
        <w:gridCol w:w="952"/>
        <w:gridCol w:w="998"/>
        <w:gridCol w:w="8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231" w:type="pct"/>
            <w:vMerge w:val="restart"/>
            <w:tcBorders>
              <w:tl2br w:val="nil"/>
              <w:tr2bl w:val="nil"/>
            </w:tcBorders>
            <w:vAlign w:val="center"/>
          </w:tcPr>
          <w:p>
            <w:pPr>
              <w:spacing w:line="240" w:lineRule="exact"/>
              <w:jc w:val="center"/>
              <w:rPr>
                <w:sz w:val="18"/>
                <w:szCs w:val="18"/>
              </w:rPr>
            </w:pPr>
            <w:r>
              <w:rPr>
                <w:sz w:val="18"/>
                <w:szCs w:val="18"/>
              </w:rPr>
              <w:t>序号</w:t>
            </w:r>
          </w:p>
        </w:tc>
        <w:tc>
          <w:tcPr>
            <w:tcW w:w="390" w:type="pct"/>
            <w:vMerge w:val="restart"/>
            <w:tcBorders>
              <w:tl2br w:val="nil"/>
              <w:tr2bl w:val="nil"/>
            </w:tcBorders>
            <w:vAlign w:val="center"/>
          </w:tcPr>
          <w:p>
            <w:pPr>
              <w:spacing w:line="240" w:lineRule="exact"/>
              <w:jc w:val="center"/>
              <w:rPr>
                <w:sz w:val="18"/>
                <w:szCs w:val="18"/>
              </w:rPr>
            </w:pPr>
            <w:r>
              <w:rPr>
                <w:sz w:val="18"/>
                <w:szCs w:val="18"/>
              </w:rPr>
              <w:t>产污环节</w:t>
            </w:r>
          </w:p>
        </w:tc>
        <w:tc>
          <w:tcPr>
            <w:tcW w:w="711" w:type="pct"/>
            <w:gridSpan w:val="2"/>
            <w:vMerge w:val="restart"/>
            <w:tcBorders>
              <w:tl2br w:val="nil"/>
              <w:tr2bl w:val="nil"/>
            </w:tcBorders>
            <w:vAlign w:val="center"/>
          </w:tcPr>
          <w:p>
            <w:pPr>
              <w:spacing w:line="240" w:lineRule="exact"/>
              <w:jc w:val="center"/>
              <w:rPr>
                <w:sz w:val="18"/>
                <w:szCs w:val="18"/>
              </w:rPr>
            </w:pPr>
            <w:r>
              <w:rPr>
                <w:sz w:val="18"/>
                <w:szCs w:val="18"/>
              </w:rPr>
              <w:t>污染物</w:t>
            </w:r>
          </w:p>
        </w:tc>
        <w:tc>
          <w:tcPr>
            <w:tcW w:w="2042" w:type="pct"/>
            <w:vMerge w:val="restart"/>
            <w:tcBorders>
              <w:tl2br w:val="nil"/>
              <w:tr2bl w:val="nil"/>
            </w:tcBorders>
            <w:vAlign w:val="center"/>
          </w:tcPr>
          <w:p>
            <w:pPr>
              <w:spacing w:line="240" w:lineRule="exact"/>
              <w:jc w:val="center"/>
              <w:rPr>
                <w:sz w:val="18"/>
                <w:szCs w:val="18"/>
              </w:rPr>
            </w:pPr>
            <w:r>
              <w:rPr>
                <w:sz w:val="18"/>
                <w:szCs w:val="18"/>
              </w:rPr>
              <w:t>主要污染防治措施</w:t>
            </w:r>
          </w:p>
        </w:tc>
        <w:tc>
          <w:tcPr>
            <w:tcW w:w="1145" w:type="pct"/>
            <w:gridSpan w:val="2"/>
            <w:tcBorders>
              <w:tl2br w:val="nil"/>
              <w:tr2bl w:val="nil"/>
            </w:tcBorders>
            <w:vAlign w:val="center"/>
          </w:tcPr>
          <w:p>
            <w:pPr>
              <w:spacing w:line="240" w:lineRule="exact"/>
              <w:jc w:val="center"/>
              <w:rPr>
                <w:sz w:val="18"/>
                <w:szCs w:val="18"/>
              </w:rPr>
            </w:pPr>
            <w:r>
              <w:rPr>
                <w:sz w:val="18"/>
                <w:szCs w:val="18"/>
              </w:rPr>
              <w:t>国家或地方污染物排放标准</w:t>
            </w:r>
          </w:p>
        </w:tc>
        <w:tc>
          <w:tcPr>
            <w:tcW w:w="477" w:type="pct"/>
            <w:vMerge w:val="restart"/>
            <w:tcBorders>
              <w:tl2br w:val="nil"/>
              <w:tr2bl w:val="nil"/>
            </w:tcBorders>
            <w:vAlign w:val="center"/>
          </w:tcPr>
          <w:p>
            <w:pPr>
              <w:spacing w:line="260" w:lineRule="exact"/>
              <w:jc w:val="center"/>
              <w:rPr>
                <w:sz w:val="18"/>
                <w:szCs w:val="18"/>
              </w:rPr>
            </w:pPr>
            <w:r>
              <w:rPr>
                <w:sz w:val="18"/>
                <w:szCs w:val="18"/>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31" w:type="pct"/>
            <w:vMerge w:val="continue"/>
            <w:tcBorders>
              <w:tl2br w:val="nil"/>
              <w:tr2bl w:val="nil"/>
            </w:tcBorders>
            <w:vAlign w:val="center"/>
          </w:tcPr>
          <w:p>
            <w:pPr>
              <w:spacing w:line="240" w:lineRule="exact"/>
              <w:jc w:val="center"/>
              <w:rPr>
                <w:sz w:val="18"/>
                <w:szCs w:val="18"/>
              </w:rPr>
            </w:pPr>
          </w:p>
        </w:tc>
        <w:tc>
          <w:tcPr>
            <w:tcW w:w="390" w:type="pct"/>
            <w:vMerge w:val="continue"/>
            <w:tcBorders>
              <w:tl2br w:val="nil"/>
              <w:tr2bl w:val="nil"/>
            </w:tcBorders>
            <w:vAlign w:val="center"/>
          </w:tcPr>
          <w:p>
            <w:pPr>
              <w:spacing w:line="240" w:lineRule="exact"/>
              <w:jc w:val="center"/>
              <w:rPr>
                <w:sz w:val="18"/>
                <w:szCs w:val="18"/>
              </w:rPr>
            </w:pPr>
          </w:p>
        </w:tc>
        <w:tc>
          <w:tcPr>
            <w:tcW w:w="711" w:type="pct"/>
            <w:gridSpan w:val="2"/>
            <w:vMerge w:val="continue"/>
            <w:tcBorders>
              <w:tl2br w:val="nil"/>
              <w:tr2bl w:val="nil"/>
            </w:tcBorders>
            <w:vAlign w:val="center"/>
          </w:tcPr>
          <w:p>
            <w:pPr>
              <w:spacing w:line="240" w:lineRule="exact"/>
              <w:jc w:val="center"/>
              <w:rPr>
                <w:sz w:val="18"/>
                <w:szCs w:val="18"/>
              </w:rPr>
            </w:pPr>
          </w:p>
        </w:tc>
        <w:tc>
          <w:tcPr>
            <w:tcW w:w="2042" w:type="pct"/>
            <w:vMerge w:val="continue"/>
            <w:tcBorders>
              <w:tl2br w:val="nil"/>
              <w:tr2bl w:val="nil"/>
            </w:tcBorders>
            <w:vAlign w:val="center"/>
          </w:tcPr>
          <w:p>
            <w:pPr>
              <w:spacing w:line="240" w:lineRule="exact"/>
              <w:jc w:val="center"/>
              <w:rPr>
                <w:sz w:val="18"/>
                <w:szCs w:val="18"/>
              </w:rPr>
            </w:pPr>
          </w:p>
        </w:tc>
        <w:tc>
          <w:tcPr>
            <w:tcW w:w="559" w:type="pct"/>
            <w:tcBorders>
              <w:tl2br w:val="nil"/>
              <w:tr2bl w:val="nil"/>
            </w:tcBorders>
            <w:vAlign w:val="center"/>
          </w:tcPr>
          <w:p>
            <w:pPr>
              <w:spacing w:line="240" w:lineRule="exact"/>
              <w:jc w:val="center"/>
              <w:rPr>
                <w:sz w:val="18"/>
                <w:szCs w:val="18"/>
              </w:rPr>
            </w:pPr>
            <w:r>
              <w:rPr>
                <w:sz w:val="18"/>
                <w:szCs w:val="18"/>
              </w:rPr>
              <w:t>标准名称</w:t>
            </w:r>
          </w:p>
        </w:tc>
        <w:tc>
          <w:tcPr>
            <w:tcW w:w="585" w:type="pct"/>
            <w:tcBorders>
              <w:tl2br w:val="nil"/>
              <w:tr2bl w:val="nil"/>
            </w:tcBorders>
            <w:vAlign w:val="center"/>
          </w:tcPr>
          <w:p>
            <w:pPr>
              <w:spacing w:line="240" w:lineRule="exact"/>
              <w:jc w:val="center"/>
              <w:rPr>
                <w:sz w:val="18"/>
                <w:szCs w:val="18"/>
              </w:rPr>
            </w:pPr>
            <w:r>
              <w:rPr>
                <w:sz w:val="18"/>
                <w:szCs w:val="18"/>
              </w:rPr>
              <w:t>浓度限值/（mg/m</w:t>
            </w:r>
            <w:r>
              <w:rPr>
                <w:sz w:val="18"/>
                <w:szCs w:val="18"/>
                <w:vertAlign w:val="superscript"/>
              </w:rPr>
              <w:t>3</w:t>
            </w:r>
            <w:r>
              <w:rPr>
                <w:sz w:val="18"/>
                <w:szCs w:val="18"/>
              </w:rPr>
              <w:t>）</w:t>
            </w:r>
          </w:p>
        </w:tc>
        <w:tc>
          <w:tcPr>
            <w:tcW w:w="477" w:type="pct"/>
            <w:vMerge w:val="continue"/>
            <w:tcBorders>
              <w:tl2br w:val="nil"/>
              <w:tr2bl w:val="nil"/>
            </w:tcBorders>
            <w:vAlign w:val="center"/>
          </w:tcPr>
          <w:p>
            <w:pPr>
              <w:spacing w:line="26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1" w:type="pct"/>
            <w:tcBorders>
              <w:tl2br w:val="nil"/>
              <w:tr2bl w:val="nil"/>
            </w:tcBorders>
            <w:vAlign w:val="center"/>
          </w:tcPr>
          <w:p>
            <w:pPr>
              <w:spacing w:line="260" w:lineRule="exact"/>
              <w:jc w:val="center"/>
              <w:rPr>
                <w:sz w:val="18"/>
                <w:szCs w:val="18"/>
              </w:rPr>
            </w:pPr>
            <w:r>
              <w:rPr>
                <w:sz w:val="18"/>
                <w:szCs w:val="18"/>
              </w:rPr>
              <w:t>1</w:t>
            </w:r>
          </w:p>
        </w:tc>
        <w:tc>
          <w:tcPr>
            <w:tcW w:w="390" w:type="pct"/>
            <w:tcBorders>
              <w:tl2br w:val="nil"/>
              <w:tr2bl w:val="nil"/>
            </w:tcBorders>
            <w:vAlign w:val="center"/>
          </w:tcPr>
          <w:p>
            <w:pPr>
              <w:spacing w:line="250" w:lineRule="exact"/>
              <w:jc w:val="center"/>
              <w:rPr>
                <w:sz w:val="18"/>
                <w:szCs w:val="18"/>
              </w:rPr>
            </w:pPr>
            <w:r>
              <w:rPr>
                <w:rFonts w:hint="eastAsia"/>
                <w:bCs/>
                <w:sz w:val="18"/>
                <w:szCs w:val="18"/>
                <w:lang w:val="zh-CN"/>
              </w:rPr>
              <w:t>库区垃圾填埋作业</w:t>
            </w:r>
          </w:p>
        </w:tc>
        <w:tc>
          <w:tcPr>
            <w:tcW w:w="338" w:type="pct"/>
            <w:tcBorders>
              <w:tl2br w:val="nil"/>
              <w:tr2bl w:val="nil"/>
            </w:tcBorders>
            <w:vAlign w:val="center"/>
          </w:tcPr>
          <w:p>
            <w:pPr>
              <w:spacing w:line="250" w:lineRule="exact"/>
              <w:jc w:val="center"/>
              <w:rPr>
                <w:sz w:val="18"/>
                <w:szCs w:val="18"/>
              </w:rPr>
            </w:pPr>
            <w:r>
              <w:rPr>
                <w:rFonts w:hint="eastAsia"/>
                <w:bCs/>
                <w:sz w:val="18"/>
                <w:szCs w:val="18"/>
                <w:lang w:val="zh-CN"/>
              </w:rPr>
              <w:t>填埋气</w:t>
            </w:r>
          </w:p>
        </w:tc>
        <w:tc>
          <w:tcPr>
            <w:tcW w:w="373" w:type="pct"/>
            <w:tcBorders>
              <w:tl2br w:val="nil"/>
              <w:tr2bl w:val="nil"/>
            </w:tcBorders>
            <w:vAlign w:val="center"/>
          </w:tcPr>
          <w:p>
            <w:pPr>
              <w:spacing w:line="250" w:lineRule="exact"/>
              <w:jc w:val="center"/>
              <w:rPr>
                <w:sz w:val="18"/>
                <w:szCs w:val="18"/>
              </w:rPr>
            </w:pPr>
            <w:r>
              <w:rPr>
                <w:rFonts w:hint="eastAsia" w:eastAsiaTheme="minorEastAsia"/>
                <w:sz w:val="18"/>
                <w:szCs w:val="18"/>
              </w:rPr>
              <w:t>CH</w:t>
            </w:r>
            <w:r>
              <w:rPr>
                <w:rFonts w:hint="eastAsia" w:eastAsiaTheme="minorEastAsia"/>
                <w:sz w:val="18"/>
                <w:szCs w:val="18"/>
                <w:vertAlign w:val="subscript"/>
              </w:rPr>
              <w:t>4</w:t>
            </w:r>
          </w:p>
        </w:tc>
        <w:tc>
          <w:tcPr>
            <w:tcW w:w="2042" w:type="pct"/>
            <w:tcBorders>
              <w:tl2br w:val="nil"/>
              <w:tr2bl w:val="nil"/>
            </w:tcBorders>
            <w:vAlign w:val="center"/>
          </w:tcPr>
          <w:p>
            <w:pPr>
              <w:pStyle w:val="10"/>
              <w:spacing w:line="250" w:lineRule="exact"/>
              <w:ind w:firstLine="0" w:firstLineChars="0"/>
              <w:jc w:val="left"/>
              <w:rPr>
                <w:sz w:val="18"/>
                <w:szCs w:val="18"/>
              </w:rPr>
            </w:pPr>
            <w:r>
              <w:rPr>
                <w:rFonts w:hint="eastAsia"/>
                <w:b/>
                <w:kern w:val="0"/>
                <w:sz w:val="18"/>
                <w:szCs w:val="18"/>
              </w:rPr>
              <w:t>爆炸隐患和填埋气污染防治</w:t>
            </w:r>
            <w:r>
              <w:rPr>
                <w:rFonts w:hint="eastAsia"/>
                <w:bCs/>
                <w:kern w:val="0"/>
                <w:sz w:val="18"/>
                <w:szCs w:val="18"/>
              </w:rPr>
              <w:t>：</w:t>
            </w:r>
            <w:r>
              <w:rPr>
                <w:rFonts w:hint="eastAsia"/>
                <w:sz w:val="18"/>
                <w:szCs w:val="18"/>
              </w:rPr>
              <w:t>1、配套完善导气石笼井、水平导气管和抽气机房、火炬式燃烧器等收集导排处理设施，初期少量低浓度填埋气经导气石笼中心管放空，随着场内运行、垃圾填埋气产量及甲烷等有机气体含量增加后，填埋气经导气支管、抽气机房主动收集后，送至火炬式燃烧器进行燃烧处理；2、场内设置可燃气体报警装置。</w:t>
            </w:r>
          </w:p>
        </w:tc>
        <w:tc>
          <w:tcPr>
            <w:tcW w:w="1145" w:type="pct"/>
            <w:gridSpan w:val="2"/>
            <w:tcBorders>
              <w:tl2br w:val="nil"/>
              <w:tr2bl w:val="nil"/>
            </w:tcBorders>
            <w:vAlign w:val="center"/>
          </w:tcPr>
          <w:p>
            <w:pPr>
              <w:spacing w:line="260" w:lineRule="exact"/>
              <w:jc w:val="left"/>
              <w:rPr>
                <w:rFonts w:eastAsiaTheme="minorEastAsia"/>
                <w:sz w:val="18"/>
                <w:szCs w:val="18"/>
              </w:rPr>
            </w:pPr>
            <w:r>
              <w:rPr>
                <w:rFonts w:hint="eastAsia"/>
                <w:sz w:val="18"/>
                <w:szCs w:val="18"/>
              </w:rPr>
              <w:t>1、</w:t>
            </w:r>
            <w:r>
              <w:rPr>
                <w:sz w:val="18"/>
                <w:szCs w:val="18"/>
              </w:rPr>
              <w:t>《生活垃圾填埋场污染控制标准》(GB16889-2008)</w:t>
            </w:r>
            <w:r>
              <w:rPr>
                <w:rFonts w:hint="eastAsia"/>
                <w:sz w:val="18"/>
                <w:szCs w:val="18"/>
              </w:rPr>
              <w:t>：</w:t>
            </w:r>
          </w:p>
          <w:p>
            <w:pPr>
              <w:spacing w:line="260" w:lineRule="exact"/>
              <w:jc w:val="left"/>
              <w:rPr>
                <w:sz w:val="18"/>
                <w:szCs w:val="18"/>
              </w:rPr>
            </w:pPr>
            <w:r>
              <w:rPr>
                <w:sz w:val="18"/>
                <w:szCs w:val="18"/>
              </w:rPr>
              <w:t>填埋工作面上2m以下高度范围内甲烷的体积百分比不大于</w:t>
            </w:r>
            <w:r>
              <w:rPr>
                <w:rFonts w:hint="eastAsia"/>
                <w:sz w:val="18"/>
                <w:szCs w:val="18"/>
              </w:rPr>
              <w:t>0</w:t>
            </w:r>
            <w:r>
              <w:rPr>
                <w:sz w:val="18"/>
                <w:szCs w:val="18"/>
              </w:rPr>
              <w:t>.1%，导气管排放口的甲烷的体积百分比不大于5%</w:t>
            </w:r>
            <w:r>
              <w:rPr>
                <w:rFonts w:hint="eastAsia"/>
                <w:sz w:val="18"/>
                <w:szCs w:val="18"/>
              </w:rPr>
              <w:t>；</w:t>
            </w:r>
          </w:p>
        </w:tc>
        <w:tc>
          <w:tcPr>
            <w:tcW w:w="477" w:type="pct"/>
            <w:tcBorders>
              <w:tl2br w:val="nil"/>
              <w:tr2bl w:val="nil"/>
            </w:tcBorders>
            <w:vAlign w:val="center"/>
          </w:tcPr>
          <w:p>
            <w:pPr>
              <w:spacing w:line="260" w:lineRule="exact"/>
              <w:jc w:val="center"/>
              <w:rPr>
                <w:sz w:val="18"/>
                <w:szCs w:val="18"/>
              </w:rPr>
            </w:pPr>
            <w:r>
              <w:rPr>
                <w:rFonts w:hint="eastAsia"/>
                <w:sz w:val="18"/>
                <w:szCs w:val="18"/>
              </w:rPr>
              <w:t>339.4</w:t>
            </w:r>
          </w:p>
        </w:tc>
      </w:tr>
    </w:tbl>
    <w:p>
      <w:pPr>
        <w:spacing w:line="500" w:lineRule="exact"/>
        <w:jc w:val="center"/>
        <w:rPr>
          <w:b/>
          <w:bCs/>
          <w:sz w:val="24"/>
        </w:rPr>
      </w:pPr>
    </w:p>
    <w:p>
      <w:pPr>
        <w:spacing w:line="500" w:lineRule="exact"/>
        <w:jc w:val="center"/>
        <w:rPr>
          <w:b/>
          <w:bCs/>
          <w:sz w:val="24"/>
        </w:rPr>
      </w:pPr>
      <w:r>
        <w:rPr>
          <w:b/>
          <w:bCs/>
          <w:sz w:val="24"/>
        </w:rPr>
        <w:t>表5.</w:t>
      </w:r>
      <w:r>
        <w:rPr>
          <w:rFonts w:hint="eastAsia"/>
          <w:b/>
          <w:bCs/>
          <w:sz w:val="24"/>
        </w:rPr>
        <w:t>1</w:t>
      </w:r>
      <w:r>
        <w:rPr>
          <w:b/>
          <w:bCs/>
          <w:sz w:val="24"/>
        </w:rPr>
        <w:t>-</w:t>
      </w:r>
      <w:r>
        <w:rPr>
          <w:rFonts w:hint="eastAsia"/>
          <w:b/>
          <w:bCs/>
          <w:sz w:val="24"/>
        </w:rPr>
        <w:t>5续项目</w:t>
      </w:r>
      <w:r>
        <w:rPr>
          <w:b/>
          <w:bCs/>
          <w:sz w:val="24"/>
        </w:rPr>
        <w:t>大气污染物</w:t>
      </w:r>
      <w:r>
        <w:rPr>
          <w:rFonts w:hint="eastAsia"/>
          <w:b/>
          <w:bCs/>
          <w:sz w:val="24"/>
        </w:rPr>
        <w:t>无组织</w:t>
      </w:r>
      <w:r>
        <w:rPr>
          <w:b/>
          <w:bCs/>
          <w:sz w:val="24"/>
        </w:rPr>
        <w:t>排放量核算表</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026"/>
        <w:gridCol w:w="623"/>
        <w:gridCol w:w="613"/>
        <w:gridCol w:w="3095"/>
        <w:gridCol w:w="952"/>
        <w:gridCol w:w="998"/>
        <w:gridCol w:w="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231" w:type="pct"/>
            <w:vMerge w:val="restart"/>
            <w:tcBorders>
              <w:tl2br w:val="nil"/>
              <w:tr2bl w:val="nil"/>
            </w:tcBorders>
            <w:vAlign w:val="center"/>
          </w:tcPr>
          <w:p>
            <w:pPr>
              <w:spacing w:line="240" w:lineRule="exact"/>
              <w:jc w:val="center"/>
              <w:rPr>
                <w:sz w:val="18"/>
                <w:szCs w:val="18"/>
              </w:rPr>
            </w:pPr>
            <w:r>
              <w:rPr>
                <w:sz w:val="18"/>
                <w:szCs w:val="18"/>
              </w:rPr>
              <w:t>序号</w:t>
            </w:r>
          </w:p>
        </w:tc>
        <w:tc>
          <w:tcPr>
            <w:tcW w:w="602" w:type="pct"/>
            <w:vMerge w:val="restart"/>
            <w:tcBorders>
              <w:tl2br w:val="nil"/>
              <w:tr2bl w:val="nil"/>
            </w:tcBorders>
            <w:vAlign w:val="center"/>
          </w:tcPr>
          <w:p>
            <w:pPr>
              <w:spacing w:line="240" w:lineRule="exact"/>
              <w:jc w:val="center"/>
              <w:rPr>
                <w:sz w:val="18"/>
                <w:szCs w:val="18"/>
              </w:rPr>
            </w:pPr>
            <w:r>
              <w:rPr>
                <w:sz w:val="18"/>
                <w:szCs w:val="18"/>
              </w:rPr>
              <w:t>产污环节</w:t>
            </w:r>
          </w:p>
        </w:tc>
        <w:tc>
          <w:tcPr>
            <w:tcW w:w="725" w:type="pct"/>
            <w:gridSpan w:val="2"/>
            <w:vMerge w:val="restart"/>
            <w:tcBorders>
              <w:tl2br w:val="nil"/>
              <w:tr2bl w:val="nil"/>
            </w:tcBorders>
            <w:vAlign w:val="center"/>
          </w:tcPr>
          <w:p>
            <w:pPr>
              <w:spacing w:line="240" w:lineRule="exact"/>
              <w:jc w:val="center"/>
              <w:rPr>
                <w:sz w:val="18"/>
                <w:szCs w:val="18"/>
              </w:rPr>
            </w:pPr>
            <w:r>
              <w:rPr>
                <w:sz w:val="18"/>
                <w:szCs w:val="18"/>
              </w:rPr>
              <w:t>污染物</w:t>
            </w:r>
          </w:p>
        </w:tc>
        <w:tc>
          <w:tcPr>
            <w:tcW w:w="1817" w:type="pct"/>
            <w:vMerge w:val="restart"/>
            <w:tcBorders>
              <w:tl2br w:val="nil"/>
              <w:tr2bl w:val="nil"/>
            </w:tcBorders>
            <w:vAlign w:val="center"/>
          </w:tcPr>
          <w:p>
            <w:pPr>
              <w:spacing w:line="240" w:lineRule="exact"/>
              <w:jc w:val="center"/>
              <w:rPr>
                <w:sz w:val="18"/>
                <w:szCs w:val="18"/>
              </w:rPr>
            </w:pPr>
            <w:r>
              <w:rPr>
                <w:sz w:val="18"/>
                <w:szCs w:val="18"/>
              </w:rPr>
              <w:t>主要污染防治措施</w:t>
            </w:r>
          </w:p>
        </w:tc>
        <w:tc>
          <w:tcPr>
            <w:tcW w:w="1145" w:type="pct"/>
            <w:gridSpan w:val="2"/>
            <w:tcBorders>
              <w:tl2br w:val="nil"/>
              <w:tr2bl w:val="nil"/>
            </w:tcBorders>
            <w:vAlign w:val="center"/>
          </w:tcPr>
          <w:p>
            <w:pPr>
              <w:spacing w:line="240" w:lineRule="exact"/>
              <w:jc w:val="center"/>
              <w:rPr>
                <w:sz w:val="18"/>
                <w:szCs w:val="18"/>
              </w:rPr>
            </w:pPr>
            <w:r>
              <w:rPr>
                <w:sz w:val="18"/>
                <w:szCs w:val="18"/>
              </w:rPr>
              <w:t>国家或地方污染物排放标准</w:t>
            </w:r>
          </w:p>
        </w:tc>
        <w:tc>
          <w:tcPr>
            <w:tcW w:w="477" w:type="pct"/>
            <w:vMerge w:val="restart"/>
            <w:tcBorders>
              <w:tl2br w:val="nil"/>
              <w:tr2bl w:val="nil"/>
            </w:tcBorders>
            <w:vAlign w:val="center"/>
          </w:tcPr>
          <w:p>
            <w:pPr>
              <w:spacing w:line="240" w:lineRule="exact"/>
              <w:jc w:val="center"/>
              <w:rPr>
                <w:sz w:val="18"/>
                <w:szCs w:val="18"/>
              </w:rPr>
            </w:pPr>
            <w:r>
              <w:rPr>
                <w:sz w:val="18"/>
                <w:szCs w:val="18"/>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31" w:type="pct"/>
            <w:vMerge w:val="continue"/>
            <w:tcBorders>
              <w:tl2br w:val="nil"/>
              <w:tr2bl w:val="nil"/>
            </w:tcBorders>
            <w:vAlign w:val="center"/>
          </w:tcPr>
          <w:p>
            <w:pPr>
              <w:spacing w:line="240" w:lineRule="exact"/>
              <w:jc w:val="center"/>
              <w:rPr>
                <w:sz w:val="18"/>
                <w:szCs w:val="18"/>
              </w:rPr>
            </w:pPr>
          </w:p>
        </w:tc>
        <w:tc>
          <w:tcPr>
            <w:tcW w:w="602" w:type="pct"/>
            <w:vMerge w:val="continue"/>
            <w:tcBorders>
              <w:tl2br w:val="nil"/>
              <w:tr2bl w:val="nil"/>
            </w:tcBorders>
            <w:vAlign w:val="center"/>
          </w:tcPr>
          <w:p>
            <w:pPr>
              <w:spacing w:line="240" w:lineRule="exact"/>
              <w:jc w:val="center"/>
              <w:rPr>
                <w:sz w:val="18"/>
                <w:szCs w:val="18"/>
              </w:rPr>
            </w:pPr>
          </w:p>
        </w:tc>
        <w:tc>
          <w:tcPr>
            <w:tcW w:w="725" w:type="pct"/>
            <w:gridSpan w:val="2"/>
            <w:vMerge w:val="continue"/>
            <w:tcBorders>
              <w:tl2br w:val="nil"/>
              <w:tr2bl w:val="nil"/>
            </w:tcBorders>
            <w:vAlign w:val="center"/>
          </w:tcPr>
          <w:p>
            <w:pPr>
              <w:spacing w:line="240" w:lineRule="exact"/>
              <w:jc w:val="center"/>
              <w:rPr>
                <w:sz w:val="18"/>
                <w:szCs w:val="18"/>
              </w:rPr>
            </w:pPr>
          </w:p>
        </w:tc>
        <w:tc>
          <w:tcPr>
            <w:tcW w:w="1817" w:type="pct"/>
            <w:vMerge w:val="continue"/>
            <w:tcBorders>
              <w:tl2br w:val="nil"/>
              <w:tr2bl w:val="nil"/>
            </w:tcBorders>
            <w:vAlign w:val="center"/>
          </w:tcPr>
          <w:p>
            <w:pPr>
              <w:spacing w:line="240" w:lineRule="exact"/>
              <w:jc w:val="center"/>
              <w:rPr>
                <w:sz w:val="18"/>
                <w:szCs w:val="18"/>
              </w:rPr>
            </w:pPr>
          </w:p>
        </w:tc>
        <w:tc>
          <w:tcPr>
            <w:tcW w:w="559" w:type="pct"/>
            <w:tcBorders>
              <w:tl2br w:val="nil"/>
              <w:tr2bl w:val="nil"/>
            </w:tcBorders>
            <w:vAlign w:val="center"/>
          </w:tcPr>
          <w:p>
            <w:pPr>
              <w:spacing w:line="240" w:lineRule="exact"/>
              <w:jc w:val="center"/>
              <w:rPr>
                <w:sz w:val="18"/>
                <w:szCs w:val="18"/>
              </w:rPr>
            </w:pPr>
            <w:r>
              <w:rPr>
                <w:sz w:val="18"/>
                <w:szCs w:val="18"/>
              </w:rPr>
              <w:t>标准名称</w:t>
            </w:r>
          </w:p>
        </w:tc>
        <w:tc>
          <w:tcPr>
            <w:tcW w:w="585" w:type="pct"/>
            <w:tcBorders>
              <w:tl2br w:val="nil"/>
              <w:tr2bl w:val="nil"/>
            </w:tcBorders>
            <w:vAlign w:val="center"/>
          </w:tcPr>
          <w:p>
            <w:pPr>
              <w:spacing w:line="240" w:lineRule="exact"/>
              <w:jc w:val="center"/>
              <w:rPr>
                <w:sz w:val="18"/>
                <w:szCs w:val="18"/>
              </w:rPr>
            </w:pPr>
            <w:r>
              <w:rPr>
                <w:sz w:val="18"/>
                <w:szCs w:val="18"/>
              </w:rPr>
              <w:t>浓度限值/（mg/m</w:t>
            </w:r>
            <w:r>
              <w:rPr>
                <w:sz w:val="18"/>
                <w:szCs w:val="18"/>
                <w:vertAlign w:val="superscript"/>
              </w:rPr>
              <w:t>3</w:t>
            </w:r>
            <w:r>
              <w:rPr>
                <w:sz w:val="18"/>
                <w:szCs w:val="18"/>
              </w:rPr>
              <w:t>）</w:t>
            </w:r>
          </w:p>
        </w:tc>
        <w:tc>
          <w:tcPr>
            <w:tcW w:w="477" w:type="pct"/>
            <w:vMerge w:val="continue"/>
            <w:tcBorders>
              <w:tl2br w:val="nil"/>
              <w:tr2bl w:val="nil"/>
            </w:tcBorders>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1" w:type="pct"/>
            <w:vMerge w:val="restart"/>
            <w:tcBorders>
              <w:tl2br w:val="nil"/>
              <w:tr2bl w:val="nil"/>
            </w:tcBorders>
            <w:vAlign w:val="center"/>
          </w:tcPr>
          <w:p>
            <w:pPr>
              <w:spacing w:line="260" w:lineRule="exact"/>
              <w:jc w:val="center"/>
              <w:rPr>
                <w:sz w:val="18"/>
                <w:szCs w:val="18"/>
              </w:rPr>
            </w:pPr>
            <w:r>
              <w:rPr>
                <w:sz w:val="18"/>
                <w:szCs w:val="18"/>
              </w:rPr>
              <w:t>1</w:t>
            </w:r>
          </w:p>
        </w:tc>
        <w:tc>
          <w:tcPr>
            <w:tcW w:w="602" w:type="pct"/>
            <w:vMerge w:val="restart"/>
            <w:tcBorders>
              <w:tl2br w:val="nil"/>
              <w:tr2bl w:val="nil"/>
            </w:tcBorders>
            <w:vAlign w:val="center"/>
          </w:tcPr>
          <w:p>
            <w:pPr>
              <w:spacing w:line="250" w:lineRule="exact"/>
              <w:jc w:val="center"/>
              <w:rPr>
                <w:sz w:val="18"/>
                <w:szCs w:val="18"/>
              </w:rPr>
            </w:pPr>
            <w:r>
              <w:rPr>
                <w:rFonts w:hint="eastAsia"/>
                <w:bCs/>
                <w:sz w:val="18"/>
                <w:szCs w:val="18"/>
                <w:lang w:val="zh-CN"/>
              </w:rPr>
              <w:t>库区垃圾填埋作业</w:t>
            </w:r>
          </w:p>
        </w:tc>
        <w:tc>
          <w:tcPr>
            <w:tcW w:w="366" w:type="pct"/>
            <w:vMerge w:val="restart"/>
            <w:tcBorders>
              <w:tl2br w:val="nil"/>
              <w:tr2bl w:val="nil"/>
            </w:tcBorders>
            <w:vAlign w:val="center"/>
          </w:tcPr>
          <w:p>
            <w:pPr>
              <w:spacing w:line="250" w:lineRule="exact"/>
              <w:jc w:val="center"/>
              <w:rPr>
                <w:sz w:val="18"/>
                <w:szCs w:val="18"/>
              </w:rPr>
            </w:pPr>
            <w:r>
              <w:rPr>
                <w:rFonts w:hint="eastAsia"/>
                <w:bCs/>
                <w:sz w:val="18"/>
                <w:szCs w:val="18"/>
                <w:lang w:val="zh-CN"/>
              </w:rPr>
              <w:t>填埋气</w:t>
            </w:r>
          </w:p>
        </w:tc>
        <w:tc>
          <w:tcPr>
            <w:tcW w:w="359" w:type="pct"/>
            <w:tcBorders>
              <w:tl2br w:val="nil"/>
              <w:tr2bl w:val="nil"/>
            </w:tcBorders>
            <w:vAlign w:val="center"/>
          </w:tcPr>
          <w:p>
            <w:pPr>
              <w:spacing w:line="250" w:lineRule="exact"/>
              <w:jc w:val="center"/>
              <w:rPr>
                <w:sz w:val="18"/>
                <w:szCs w:val="18"/>
              </w:rPr>
            </w:pPr>
            <w:r>
              <w:rPr>
                <w:rFonts w:hint="eastAsia"/>
                <w:bCs/>
                <w:kern w:val="0"/>
                <w:sz w:val="18"/>
                <w:szCs w:val="18"/>
              </w:rPr>
              <w:t>H</w:t>
            </w:r>
            <w:r>
              <w:rPr>
                <w:rFonts w:hint="eastAsia"/>
                <w:bCs/>
                <w:kern w:val="0"/>
                <w:sz w:val="18"/>
                <w:szCs w:val="18"/>
                <w:vertAlign w:val="subscript"/>
              </w:rPr>
              <w:t>2</w:t>
            </w:r>
            <w:r>
              <w:rPr>
                <w:rFonts w:hint="eastAsia"/>
                <w:bCs/>
                <w:kern w:val="0"/>
                <w:sz w:val="18"/>
                <w:szCs w:val="18"/>
              </w:rPr>
              <w:t>S</w:t>
            </w:r>
          </w:p>
        </w:tc>
        <w:tc>
          <w:tcPr>
            <w:tcW w:w="1817" w:type="pct"/>
            <w:vMerge w:val="restart"/>
            <w:tcBorders>
              <w:tl2br w:val="nil"/>
              <w:tr2bl w:val="nil"/>
            </w:tcBorders>
            <w:vAlign w:val="center"/>
          </w:tcPr>
          <w:p>
            <w:pPr>
              <w:spacing w:line="240" w:lineRule="exact"/>
              <w:rPr>
                <w:sz w:val="18"/>
                <w:szCs w:val="18"/>
              </w:rPr>
            </w:pPr>
            <w:r>
              <w:rPr>
                <w:rFonts w:hint="eastAsia"/>
                <w:b/>
                <w:kern w:val="0"/>
                <w:sz w:val="18"/>
                <w:szCs w:val="18"/>
              </w:rPr>
              <w:t>恶臭防治</w:t>
            </w:r>
            <w:r>
              <w:rPr>
                <w:rFonts w:hint="eastAsia"/>
                <w:bCs/>
                <w:kern w:val="0"/>
                <w:sz w:val="18"/>
                <w:szCs w:val="18"/>
              </w:rPr>
              <w:t>：</w:t>
            </w:r>
            <w:r>
              <w:rPr>
                <w:rFonts w:hint="eastAsia"/>
                <w:sz w:val="18"/>
                <w:szCs w:val="18"/>
              </w:rPr>
              <w:t>1、</w:t>
            </w:r>
            <w:r>
              <w:rPr>
                <w:rFonts w:hint="eastAsia"/>
                <w:bCs/>
                <w:kern w:val="0"/>
                <w:sz w:val="18"/>
                <w:szCs w:val="18"/>
              </w:rPr>
              <w:t>渗滤液收集池及提升为埋地封闭机构，渗滤液处理间封闭，利用排风扇加强通风；2、填埋作业过程中要求垃圾层层压实，每日覆盖土层，随时通过喷药车进行喷药灭杀。</w:t>
            </w:r>
          </w:p>
        </w:tc>
        <w:tc>
          <w:tcPr>
            <w:tcW w:w="1145" w:type="pct"/>
            <w:gridSpan w:val="2"/>
            <w:vMerge w:val="restart"/>
            <w:tcBorders>
              <w:tl2br w:val="nil"/>
              <w:tr2bl w:val="nil"/>
            </w:tcBorders>
            <w:vAlign w:val="center"/>
          </w:tcPr>
          <w:p>
            <w:pPr>
              <w:spacing w:line="260" w:lineRule="exact"/>
              <w:jc w:val="center"/>
              <w:rPr>
                <w:rFonts w:eastAsiaTheme="minorEastAsia"/>
                <w:sz w:val="18"/>
                <w:szCs w:val="18"/>
              </w:rPr>
            </w:pPr>
            <w:r>
              <w:rPr>
                <w:rFonts w:hint="eastAsia"/>
                <w:sz w:val="18"/>
                <w:szCs w:val="18"/>
              </w:rPr>
              <w:t>2、《恶臭污染物排放标准》（GB14554-1993）</w:t>
            </w:r>
          </w:p>
          <w:p>
            <w:pPr>
              <w:spacing w:line="260" w:lineRule="exact"/>
              <w:jc w:val="center"/>
              <w:rPr>
                <w:rFonts w:eastAsiaTheme="minorEastAsia"/>
                <w:sz w:val="18"/>
                <w:szCs w:val="18"/>
              </w:rPr>
            </w:pPr>
            <w:r>
              <w:rPr>
                <w:rFonts w:hint="eastAsia" w:eastAsiaTheme="minorEastAsia"/>
                <w:sz w:val="18"/>
                <w:szCs w:val="18"/>
              </w:rPr>
              <w:t>场界浓度限值：</w:t>
            </w:r>
          </w:p>
          <w:p>
            <w:pPr>
              <w:spacing w:line="260" w:lineRule="exact"/>
              <w:jc w:val="center"/>
              <w:rPr>
                <w:rFonts w:eastAsiaTheme="minorEastAsia"/>
                <w:sz w:val="18"/>
                <w:szCs w:val="18"/>
              </w:rPr>
            </w:pPr>
            <w:r>
              <w:rPr>
                <w:rFonts w:hint="eastAsia" w:eastAsiaTheme="minorEastAsia"/>
                <w:sz w:val="18"/>
                <w:szCs w:val="18"/>
              </w:rPr>
              <w:t xml:space="preserve"> NH</w:t>
            </w:r>
            <w:r>
              <w:rPr>
                <w:rFonts w:hint="eastAsia" w:eastAsiaTheme="minorEastAsia"/>
                <w:sz w:val="18"/>
                <w:szCs w:val="18"/>
                <w:vertAlign w:val="subscript"/>
              </w:rPr>
              <w:t>3</w:t>
            </w:r>
            <w:r>
              <w:rPr>
                <w:rFonts w:hint="eastAsia" w:eastAsiaTheme="minorEastAsia"/>
                <w:sz w:val="18"/>
                <w:szCs w:val="18"/>
              </w:rPr>
              <w:t>:1.5</w:t>
            </w:r>
            <w:r>
              <w:rPr>
                <w:rFonts w:eastAsiaTheme="minorEastAsia"/>
                <w:sz w:val="18"/>
                <w:szCs w:val="18"/>
              </w:rPr>
              <w:t>mg/m</w:t>
            </w:r>
            <w:r>
              <w:rPr>
                <w:rFonts w:eastAsiaTheme="minorEastAsia"/>
                <w:sz w:val="18"/>
                <w:szCs w:val="18"/>
                <w:vertAlign w:val="superscript"/>
              </w:rPr>
              <w:t>3</w:t>
            </w:r>
          </w:p>
          <w:p>
            <w:pPr>
              <w:pStyle w:val="2"/>
              <w:ind w:firstLine="360" w:firstLineChars="200"/>
              <w:jc w:val="both"/>
              <w:rPr>
                <w:rFonts w:ascii="Times New Roman" w:hAnsi="Times New Roman" w:cs="Times New Roman"/>
                <w:sz w:val="18"/>
                <w:szCs w:val="18"/>
              </w:rPr>
            </w:pPr>
            <w:r>
              <w:rPr>
                <w:rFonts w:ascii="Times New Roman" w:hAnsi="Times New Roman" w:cs="Times New Roman" w:eastAsiaTheme="minorEastAsia"/>
                <w:sz w:val="18"/>
                <w:szCs w:val="18"/>
              </w:rPr>
              <w:t>H</w:t>
            </w:r>
            <w:r>
              <w:rPr>
                <w:rFonts w:ascii="Times New Roman" w:hAnsi="Times New Roman" w:cs="Times New Roman" w:eastAsiaTheme="minorEastAsia"/>
                <w:sz w:val="18"/>
                <w:szCs w:val="18"/>
                <w:vertAlign w:val="subscript"/>
              </w:rPr>
              <w:t>2</w:t>
            </w:r>
            <w:r>
              <w:rPr>
                <w:rFonts w:ascii="Times New Roman" w:hAnsi="Times New Roman" w:cs="Times New Roman" w:eastAsiaTheme="minorEastAsia"/>
                <w:sz w:val="18"/>
                <w:szCs w:val="18"/>
              </w:rPr>
              <w:t>S:0.06mg/m</w:t>
            </w:r>
            <w:r>
              <w:rPr>
                <w:rFonts w:ascii="Times New Roman" w:hAnsi="Times New Roman" w:cs="Times New Roman" w:eastAsiaTheme="minorEastAsia"/>
                <w:sz w:val="18"/>
                <w:szCs w:val="18"/>
                <w:vertAlign w:val="superscript"/>
              </w:rPr>
              <w:t>3</w:t>
            </w:r>
          </w:p>
        </w:tc>
        <w:tc>
          <w:tcPr>
            <w:tcW w:w="477" w:type="pct"/>
            <w:tcBorders>
              <w:tl2br w:val="nil"/>
              <w:tr2bl w:val="nil"/>
            </w:tcBorders>
            <w:vAlign w:val="center"/>
          </w:tcPr>
          <w:p>
            <w:pPr>
              <w:spacing w:line="260" w:lineRule="exact"/>
              <w:jc w:val="center"/>
              <w:rPr>
                <w:sz w:val="18"/>
                <w:szCs w:val="18"/>
              </w:rPr>
            </w:pPr>
            <w:r>
              <w:rPr>
                <w:rFonts w:hint="eastAsia"/>
                <w:sz w:val="18"/>
                <w:szCs w:val="18"/>
              </w:rPr>
              <w:t>0.0079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231" w:type="pct"/>
            <w:vMerge w:val="continue"/>
            <w:tcBorders>
              <w:tl2br w:val="nil"/>
              <w:tr2bl w:val="nil"/>
            </w:tcBorders>
            <w:vAlign w:val="center"/>
          </w:tcPr>
          <w:p>
            <w:pPr>
              <w:spacing w:line="260" w:lineRule="exact"/>
              <w:jc w:val="center"/>
              <w:rPr>
                <w:sz w:val="18"/>
                <w:szCs w:val="18"/>
              </w:rPr>
            </w:pPr>
          </w:p>
        </w:tc>
        <w:tc>
          <w:tcPr>
            <w:tcW w:w="602" w:type="pct"/>
            <w:vMerge w:val="continue"/>
            <w:tcBorders>
              <w:tl2br w:val="nil"/>
              <w:tr2bl w:val="nil"/>
            </w:tcBorders>
            <w:vAlign w:val="center"/>
          </w:tcPr>
          <w:p>
            <w:pPr>
              <w:spacing w:line="260" w:lineRule="exact"/>
              <w:jc w:val="center"/>
              <w:rPr>
                <w:sz w:val="18"/>
                <w:szCs w:val="18"/>
              </w:rPr>
            </w:pPr>
          </w:p>
        </w:tc>
        <w:tc>
          <w:tcPr>
            <w:tcW w:w="366" w:type="pct"/>
            <w:vMerge w:val="continue"/>
            <w:tcBorders>
              <w:tl2br w:val="nil"/>
              <w:tr2bl w:val="nil"/>
            </w:tcBorders>
            <w:vAlign w:val="center"/>
          </w:tcPr>
          <w:p>
            <w:pPr>
              <w:spacing w:line="260" w:lineRule="exact"/>
              <w:jc w:val="center"/>
              <w:rPr>
                <w:sz w:val="18"/>
                <w:szCs w:val="18"/>
              </w:rPr>
            </w:pPr>
          </w:p>
        </w:tc>
        <w:tc>
          <w:tcPr>
            <w:tcW w:w="359" w:type="pct"/>
            <w:tcBorders>
              <w:tl2br w:val="nil"/>
              <w:tr2bl w:val="nil"/>
            </w:tcBorders>
            <w:vAlign w:val="center"/>
          </w:tcPr>
          <w:p>
            <w:pPr>
              <w:spacing w:line="250" w:lineRule="exact"/>
              <w:jc w:val="center"/>
              <w:rPr>
                <w:sz w:val="18"/>
                <w:szCs w:val="18"/>
              </w:rPr>
            </w:pPr>
            <w:r>
              <w:rPr>
                <w:rFonts w:hint="eastAsia"/>
                <w:bCs/>
                <w:kern w:val="0"/>
                <w:sz w:val="18"/>
                <w:szCs w:val="18"/>
              </w:rPr>
              <w:t>NH</w:t>
            </w:r>
            <w:r>
              <w:rPr>
                <w:rFonts w:hint="eastAsia"/>
                <w:bCs/>
                <w:kern w:val="0"/>
                <w:sz w:val="18"/>
                <w:szCs w:val="18"/>
                <w:vertAlign w:val="subscript"/>
              </w:rPr>
              <w:t>3</w:t>
            </w:r>
          </w:p>
        </w:tc>
        <w:tc>
          <w:tcPr>
            <w:tcW w:w="1817" w:type="pct"/>
            <w:vMerge w:val="continue"/>
            <w:tcBorders>
              <w:tl2br w:val="nil"/>
              <w:tr2bl w:val="nil"/>
            </w:tcBorders>
            <w:vAlign w:val="center"/>
          </w:tcPr>
          <w:p>
            <w:pPr>
              <w:spacing w:line="240" w:lineRule="exact"/>
              <w:rPr>
                <w:sz w:val="18"/>
                <w:szCs w:val="18"/>
              </w:rPr>
            </w:pPr>
          </w:p>
        </w:tc>
        <w:tc>
          <w:tcPr>
            <w:tcW w:w="1145" w:type="pct"/>
            <w:gridSpan w:val="2"/>
            <w:vMerge w:val="continue"/>
            <w:tcBorders>
              <w:tl2br w:val="nil"/>
              <w:tr2bl w:val="nil"/>
            </w:tcBorders>
            <w:vAlign w:val="center"/>
          </w:tcPr>
          <w:p>
            <w:pPr>
              <w:spacing w:line="260" w:lineRule="exact"/>
              <w:jc w:val="center"/>
              <w:rPr>
                <w:sz w:val="18"/>
                <w:szCs w:val="18"/>
              </w:rPr>
            </w:pPr>
          </w:p>
        </w:tc>
        <w:tc>
          <w:tcPr>
            <w:tcW w:w="477" w:type="pct"/>
            <w:tcBorders>
              <w:tl2br w:val="nil"/>
              <w:tr2bl w:val="nil"/>
            </w:tcBorders>
            <w:vAlign w:val="center"/>
          </w:tcPr>
          <w:p>
            <w:pPr>
              <w:spacing w:line="260" w:lineRule="exact"/>
              <w:jc w:val="center"/>
              <w:rPr>
                <w:sz w:val="18"/>
                <w:szCs w:val="18"/>
              </w:rPr>
            </w:pPr>
            <w:r>
              <w:rPr>
                <w:rFonts w:hint="eastAsia"/>
                <w:sz w:val="18"/>
                <w:szCs w:val="18"/>
              </w:rPr>
              <w:t>0.28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231" w:type="pct"/>
            <w:tcBorders>
              <w:tl2br w:val="nil"/>
              <w:tr2bl w:val="nil"/>
            </w:tcBorders>
            <w:vAlign w:val="center"/>
          </w:tcPr>
          <w:p>
            <w:pPr>
              <w:spacing w:line="260" w:lineRule="exact"/>
              <w:jc w:val="center"/>
              <w:rPr>
                <w:sz w:val="18"/>
                <w:szCs w:val="18"/>
              </w:rPr>
            </w:pPr>
            <w:r>
              <w:rPr>
                <w:sz w:val="18"/>
                <w:szCs w:val="18"/>
              </w:rPr>
              <w:t>2</w:t>
            </w:r>
          </w:p>
        </w:tc>
        <w:tc>
          <w:tcPr>
            <w:tcW w:w="602" w:type="pct"/>
            <w:tcBorders>
              <w:tl2br w:val="nil"/>
              <w:tr2bl w:val="nil"/>
            </w:tcBorders>
            <w:vAlign w:val="center"/>
          </w:tcPr>
          <w:p>
            <w:pPr>
              <w:spacing w:line="260" w:lineRule="exact"/>
              <w:jc w:val="center"/>
              <w:rPr>
                <w:rFonts w:eastAsiaTheme="minorEastAsia"/>
                <w:sz w:val="18"/>
                <w:szCs w:val="18"/>
              </w:rPr>
            </w:pPr>
            <w:r>
              <w:rPr>
                <w:rFonts w:hint="eastAsia"/>
                <w:bCs/>
                <w:sz w:val="18"/>
                <w:szCs w:val="18"/>
                <w:lang w:val="zh-CN"/>
              </w:rPr>
              <w:t>填埋作业及垃圾运输、堆土场扬尘及轻质垃圾污染</w:t>
            </w:r>
          </w:p>
        </w:tc>
        <w:tc>
          <w:tcPr>
            <w:tcW w:w="366" w:type="pct"/>
            <w:tcBorders>
              <w:tl2br w:val="nil"/>
              <w:tr2bl w:val="nil"/>
            </w:tcBorders>
            <w:vAlign w:val="center"/>
          </w:tcPr>
          <w:p>
            <w:pPr>
              <w:spacing w:line="260" w:lineRule="exact"/>
              <w:jc w:val="center"/>
              <w:rPr>
                <w:sz w:val="18"/>
                <w:szCs w:val="18"/>
              </w:rPr>
            </w:pPr>
            <w:r>
              <w:rPr>
                <w:rFonts w:hint="eastAsia"/>
                <w:sz w:val="18"/>
                <w:szCs w:val="18"/>
              </w:rPr>
              <w:t>扬尘</w:t>
            </w:r>
          </w:p>
        </w:tc>
        <w:tc>
          <w:tcPr>
            <w:tcW w:w="359" w:type="pct"/>
            <w:tcBorders>
              <w:tl2br w:val="nil"/>
              <w:tr2bl w:val="nil"/>
            </w:tcBorders>
            <w:vAlign w:val="center"/>
          </w:tcPr>
          <w:p>
            <w:pPr>
              <w:spacing w:line="260" w:lineRule="exact"/>
              <w:jc w:val="center"/>
              <w:rPr>
                <w:rFonts w:eastAsiaTheme="minorEastAsia"/>
                <w:sz w:val="18"/>
                <w:szCs w:val="18"/>
              </w:rPr>
            </w:pPr>
            <w:r>
              <w:rPr>
                <w:sz w:val="18"/>
                <w:szCs w:val="18"/>
              </w:rPr>
              <w:t>TSP</w:t>
            </w:r>
          </w:p>
        </w:tc>
        <w:tc>
          <w:tcPr>
            <w:tcW w:w="1817" w:type="pct"/>
            <w:tcBorders>
              <w:tl2br w:val="nil"/>
              <w:tr2bl w:val="nil"/>
            </w:tcBorders>
            <w:vAlign w:val="center"/>
          </w:tcPr>
          <w:p>
            <w:pPr>
              <w:spacing w:line="240" w:lineRule="exact"/>
              <w:rPr>
                <w:rFonts w:eastAsiaTheme="minorEastAsia"/>
                <w:sz w:val="18"/>
                <w:szCs w:val="18"/>
              </w:rPr>
            </w:pPr>
            <w:r>
              <w:rPr>
                <w:rFonts w:hint="eastAsia"/>
                <w:bCs/>
                <w:kern w:val="0"/>
                <w:sz w:val="18"/>
                <w:szCs w:val="18"/>
              </w:rPr>
              <w:t>1、</w:t>
            </w:r>
            <w:r>
              <w:rPr>
                <w:bCs/>
                <w:kern w:val="0"/>
                <w:sz w:val="18"/>
                <w:szCs w:val="18"/>
              </w:rPr>
              <w:t>加强场地及道路清扫、洒水，保证频次</w:t>
            </w:r>
            <w:r>
              <w:rPr>
                <w:rFonts w:hint="eastAsia"/>
                <w:bCs/>
                <w:kern w:val="0"/>
                <w:sz w:val="18"/>
                <w:szCs w:val="18"/>
              </w:rPr>
              <w:t>；2、场区出入口配套建设洗车平台，</w:t>
            </w:r>
            <w:r>
              <w:rPr>
                <w:bCs/>
                <w:kern w:val="0"/>
                <w:sz w:val="18"/>
                <w:szCs w:val="18"/>
              </w:rPr>
              <w:t>运输车辆出场前进行冲洗；</w:t>
            </w:r>
            <w:r>
              <w:rPr>
                <w:rFonts w:hint="eastAsia"/>
                <w:bCs/>
                <w:kern w:val="0"/>
                <w:sz w:val="18"/>
                <w:szCs w:val="18"/>
              </w:rPr>
              <w:t>3、</w:t>
            </w:r>
            <w:r>
              <w:rPr>
                <w:bCs/>
                <w:kern w:val="0"/>
                <w:sz w:val="18"/>
                <w:szCs w:val="18"/>
              </w:rPr>
              <w:t>填埋区分单元科学作业，尽量缩小堆存作业面积、表面增湿、及时覆盖及垃圾卸车等作业点设移动防飞网</w:t>
            </w:r>
            <w:r>
              <w:rPr>
                <w:rFonts w:hint="eastAsia"/>
                <w:bCs/>
                <w:kern w:val="0"/>
                <w:sz w:val="18"/>
                <w:szCs w:val="18"/>
              </w:rPr>
              <w:t>；4、场地四周设防飞散网</w:t>
            </w:r>
            <w:r>
              <w:rPr>
                <w:bCs/>
                <w:kern w:val="0"/>
                <w:sz w:val="18"/>
                <w:szCs w:val="18"/>
              </w:rPr>
              <w:t>；</w:t>
            </w:r>
            <w:r>
              <w:rPr>
                <w:rFonts w:hint="eastAsia"/>
                <w:bCs/>
                <w:kern w:val="0"/>
                <w:sz w:val="18"/>
                <w:szCs w:val="18"/>
              </w:rPr>
              <w:t>5、</w:t>
            </w:r>
            <w:r>
              <w:rPr>
                <w:bCs/>
                <w:kern w:val="0"/>
                <w:sz w:val="18"/>
                <w:szCs w:val="18"/>
              </w:rPr>
              <w:t>场内临时弃土堆表面进行覆盖或播撒草籽</w:t>
            </w:r>
            <w:r>
              <w:rPr>
                <w:rFonts w:hint="eastAsia"/>
                <w:bCs/>
                <w:kern w:val="0"/>
                <w:sz w:val="18"/>
                <w:szCs w:val="18"/>
              </w:rPr>
              <w:t>；6、</w:t>
            </w:r>
            <w:r>
              <w:rPr>
                <w:bCs/>
                <w:kern w:val="0"/>
                <w:sz w:val="18"/>
                <w:szCs w:val="18"/>
              </w:rPr>
              <w:t>土方场内倒运过程中落实湿法作业，车辆减速慢行，土方覆盖后及时压实等。</w:t>
            </w:r>
          </w:p>
        </w:tc>
        <w:tc>
          <w:tcPr>
            <w:tcW w:w="1145" w:type="pct"/>
            <w:gridSpan w:val="2"/>
            <w:tcBorders>
              <w:tl2br w:val="nil"/>
              <w:tr2bl w:val="nil"/>
            </w:tcBorders>
            <w:vAlign w:val="center"/>
          </w:tcPr>
          <w:p>
            <w:pPr>
              <w:spacing w:line="260" w:lineRule="exact"/>
              <w:jc w:val="center"/>
              <w:rPr>
                <w:sz w:val="18"/>
                <w:szCs w:val="18"/>
              </w:rPr>
            </w:pPr>
            <w:r>
              <w:rPr>
                <w:sz w:val="18"/>
                <w:szCs w:val="18"/>
              </w:rPr>
              <w:t>《大气污染物综合排放标准》（GB16297-1996）</w:t>
            </w:r>
          </w:p>
          <w:p>
            <w:pPr>
              <w:spacing w:line="260" w:lineRule="exact"/>
              <w:jc w:val="center"/>
              <w:rPr>
                <w:rFonts w:eastAsiaTheme="minorEastAsia"/>
                <w:sz w:val="18"/>
                <w:szCs w:val="18"/>
              </w:rPr>
            </w:pPr>
            <w:r>
              <w:rPr>
                <w:sz w:val="18"/>
                <w:szCs w:val="18"/>
              </w:rPr>
              <w:t>二级标准</w:t>
            </w:r>
            <w:r>
              <w:rPr>
                <w:rFonts w:hint="eastAsia"/>
                <w:sz w:val="18"/>
                <w:szCs w:val="18"/>
              </w:rPr>
              <w:t>：</w:t>
            </w:r>
          </w:p>
          <w:p>
            <w:pPr>
              <w:spacing w:line="260" w:lineRule="exact"/>
              <w:jc w:val="center"/>
              <w:rPr>
                <w:rFonts w:eastAsiaTheme="minorEastAsia"/>
                <w:sz w:val="18"/>
                <w:szCs w:val="18"/>
              </w:rPr>
            </w:pPr>
            <w:r>
              <w:rPr>
                <w:sz w:val="18"/>
                <w:szCs w:val="18"/>
              </w:rPr>
              <w:t>周界外浓度最高点 1</w:t>
            </w:r>
            <w:r>
              <w:rPr>
                <w:rFonts w:hint="eastAsia"/>
                <w:sz w:val="18"/>
                <w:szCs w:val="18"/>
              </w:rPr>
              <w:t>.0m</w:t>
            </w:r>
            <w:r>
              <w:rPr>
                <w:sz w:val="18"/>
                <w:szCs w:val="18"/>
              </w:rPr>
              <w:t>g/m</w:t>
            </w:r>
            <w:r>
              <w:rPr>
                <w:sz w:val="18"/>
                <w:szCs w:val="18"/>
                <w:vertAlign w:val="superscript"/>
              </w:rPr>
              <w:t>3</w:t>
            </w:r>
          </w:p>
        </w:tc>
        <w:tc>
          <w:tcPr>
            <w:tcW w:w="477" w:type="pct"/>
            <w:tcBorders>
              <w:tl2br w:val="nil"/>
              <w:tr2bl w:val="nil"/>
            </w:tcBorders>
            <w:vAlign w:val="center"/>
          </w:tcPr>
          <w:p>
            <w:pPr>
              <w:spacing w:line="260" w:lineRule="exact"/>
              <w:jc w:val="center"/>
              <w:rPr>
                <w:sz w:val="18"/>
                <w:szCs w:val="18"/>
              </w:rPr>
            </w:pPr>
            <w:r>
              <w:rPr>
                <w:rFonts w:hint="eastAsia"/>
                <w:sz w:val="18"/>
                <w:szCs w:val="18"/>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5000" w:type="pct"/>
            <w:gridSpan w:val="8"/>
            <w:tcBorders>
              <w:tl2br w:val="nil"/>
              <w:tr2bl w:val="nil"/>
            </w:tcBorders>
            <w:vAlign w:val="center"/>
          </w:tcPr>
          <w:p>
            <w:pPr>
              <w:spacing w:line="260" w:lineRule="exact"/>
              <w:jc w:val="center"/>
              <w:rPr>
                <w:sz w:val="18"/>
                <w:szCs w:val="18"/>
              </w:rPr>
            </w:pPr>
            <w:r>
              <w:rPr>
                <w:sz w:val="18"/>
                <w:szCs w:val="18"/>
              </w:rPr>
              <w:t>无组织排放总计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559" w:type="pct"/>
            <w:gridSpan w:val="4"/>
            <w:vMerge w:val="restart"/>
            <w:tcBorders>
              <w:tl2br w:val="nil"/>
              <w:tr2bl w:val="nil"/>
            </w:tcBorders>
            <w:vAlign w:val="center"/>
          </w:tcPr>
          <w:p>
            <w:pPr>
              <w:spacing w:line="260" w:lineRule="exact"/>
              <w:jc w:val="center"/>
              <w:rPr>
                <w:sz w:val="18"/>
                <w:szCs w:val="18"/>
              </w:rPr>
            </w:pPr>
            <w:r>
              <w:rPr>
                <w:sz w:val="18"/>
                <w:szCs w:val="18"/>
              </w:rPr>
              <w:t>无组织排放总计</w:t>
            </w:r>
          </w:p>
        </w:tc>
        <w:tc>
          <w:tcPr>
            <w:tcW w:w="1817" w:type="pct"/>
            <w:tcBorders>
              <w:tl2br w:val="nil"/>
              <w:tr2bl w:val="nil"/>
            </w:tcBorders>
            <w:vAlign w:val="center"/>
          </w:tcPr>
          <w:p>
            <w:pPr>
              <w:spacing w:line="250" w:lineRule="exact"/>
              <w:jc w:val="center"/>
              <w:rPr>
                <w:sz w:val="18"/>
                <w:szCs w:val="18"/>
              </w:rPr>
            </w:pPr>
            <w:r>
              <w:rPr>
                <w:rFonts w:hint="eastAsia"/>
                <w:bCs/>
                <w:kern w:val="0"/>
                <w:sz w:val="18"/>
                <w:szCs w:val="18"/>
              </w:rPr>
              <w:t>H</w:t>
            </w:r>
            <w:r>
              <w:rPr>
                <w:rFonts w:hint="eastAsia"/>
                <w:bCs/>
                <w:kern w:val="0"/>
                <w:sz w:val="18"/>
                <w:szCs w:val="18"/>
                <w:vertAlign w:val="subscript"/>
              </w:rPr>
              <w:t>2</w:t>
            </w:r>
            <w:r>
              <w:rPr>
                <w:rFonts w:hint="eastAsia"/>
                <w:bCs/>
                <w:kern w:val="0"/>
                <w:sz w:val="18"/>
                <w:szCs w:val="18"/>
              </w:rPr>
              <w:t>S</w:t>
            </w:r>
          </w:p>
        </w:tc>
        <w:tc>
          <w:tcPr>
            <w:tcW w:w="1622" w:type="pct"/>
            <w:gridSpan w:val="3"/>
            <w:tcBorders>
              <w:tl2br w:val="nil"/>
              <w:tr2bl w:val="nil"/>
            </w:tcBorders>
            <w:vAlign w:val="center"/>
          </w:tcPr>
          <w:p>
            <w:pPr>
              <w:spacing w:line="260" w:lineRule="exact"/>
              <w:jc w:val="center"/>
              <w:rPr>
                <w:sz w:val="18"/>
                <w:szCs w:val="18"/>
              </w:rPr>
            </w:pPr>
            <w:r>
              <w:rPr>
                <w:rFonts w:hint="eastAsia"/>
                <w:sz w:val="18"/>
                <w:szCs w:val="18"/>
              </w:rPr>
              <w:t>0.0079</w:t>
            </w:r>
            <w:r>
              <w:rPr>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559" w:type="pct"/>
            <w:gridSpan w:val="4"/>
            <w:vMerge w:val="continue"/>
            <w:tcBorders>
              <w:tl2br w:val="nil"/>
              <w:tr2bl w:val="nil"/>
            </w:tcBorders>
            <w:vAlign w:val="center"/>
          </w:tcPr>
          <w:p>
            <w:pPr>
              <w:spacing w:line="260" w:lineRule="exact"/>
              <w:jc w:val="center"/>
              <w:rPr>
                <w:sz w:val="18"/>
                <w:szCs w:val="18"/>
              </w:rPr>
            </w:pPr>
          </w:p>
        </w:tc>
        <w:tc>
          <w:tcPr>
            <w:tcW w:w="1817" w:type="pct"/>
            <w:tcBorders>
              <w:tl2br w:val="nil"/>
              <w:tr2bl w:val="nil"/>
            </w:tcBorders>
            <w:vAlign w:val="center"/>
          </w:tcPr>
          <w:p>
            <w:pPr>
              <w:spacing w:line="250" w:lineRule="exact"/>
              <w:jc w:val="center"/>
              <w:rPr>
                <w:sz w:val="18"/>
                <w:szCs w:val="18"/>
              </w:rPr>
            </w:pPr>
            <w:r>
              <w:rPr>
                <w:rFonts w:hint="eastAsia"/>
                <w:bCs/>
                <w:kern w:val="0"/>
                <w:sz w:val="18"/>
                <w:szCs w:val="18"/>
              </w:rPr>
              <w:t>NH</w:t>
            </w:r>
            <w:r>
              <w:rPr>
                <w:rFonts w:hint="eastAsia"/>
                <w:bCs/>
                <w:kern w:val="0"/>
                <w:sz w:val="18"/>
                <w:szCs w:val="18"/>
                <w:vertAlign w:val="subscript"/>
              </w:rPr>
              <w:t>3</w:t>
            </w:r>
          </w:p>
        </w:tc>
        <w:tc>
          <w:tcPr>
            <w:tcW w:w="1622" w:type="pct"/>
            <w:gridSpan w:val="3"/>
            <w:tcBorders>
              <w:tl2br w:val="nil"/>
              <w:tr2bl w:val="nil"/>
            </w:tcBorders>
            <w:vAlign w:val="center"/>
          </w:tcPr>
          <w:p>
            <w:pPr>
              <w:spacing w:line="260" w:lineRule="exact"/>
              <w:jc w:val="center"/>
              <w:rPr>
                <w:sz w:val="18"/>
                <w:szCs w:val="18"/>
              </w:rPr>
            </w:pPr>
            <w:r>
              <w:rPr>
                <w:rFonts w:hint="eastAsia"/>
                <w:sz w:val="18"/>
                <w:szCs w:val="18"/>
              </w:rPr>
              <w:t>0.28</w:t>
            </w:r>
            <w:r>
              <w:rPr>
                <w:sz w:val="18"/>
                <w:szCs w:val="18"/>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559" w:type="pct"/>
            <w:gridSpan w:val="4"/>
            <w:vMerge w:val="continue"/>
            <w:tcBorders>
              <w:tl2br w:val="nil"/>
              <w:tr2bl w:val="nil"/>
            </w:tcBorders>
            <w:vAlign w:val="center"/>
          </w:tcPr>
          <w:p>
            <w:pPr>
              <w:spacing w:line="260" w:lineRule="exact"/>
              <w:jc w:val="center"/>
              <w:rPr>
                <w:sz w:val="18"/>
                <w:szCs w:val="18"/>
              </w:rPr>
            </w:pPr>
          </w:p>
        </w:tc>
        <w:tc>
          <w:tcPr>
            <w:tcW w:w="1817" w:type="pct"/>
            <w:tcBorders>
              <w:tl2br w:val="nil"/>
              <w:tr2bl w:val="nil"/>
            </w:tcBorders>
            <w:vAlign w:val="center"/>
          </w:tcPr>
          <w:p>
            <w:pPr>
              <w:spacing w:line="260" w:lineRule="exact"/>
              <w:jc w:val="center"/>
              <w:rPr>
                <w:sz w:val="18"/>
                <w:szCs w:val="18"/>
              </w:rPr>
            </w:pPr>
            <w:r>
              <w:rPr>
                <w:rFonts w:hint="eastAsia"/>
                <w:sz w:val="18"/>
                <w:szCs w:val="18"/>
              </w:rPr>
              <w:t>颗粒物</w:t>
            </w:r>
          </w:p>
        </w:tc>
        <w:tc>
          <w:tcPr>
            <w:tcW w:w="1622" w:type="pct"/>
            <w:gridSpan w:val="3"/>
            <w:tcBorders>
              <w:tl2br w:val="nil"/>
              <w:tr2bl w:val="nil"/>
            </w:tcBorders>
            <w:vAlign w:val="center"/>
          </w:tcPr>
          <w:p>
            <w:pPr>
              <w:spacing w:line="260" w:lineRule="exact"/>
              <w:jc w:val="center"/>
              <w:rPr>
                <w:sz w:val="18"/>
                <w:szCs w:val="18"/>
              </w:rPr>
            </w:pPr>
            <w:r>
              <w:rPr>
                <w:rFonts w:hint="eastAsia"/>
                <w:sz w:val="18"/>
                <w:szCs w:val="18"/>
              </w:rPr>
              <w:t>1.01</w:t>
            </w:r>
            <w:r>
              <w:rPr>
                <w:sz w:val="18"/>
                <w:szCs w:val="18"/>
              </w:rPr>
              <w:t>t/a</w:t>
            </w:r>
          </w:p>
        </w:tc>
      </w:tr>
    </w:tbl>
    <w:p>
      <w:pPr>
        <w:spacing w:line="480" w:lineRule="exact"/>
        <w:ind w:firstLine="482" w:firstLineChars="200"/>
        <w:rPr>
          <w:b/>
          <w:bCs/>
          <w:sz w:val="24"/>
        </w:rPr>
      </w:pPr>
      <w:r>
        <w:rPr>
          <w:rFonts w:hint="eastAsia"/>
          <w:b/>
          <w:bCs/>
          <w:sz w:val="24"/>
        </w:rPr>
        <w:t>3、评价结论</w:t>
      </w:r>
    </w:p>
    <w:p>
      <w:pPr>
        <w:spacing w:line="480" w:lineRule="exact"/>
        <w:ind w:firstLine="482" w:firstLineChars="200"/>
        <w:rPr>
          <w:color w:val="FF0000"/>
          <w:sz w:val="24"/>
        </w:rPr>
      </w:pPr>
      <w:r>
        <w:rPr>
          <w:b/>
          <w:bCs/>
          <w:sz w:val="24"/>
        </w:rPr>
        <w:t>（</w:t>
      </w:r>
      <w:r>
        <w:rPr>
          <w:rFonts w:hint="eastAsia"/>
          <w:b/>
          <w:bCs/>
          <w:sz w:val="24"/>
        </w:rPr>
        <w:t>1</w:t>
      </w:r>
      <w:r>
        <w:rPr>
          <w:b/>
          <w:bCs/>
          <w:sz w:val="24"/>
        </w:rPr>
        <w:t>）</w:t>
      </w:r>
      <w:r>
        <w:rPr>
          <w:rFonts w:hint="eastAsia"/>
          <w:b/>
          <w:bCs/>
          <w:sz w:val="24"/>
        </w:rPr>
        <w:t>环境影响及污染控制措施可行性</w:t>
      </w:r>
    </w:p>
    <w:p>
      <w:pPr>
        <w:spacing w:line="480" w:lineRule="exact"/>
        <w:ind w:firstLine="480" w:firstLineChars="200"/>
        <w:rPr>
          <w:sz w:val="24"/>
        </w:rPr>
      </w:pPr>
      <w:r>
        <w:rPr>
          <w:rFonts w:hint="eastAsia"/>
          <w:sz w:val="24"/>
        </w:rPr>
        <w:t>本项目为城市生活垃圾卫生填埋场工程，可借鉴的治理经验较多，采取的环保措施较为成熟有效，根据预测结果，项目各污染物最大浓度占标率均相对较低，其中最大为</w:t>
      </w:r>
      <w:r>
        <w:rPr>
          <w:sz w:val="24"/>
        </w:rPr>
        <w:t>P</w:t>
      </w:r>
      <w:r>
        <w:rPr>
          <w:sz w:val="24"/>
          <w:vertAlign w:val="subscript"/>
        </w:rPr>
        <w:t>NH3</w:t>
      </w:r>
      <w:r>
        <w:rPr>
          <w:rFonts w:hint="eastAsia"/>
          <w:sz w:val="24"/>
        </w:rPr>
        <w:t>=7.85</w:t>
      </w:r>
      <w:r>
        <w:rPr>
          <w:sz w:val="24"/>
        </w:rPr>
        <w:t>%</w:t>
      </w:r>
      <w:r>
        <w:rPr>
          <w:rFonts w:hint="eastAsia"/>
          <w:sz w:val="24"/>
        </w:rPr>
        <w:t>，对区域大气环境及村庄等产生的影响可以接受。另外，</w:t>
      </w:r>
      <w:r>
        <w:rPr>
          <w:sz w:val="24"/>
        </w:rPr>
        <w:t>2022年9月</w:t>
      </w:r>
      <w:r>
        <w:rPr>
          <w:rFonts w:hint="eastAsia"/>
          <w:sz w:val="24"/>
        </w:rPr>
        <w:t>6</w:t>
      </w:r>
      <w:r>
        <w:rPr>
          <w:sz w:val="24"/>
        </w:rPr>
        <w:t>日、</w:t>
      </w:r>
      <w:r>
        <w:rPr>
          <w:rFonts w:hint="eastAsia"/>
          <w:sz w:val="24"/>
        </w:rPr>
        <w:t>7</w:t>
      </w:r>
      <w:r>
        <w:rPr>
          <w:sz w:val="24"/>
        </w:rPr>
        <w:t>日，监测单位对</w:t>
      </w:r>
      <w:r>
        <w:rPr>
          <w:rFonts w:hint="eastAsia"/>
          <w:sz w:val="24"/>
        </w:rPr>
        <w:t>本项目场界H</w:t>
      </w:r>
      <w:r>
        <w:rPr>
          <w:rFonts w:hint="eastAsia"/>
          <w:sz w:val="24"/>
          <w:vertAlign w:val="subscript"/>
        </w:rPr>
        <w:t>2</w:t>
      </w:r>
      <w:r>
        <w:rPr>
          <w:rFonts w:hint="eastAsia"/>
          <w:sz w:val="24"/>
        </w:rPr>
        <w:t>S、NH</w:t>
      </w:r>
      <w:r>
        <w:rPr>
          <w:rFonts w:hint="eastAsia"/>
          <w:sz w:val="24"/>
          <w:vertAlign w:val="subscript"/>
        </w:rPr>
        <w:t>3</w:t>
      </w:r>
      <w:r>
        <w:rPr>
          <w:rFonts w:hint="eastAsia"/>
          <w:sz w:val="24"/>
        </w:rPr>
        <w:t>、颗粒物无组织监测结果显示，H</w:t>
      </w:r>
      <w:r>
        <w:rPr>
          <w:rFonts w:hint="eastAsia"/>
          <w:sz w:val="24"/>
          <w:vertAlign w:val="subscript"/>
        </w:rPr>
        <w:t>2</w:t>
      </w:r>
      <w:r>
        <w:rPr>
          <w:rFonts w:hint="eastAsia"/>
          <w:sz w:val="24"/>
        </w:rPr>
        <w:t>S未检出，NH</w:t>
      </w:r>
      <w:r>
        <w:rPr>
          <w:rFonts w:hint="eastAsia"/>
          <w:sz w:val="24"/>
          <w:vertAlign w:val="subscript"/>
        </w:rPr>
        <w:t>3</w:t>
      </w:r>
      <w:r>
        <w:rPr>
          <w:rFonts w:hint="eastAsia"/>
          <w:sz w:val="24"/>
        </w:rPr>
        <w:t>、颗粒物</w:t>
      </w:r>
      <w:r>
        <w:rPr>
          <w:sz w:val="24"/>
        </w:rPr>
        <w:t>监控点浓度值</w:t>
      </w:r>
      <w:r>
        <w:rPr>
          <w:rFonts w:hint="eastAsia"/>
          <w:sz w:val="24"/>
        </w:rPr>
        <w:t>分别为0.159～0.204mg/m</w:t>
      </w:r>
      <w:r>
        <w:rPr>
          <w:rFonts w:hint="eastAsia"/>
          <w:sz w:val="24"/>
          <w:vertAlign w:val="superscript"/>
        </w:rPr>
        <w:t>3</w:t>
      </w:r>
      <w:r>
        <w:rPr>
          <w:rFonts w:hint="eastAsia"/>
          <w:sz w:val="24"/>
        </w:rPr>
        <w:t>、0.2～0.254mg/m</w:t>
      </w:r>
      <w:r>
        <w:rPr>
          <w:rFonts w:hint="eastAsia"/>
          <w:sz w:val="24"/>
          <w:vertAlign w:val="superscript"/>
        </w:rPr>
        <w:t>3</w:t>
      </w:r>
      <w:r>
        <w:rPr>
          <w:rFonts w:hint="eastAsia"/>
          <w:sz w:val="24"/>
        </w:rPr>
        <w:t>，场界浓度均可达标。</w:t>
      </w:r>
    </w:p>
    <w:p>
      <w:pPr>
        <w:spacing w:line="480" w:lineRule="exact"/>
        <w:ind w:firstLine="482" w:firstLineChars="200"/>
        <w:rPr>
          <w:color w:val="000000"/>
          <w:sz w:val="24"/>
        </w:rPr>
      </w:pPr>
      <w:r>
        <w:rPr>
          <w:b/>
          <w:bCs/>
          <w:sz w:val="24"/>
        </w:rPr>
        <w:t>（2）大气环境防护距离</w:t>
      </w:r>
    </w:p>
    <w:p>
      <w:pPr>
        <w:spacing w:line="480" w:lineRule="exact"/>
        <w:ind w:firstLine="480" w:firstLineChars="200"/>
        <w:rPr>
          <w:sz w:val="24"/>
        </w:rPr>
      </w:pPr>
      <w:r>
        <w:rPr>
          <w:rFonts w:hint="eastAsia"/>
          <w:sz w:val="24"/>
        </w:rPr>
        <w:t>项目以库区生活垃圾填埋作业产生的无组织恶臭及粉尘作为主要污染源，经预测，上述各污染因子在项目场界及周围均无超标点，本项目不需设置大气环境防护距离。</w:t>
      </w:r>
    </w:p>
    <w:p>
      <w:pPr>
        <w:spacing w:line="480" w:lineRule="exact"/>
        <w:ind w:firstLine="482" w:firstLineChars="200"/>
        <w:rPr>
          <w:color w:val="000000"/>
          <w:sz w:val="24"/>
        </w:rPr>
      </w:pPr>
      <w:r>
        <w:rPr>
          <w:b/>
          <w:bCs/>
          <w:sz w:val="24"/>
        </w:rPr>
        <w:t>（</w:t>
      </w:r>
      <w:r>
        <w:rPr>
          <w:rFonts w:hint="eastAsia"/>
          <w:b/>
          <w:bCs/>
          <w:sz w:val="24"/>
        </w:rPr>
        <w:t>3</w:t>
      </w:r>
      <w:r>
        <w:rPr>
          <w:b/>
          <w:bCs/>
          <w:sz w:val="24"/>
        </w:rPr>
        <w:t>）</w:t>
      </w:r>
      <w:r>
        <w:rPr>
          <w:rFonts w:hint="eastAsia"/>
          <w:b/>
          <w:bCs/>
          <w:sz w:val="24"/>
        </w:rPr>
        <w:t>污染物排放量核算结果</w:t>
      </w:r>
    </w:p>
    <w:p>
      <w:pPr>
        <w:spacing w:line="480" w:lineRule="exact"/>
        <w:ind w:firstLine="480" w:firstLineChars="200"/>
        <w:rPr>
          <w:sz w:val="24"/>
        </w:rPr>
      </w:pPr>
      <w:r>
        <w:rPr>
          <w:rFonts w:hint="eastAsia"/>
          <w:sz w:val="24"/>
        </w:rPr>
        <w:t>项目大气污染物主要为填埋气及垃圾运输、倾倒、覆土等过程产生的扬尘等，其中填埋初期填埋气经导气石笼中心管直接放空，污染物主要为H</w:t>
      </w:r>
      <w:r>
        <w:rPr>
          <w:rFonts w:hint="eastAsia"/>
          <w:sz w:val="24"/>
          <w:vertAlign w:val="subscript"/>
        </w:rPr>
        <w:t>2</w:t>
      </w:r>
      <w:r>
        <w:rPr>
          <w:rFonts w:hint="eastAsia"/>
          <w:sz w:val="24"/>
        </w:rPr>
        <w:t>S、NH</w:t>
      </w:r>
      <w:r>
        <w:rPr>
          <w:rFonts w:hint="eastAsia"/>
          <w:sz w:val="24"/>
          <w:vertAlign w:val="subscript"/>
        </w:rPr>
        <w:t>3</w:t>
      </w:r>
      <w:r>
        <w:rPr>
          <w:rFonts w:hint="eastAsia"/>
          <w:sz w:val="24"/>
        </w:rPr>
        <w:t>，随着场内运行、垃圾填埋气产量及甲烷等有机气体含量增加，当填埋气经燃烧器焚烧后放空，其产物主要为CO</w:t>
      </w:r>
      <w:r>
        <w:rPr>
          <w:rFonts w:hint="eastAsia"/>
          <w:sz w:val="24"/>
          <w:vertAlign w:val="subscript"/>
        </w:rPr>
        <w:t>2</w:t>
      </w:r>
      <w:r>
        <w:rPr>
          <w:rFonts w:hint="eastAsia"/>
          <w:sz w:val="24"/>
        </w:rPr>
        <w:t>以及可能还伴随少量的SO</w:t>
      </w:r>
      <w:r>
        <w:rPr>
          <w:rFonts w:hint="eastAsia"/>
          <w:sz w:val="24"/>
          <w:vertAlign w:val="subscript"/>
        </w:rPr>
        <w:t>2</w:t>
      </w:r>
      <w:r>
        <w:rPr>
          <w:rFonts w:hint="eastAsia"/>
          <w:sz w:val="24"/>
        </w:rPr>
        <w:t>及NO</w:t>
      </w:r>
      <w:r>
        <w:rPr>
          <w:rFonts w:hint="eastAsia"/>
          <w:sz w:val="24"/>
          <w:vertAlign w:val="subscript"/>
        </w:rPr>
        <w:t>X</w:t>
      </w:r>
      <w:r>
        <w:rPr>
          <w:rFonts w:hint="eastAsia"/>
          <w:sz w:val="24"/>
        </w:rPr>
        <w:t>等污染物。</w:t>
      </w:r>
    </w:p>
    <w:p>
      <w:pPr>
        <w:spacing w:line="480" w:lineRule="exact"/>
        <w:ind w:firstLine="480" w:firstLineChars="200"/>
        <w:rPr>
          <w:sz w:val="24"/>
        </w:rPr>
      </w:pPr>
      <w:r>
        <w:rPr>
          <w:rFonts w:hint="eastAsia"/>
          <w:sz w:val="24"/>
        </w:rPr>
        <w:t>本项目H</w:t>
      </w:r>
      <w:r>
        <w:rPr>
          <w:rFonts w:hint="eastAsia"/>
          <w:sz w:val="24"/>
          <w:vertAlign w:val="subscript"/>
        </w:rPr>
        <w:t>2</w:t>
      </w:r>
      <w:r>
        <w:rPr>
          <w:rFonts w:hint="eastAsia"/>
          <w:sz w:val="24"/>
        </w:rPr>
        <w:t>S、NH</w:t>
      </w:r>
      <w:r>
        <w:rPr>
          <w:rFonts w:hint="eastAsia"/>
          <w:sz w:val="24"/>
          <w:vertAlign w:val="subscript"/>
        </w:rPr>
        <w:t>3</w:t>
      </w:r>
      <w:r>
        <w:rPr>
          <w:rFonts w:hint="eastAsia"/>
          <w:sz w:val="24"/>
        </w:rPr>
        <w:t>、粉尘等均为无组织排放，无有组织排放污染物，其中H</w:t>
      </w:r>
      <w:r>
        <w:rPr>
          <w:rFonts w:hint="eastAsia"/>
          <w:sz w:val="24"/>
          <w:vertAlign w:val="subscript"/>
        </w:rPr>
        <w:t>2</w:t>
      </w:r>
      <w:r>
        <w:rPr>
          <w:rFonts w:hint="eastAsia"/>
          <w:sz w:val="24"/>
        </w:rPr>
        <w:t>S排放量约0.0079t/a，NH</w:t>
      </w:r>
      <w:r>
        <w:rPr>
          <w:rFonts w:hint="eastAsia"/>
          <w:sz w:val="24"/>
          <w:vertAlign w:val="subscript"/>
        </w:rPr>
        <w:t>3</w:t>
      </w:r>
      <w:r>
        <w:rPr>
          <w:rFonts w:hint="eastAsia"/>
          <w:sz w:val="24"/>
        </w:rPr>
        <w:t>排放量约0.28t/a，粉尘排放量约1.01t/a，合计约1.2979t/a。</w:t>
      </w:r>
    </w:p>
    <w:p>
      <w:pPr>
        <w:spacing w:line="600" w:lineRule="exact"/>
        <w:jc w:val="center"/>
        <w:rPr>
          <w:rFonts w:eastAsiaTheme="minorEastAsia"/>
          <w:b/>
          <w:sz w:val="24"/>
        </w:rPr>
      </w:pPr>
      <w:r>
        <w:rPr>
          <w:rFonts w:eastAsiaTheme="minorEastAsia"/>
          <w:b/>
          <w:sz w:val="24"/>
        </w:rPr>
        <w:t>表5.</w:t>
      </w:r>
      <w:r>
        <w:rPr>
          <w:rFonts w:hint="eastAsia" w:eastAsiaTheme="minorEastAsia"/>
          <w:b/>
          <w:sz w:val="24"/>
        </w:rPr>
        <w:t>1</w:t>
      </w:r>
      <w:r>
        <w:rPr>
          <w:rFonts w:eastAsiaTheme="minorEastAsia"/>
          <w:b/>
          <w:sz w:val="24"/>
        </w:rPr>
        <w:t>-</w:t>
      </w:r>
      <w:r>
        <w:rPr>
          <w:rFonts w:hint="eastAsia" w:eastAsiaTheme="minorEastAsia"/>
          <w:b/>
          <w:sz w:val="24"/>
        </w:rPr>
        <w:t>6</w:t>
      </w:r>
      <w:r>
        <w:rPr>
          <w:rFonts w:eastAsiaTheme="minorEastAsia"/>
          <w:b/>
          <w:sz w:val="24"/>
        </w:rPr>
        <w:t>建设项目大气环境影响评价自查表</w:t>
      </w:r>
    </w:p>
    <w:tbl>
      <w:tblPr>
        <w:tblStyle w:val="30"/>
        <w:tblW w:w="90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4"/>
        <w:gridCol w:w="1888"/>
        <w:gridCol w:w="900"/>
        <w:gridCol w:w="792"/>
        <w:gridCol w:w="224"/>
        <w:gridCol w:w="163"/>
        <w:gridCol w:w="187"/>
        <w:gridCol w:w="130"/>
        <w:gridCol w:w="236"/>
        <w:gridCol w:w="625"/>
        <w:gridCol w:w="468"/>
        <w:gridCol w:w="581"/>
        <w:gridCol w:w="415"/>
        <w:gridCol w:w="469"/>
        <w:gridCol w:w="448"/>
        <w:gridCol w:w="6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84" w:type="dxa"/>
            <w:gridSpan w:val="2"/>
            <w:tcBorders>
              <w:tl2br w:val="nil"/>
              <w:tr2bl w:val="nil"/>
            </w:tcBorders>
            <w:vAlign w:val="center"/>
          </w:tcPr>
          <w:p>
            <w:pPr>
              <w:spacing w:line="240" w:lineRule="exact"/>
              <w:jc w:val="center"/>
              <w:rPr>
                <w:sz w:val="18"/>
                <w:szCs w:val="18"/>
              </w:rPr>
            </w:pPr>
            <w:r>
              <w:rPr>
                <w:sz w:val="18"/>
                <w:szCs w:val="18"/>
              </w:rPr>
              <w:t>工作内容</w:t>
            </w:r>
          </w:p>
        </w:tc>
        <w:tc>
          <w:tcPr>
            <w:tcW w:w="6276" w:type="dxa"/>
            <w:gridSpan w:val="14"/>
            <w:tcBorders>
              <w:tl2br w:val="nil"/>
              <w:tr2bl w:val="nil"/>
            </w:tcBorders>
            <w:vAlign w:val="center"/>
          </w:tcPr>
          <w:p>
            <w:pPr>
              <w:spacing w:line="240" w:lineRule="exact"/>
              <w:jc w:val="center"/>
              <w:rPr>
                <w:sz w:val="18"/>
                <w:szCs w:val="18"/>
              </w:rPr>
            </w:pPr>
            <w:r>
              <w:rPr>
                <w:sz w:val="18"/>
                <w:szCs w:val="18"/>
              </w:rPr>
              <w:t>自查项目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评价等级与范围</w:t>
            </w:r>
          </w:p>
        </w:tc>
        <w:tc>
          <w:tcPr>
            <w:tcW w:w="1889" w:type="dxa"/>
            <w:tcBorders>
              <w:tl2br w:val="nil"/>
              <w:tr2bl w:val="nil"/>
            </w:tcBorders>
            <w:vAlign w:val="center"/>
          </w:tcPr>
          <w:p>
            <w:pPr>
              <w:spacing w:line="240" w:lineRule="exact"/>
              <w:jc w:val="center"/>
              <w:rPr>
                <w:sz w:val="18"/>
                <w:szCs w:val="18"/>
              </w:rPr>
            </w:pPr>
            <w:r>
              <w:rPr>
                <w:sz w:val="18"/>
                <w:szCs w:val="18"/>
              </w:rPr>
              <w:t>评级等级</w:t>
            </w:r>
          </w:p>
        </w:tc>
        <w:tc>
          <w:tcPr>
            <w:tcW w:w="1915" w:type="dxa"/>
            <w:gridSpan w:val="3"/>
            <w:tcBorders>
              <w:tl2br w:val="nil"/>
              <w:tr2bl w:val="nil"/>
            </w:tcBorders>
            <w:vAlign w:val="center"/>
          </w:tcPr>
          <w:p>
            <w:pPr>
              <w:spacing w:line="240" w:lineRule="exact"/>
              <w:jc w:val="center"/>
              <w:rPr>
                <w:sz w:val="18"/>
                <w:szCs w:val="18"/>
              </w:rPr>
            </w:pPr>
            <w:r>
              <w:rPr>
                <w:sz w:val="18"/>
                <w:szCs w:val="18"/>
              </w:rPr>
              <w:t>一级</w:t>
            </w:r>
            <w:r>
              <w:rPr>
                <w:sz w:val="18"/>
                <w:szCs w:val="18"/>
              </w:rPr>
              <w:sym w:font="Wingdings 2" w:char="00A3"/>
            </w:r>
          </w:p>
        </w:tc>
        <w:tc>
          <w:tcPr>
            <w:tcW w:w="1809" w:type="dxa"/>
            <w:gridSpan w:val="6"/>
            <w:tcBorders>
              <w:tl2br w:val="nil"/>
              <w:tr2bl w:val="nil"/>
            </w:tcBorders>
            <w:vAlign w:val="center"/>
          </w:tcPr>
          <w:p>
            <w:pPr>
              <w:spacing w:line="240" w:lineRule="exact"/>
              <w:jc w:val="center"/>
              <w:rPr>
                <w:sz w:val="18"/>
                <w:szCs w:val="18"/>
              </w:rPr>
            </w:pPr>
            <w:r>
              <w:rPr>
                <w:sz w:val="18"/>
                <w:szCs w:val="18"/>
              </w:rPr>
              <w:t>二级</w:t>
            </w:r>
            <w:r>
              <w:rPr>
                <w:sz w:val="18"/>
                <w:szCs w:val="18"/>
              </w:rPr>
              <w:sym w:font="Wingdings 2" w:char="0052"/>
            </w:r>
          </w:p>
        </w:tc>
        <w:tc>
          <w:tcPr>
            <w:tcW w:w="2552" w:type="dxa"/>
            <w:gridSpan w:val="5"/>
            <w:tcBorders>
              <w:tl2br w:val="nil"/>
              <w:tr2bl w:val="nil"/>
            </w:tcBorders>
            <w:vAlign w:val="center"/>
          </w:tcPr>
          <w:p>
            <w:pPr>
              <w:spacing w:line="240" w:lineRule="exact"/>
              <w:jc w:val="center"/>
              <w:rPr>
                <w:sz w:val="18"/>
                <w:szCs w:val="18"/>
              </w:rPr>
            </w:pPr>
            <w:r>
              <w:rPr>
                <w:sz w:val="18"/>
                <w:szCs w:val="18"/>
              </w:rPr>
              <w:t>三级</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评价范围</w:t>
            </w:r>
          </w:p>
        </w:tc>
        <w:tc>
          <w:tcPr>
            <w:tcW w:w="1915" w:type="dxa"/>
            <w:gridSpan w:val="3"/>
            <w:tcBorders>
              <w:tl2br w:val="nil"/>
              <w:tr2bl w:val="nil"/>
            </w:tcBorders>
            <w:vAlign w:val="center"/>
          </w:tcPr>
          <w:p>
            <w:pPr>
              <w:spacing w:line="240" w:lineRule="exact"/>
              <w:jc w:val="center"/>
              <w:rPr>
                <w:sz w:val="18"/>
                <w:szCs w:val="18"/>
              </w:rPr>
            </w:pPr>
            <w:r>
              <w:rPr>
                <w:sz w:val="18"/>
                <w:szCs w:val="18"/>
              </w:rPr>
              <w:t>边长=50km</w:t>
            </w:r>
            <w:r>
              <w:rPr>
                <w:sz w:val="18"/>
                <w:szCs w:val="18"/>
              </w:rPr>
              <w:sym w:font="Wingdings 2" w:char="00A3"/>
            </w:r>
          </w:p>
        </w:tc>
        <w:tc>
          <w:tcPr>
            <w:tcW w:w="1809" w:type="dxa"/>
            <w:gridSpan w:val="6"/>
            <w:tcBorders>
              <w:tl2br w:val="nil"/>
              <w:tr2bl w:val="nil"/>
            </w:tcBorders>
            <w:vAlign w:val="center"/>
          </w:tcPr>
          <w:p>
            <w:pPr>
              <w:spacing w:line="240" w:lineRule="exact"/>
              <w:jc w:val="center"/>
              <w:rPr>
                <w:sz w:val="18"/>
                <w:szCs w:val="18"/>
              </w:rPr>
            </w:pPr>
            <w:r>
              <w:rPr>
                <w:sz w:val="18"/>
                <w:szCs w:val="18"/>
              </w:rPr>
              <w:t>边长5~50km</w:t>
            </w:r>
            <w:r>
              <w:rPr>
                <w:sz w:val="18"/>
                <w:szCs w:val="18"/>
              </w:rPr>
              <w:sym w:font="Wingdings 2" w:char="00A3"/>
            </w:r>
          </w:p>
        </w:tc>
        <w:tc>
          <w:tcPr>
            <w:tcW w:w="2552" w:type="dxa"/>
            <w:gridSpan w:val="5"/>
            <w:tcBorders>
              <w:tl2br w:val="nil"/>
              <w:tr2bl w:val="nil"/>
            </w:tcBorders>
            <w:vAlign w:val="center"/>
          </w:tcPr>
          <w:p>
            <w:pPr>
              <w:spacing w:line="240" w:lineRule="exact"/>
              <w:jc w:val="center"/>
              <w:rPr>
                <w:sz w:val="18"/>
                <w:szCs w:val="18"/>
              </w:rPr>
            </w:pPr>
            <w:r>
              <w:rPr>
                <w:sz w:val="18"/>
                <w:szCs w:val="18"/>
              </w:rPr>
              <w:t>边长=5km</w:t>
            </w:r>
            <w:r>
              <w:rPr>
                <w:sz w:val="18"/>
                <w:szCs w:val="18"/>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评价因子</w:t>
            </w:r>
          </w:p>
        </w:tc>
        <w:tc>
          <w:tcPr>
            <w:tcW w:w="1889" w:type="dxa"/>
            <w:tcBorders>
              <w:tl2br w:val="nil"/>
              <w:tr2bl w:val="nil"/>
            </w:tcBorders>
            <w:vAlign w:val="center"/>
          </w:tcPr>
          <w:p>
            <w:pPr>
              <w:spacing w:line="240" w:lineRule="exact"/>
              <w:jc w:val="center"/>
              <w:rPr>
                <w:sz w:val="18"/>
                <w:szCs w:val="18"/>
              </w:rPr>
            </w:pPr>
            <w:r>
              <w:rPr>
                <w:sz w:val="18"/>
                <w:szCs w:val="18"/>
              </w:rPr>
              <w:t>SO</w:t>
            </w:r>
            <w:r>
              <w:rPr>
                <w:sz w:val="18"/>
                <w:szCs w:val="18"/>
                <w:vertAlign w:val="subscript"/>
              </w:rPr>
              <w:t>2</w:t>
            </w:r>
            <w:r>
              <w:rPr>
                <w:sz w:val="18"/>
                <w:szCs w:val="18"/>
              </w:rPr>
              <w:t>+NOx排放量</w:t>
            </w:r>
          </w:p>
        </w:tc>
        <w:tc>
          <w:tcPr>
            <w:tcW w:w="1692" w:type="dxa"/>
            <w:gridSpan w:val="2"/>
            <w:tcBorders>
              <w:tl2br w:val="nil"/>
              <w:tr2bl w:val="nil"/>
            </w:tcBorders>
            <w:vAlign w:val="center"/>
          </w:tcPr>
          <w:p>
            <w:pPr>
              <w:spacing w:line="240" w:lineRule="exact"/>
              <w:jc w:val="center"/>
              <w:rPr>
                <w:sz w:val="18"/>
                <w:szCs w:val="18"/>
              </w:rPr>
            </w:pPr>
            <w:r>
              <w:rPr>
                <w:sz w:val="18"/>
                <w:szCs w:val="18"/>
              </w:rPr>
              <w:t>≥2000t/a</w:t>
            </w:r>
            <w:r>
              <w:rPr>
                <w:sz w:val="18"/>
                <w:szCs w:val="18"/>
              </w:rPr>
              <w:sym w:font="Wingdings 2" w:char="00A3"/>
            </w:r>
          </w:p>
        </w:tc>
        <w:tc>
          <w:tcPr>
            <w:tcW w:w="2032" w:type="dxa"/>
            <w:gridSpan w:val="7"/>
            <w:tcBorders>
              <w:tl2br w:val="nil"/>
              <w:tr2bl w:val="nil"/>
            </w:tcBorders>
            <w:vAlign w:val="center"/>
          </w:tcPr>
          <w:p>
            <w:pPr>
              <w:spacing w:line="240" w:lineRule="exact"/>
              <w:jc w:val="center"/>
              <w:rPr>
                <w:sz w:val="18"/>
                <w:szCs w:val="18"/>
              </w:rPr>
            </w:pPr>
            <w:r>
              <w:rPr>
                <w:sz w:val="18"/>
                <w:szCs w:val="18"/>
              </w:rPr>
              <w:t>500-2000t/a</w:t>
            </w:r>
            <w:r>
              <w:rPr>
                <w:sz w:val="18"/>
                <w:szCs w:val="18"/>
              </w:rPr>
              <w:sym w:font="Wingdings 2" w:char="00A3"/>
            </w:r>
          </w:p>
        </w:tc>
        <w:tc>
          <w:tcPr>
            <w:tcW w:w="2552" w:type="dxa"/>
            <w:gridSpan w:val="5"/>
            <w:tcBorders>
              <w:tl2br w:val="nil"/>
              <w:tr2bl w:val="nil"/>
            </w:tcBorders>
            <w:vAlign w:val="center"/>
          </w:tcPr>
          <w:p>
            <w:pPr>
              <w:spacing w:line="240" w:lineRule="exact"/>
              <w:jc w:val="center"/>
              <w:rPr>
                <w:sz w:val="18"/>
                <w:szCs w:val="18"/>
              </w:rPr>
            </w:pPr>
            <w:r>
              <w:rPr>
                <w:sz w:val="18"/>
                <w:szCs w:val="18"/>
              </w:rPr>
              <w:t>&lt;500</w:t>
            </w:r>
            <w:r>
              <w:rPr>
                <w:sz w:val="18"/>
                <w:szCs w:val="18"/>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4" w:hRule="atLeast"/>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评价因子</w:t>
            </w:r>
          </w:p>
        </w:tc>
        <w:tc>
          <w:tcPr>
            <w:tcW w:w="3257" w:type="dxa"/>
            <w:gridSpan w:val="8"/>
            <w:tcBorders>
              <w:tl2br w:val="nil"/>
              <w:tr2bl w:val="nil"/>
            </w:tcBorders>
            <w:vAlign w:val="center"/>
          </w:tcPr>
          <w:p>
            <w:pPr>
              <w:spacing w:line="240" w:lineRule="exact"/>
              <w:jc w:val="center"/>
              <w:rPr>
                <w:sz w:val="18"/>
                <w:szCs w:val="18"/>
              </w:rPr>
            </w:pPr>
            <w:r>
              <w:rPr>
                <w:sz w:val="18"/>
                <w:szCs w:val="18"/>
              </w:rPr>
              <w:t>基本污染物( )</w:t>
            </w:r>
          </w:p>
          <w:p>
            <w:pPr>
              <w:spacing w:line="240" w:lineRule="exact"/>
              <w:jc w:val="center"/>
              <w:rPr>
                <w:sz w:val="18"/>
                <w:szCs w:val="18"/>
              </w:rPr>
            </w:pPr>
            <w:r>
              <w:rPr>
                <w:sz w:val="18"/>
                <w:szCs w:val="18"/>
              </w:rPr>
              <w:t xml:space="preserve">其他污染物（ </w:t>
            </w:r>
            <w:r>
              <w:rPr>
                <w:rFonts w:hint="eastAsia"/>
                <w:sz w:val="18"/>
                <w:szCs w:val="18"/>
              </w:rPr>
              <w:t>NH</w:t>
            </w:r>
            <w:r>
              <w:rPr>
                <w:rFonts w:hint="eastAsia"/>
                <w:sz w:val="18"/>
                <w:szCs w:val="18"/>
                <w:vertAlign w:val="subscript"/>
              </w:rPr>
              <w:t>3</w:t>
            </w:r>
            <w:r>
              <w:rPr>
                <w:rFonts w:hint="eastAsia"/>
                <w:sz w:val="18"/>
                <w:szCs w:val="18"/>
              </w:rPr>
              <w:t>、H</w:t>
            </w:r>
            <w:r>
              <w:rPr>
                <w:rFonts w:hint="eastAsia"/>
                <w:sz w:val="18"/>
                <w:szCs w:val="18"/>
                <w:vertAlign w:val="subscript"/>
              </w:rPr>
              <w:t>2</w:t>
            </w:r>
            <w:r>
              <w:rPr>
                <w:rFonts w:hint="eastAsia"/>
                <w:sz w:val="18"/>
                <w:szCs w:val="18"/>
              </w:rPr>
              <w:t>S  TSP</w:t>
            </w:r>
            <w:r>
              <w:rPr>
                <w:sz w:val="18"/>
                <w:szCs w:val="18"/>
              </w:rPr>
              <w:t xml:space="preserve">  ）</w:t>
            </w:r>
          </w:p>
        </w:tc>
        <w:tc>
          <w:tcPr>
            <w:tcW w:w="3019" w:type="dxa"/>
            <w:gridSpan w:val="6"/>
            <w:tcBorders>
              <w:tl2br w:val="nil"/>
              <w:tr2bl w:val="nil"/>
            </w:tcBorders>
            <w:vAlign w:val="center"/>
          </w:tcPr>
          <w:p>
            <w:pPr>
              <w:spacing w:line="240" w:lineRule="exact"/>
              <w:jc w:val="center"/>
              <w:rPr>
                <w:sz w:val="18"/>
                <w:szCs w:val="18"/>
              </w:rPr>
            </w:pPr>
            <w:r>
              <w:rPr>
                <w:sz w:val="18"/>
                <w:szCs w:val="18"/>
              </w:rPr>
              <w:t>包括二次PM</w:t>
            </w:r>
            <w:r>
              <w:rPr>
                <w:sz w:val="18"/>
                <w:szCs w:val="18"/>
                <w:vertAlign w:val="subscript"/>
              </w:rPr>
              <w:t>2.5</w:t>
            </w:r>
            <w:r>
              <w:rPr>
                <w:sz w:val="18"/>
                <w:szCs w:val="18"/>
              </w:rPr>
              <w:sym w:font="Wingdings 2" w:char="00A3"/>
            </w:r>
          </w:p>
          <w:p>
            <w:pPr>
              <w:spacing w:line="240" w:lineRule="exact"/>
              <w:jc w:val="center"/>
              <w:rPr>
                <w:sz w:val="18"/>
                <w:szCs w:val="18"/>
              </w:rPr>
            </w:pPr>
            <w:r>
              <w:rPr>
                <w:sz w:val="18"/>
                <w:szCs w:val="18"/>
              </w:rPr>
              <w:t>不包括二次PM</w:t>
            </w:r>
            <w:r>
              <w:rPr>
                <w:sz w:val="18"/>
                <w:szCs w:val="18"/>
                <w:vertAlign w:val="subscript"/>
              </w:rPr>
              <w:t>2.5</w:t>
            </w:r>
            <w:r>
              <w:rPr>
                <w:sz w:val="18"/>
                <w:szCs w:val="18"/>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tcBorders>
              <w:tl2br w:val="nil"/>
              <w:tr2bl w:val="nil"/>
            </w:tcBorders>
            <w:vAlign w:val="center"/>
          </w:tcPr>
          <w:p>
            <w:pPr>
              <w:spacing w:line="240" w:lineRule="exact"/>
              <w:jc w:val="center"/>
              <w:rPr>
                <w:sz w:val="18"/>
                <w:szCs w:val="18"/>
              </w:rPr>
            </w:pPr>
            <w:r>
              <w:rPr>
                <w:sz w:val="18"/>
                <w:szCs w:val="18"/>
              </w:rPr>
              <w:t>评价标准</w:t>
            </w:r>
          </w:p>
        </w:tc>
        <w:tc>
          <w:tcPr>
            <w:tcW w:w="1889" w:type="dxa"/>
            <w:tcBorders>
              <w:tl2br w:val="nil"/>
              <w:tr2bl w:val="nil"/>
            </w:tcBorders>
            <w:vAlign w:val="center"/>
          </w:tcPr>
          <w:p>
            <w:pPr>
              <w:spacing w:line="240" w:lineRule="exact"/>
              <w:jc w:val="center"/>
              <w:rPr>
                <w:sz w:val="18"/>
                <w:szCs w:val="18"/>
              </w:rPr>
            </w:pPr>
            <w:r>
              <w:rPr>
                <w:sz w:val="18"/>
                <w:szCs w:val="18"/>
              </w:rPr>
              <w:t>评价标准</w:t>
            </w:r>
          </w:p>
        </w:tc>
        <w:tc>
          <w:tcPr>
            <w:tcW w:w="1916" w:type="dxa"/>
            <w:gridSpan w:val="3"/>
            <w:tcBorders>
              <w:tl2br w:val="nil"/>
              <w:tr2bl w:val="nil"/>
            </w:tcBorders>
            <w:vAlign w:val="center"/>
          </w:tcPr>
          <w:p>
            <w:pPr>
              <w:spacing w:line="240" w:lineRule="exact"/>
              <w:jc w:val="center"/>
              <w:rPr>
                <w:sz w:val="18"/>
                <w:szCs w:val="18"/>
              </w:rPr>
            </w:pPr>
            <w:r>
              <w:rPr>
                <w:sz w:val="18"/>
                <w:szCs w:val="18"/>
              </w:rPr>
              <w:t>国家标准</w:t>
            </w:r>
            <w:r>
              <w:rPr>
                <w:sz w:val="18"/>
                <w:szCs w:val="18"/>
              </w:rPr>
              <w:sym w:font="Wingdings 2" w:char="0052"/>
            </w:r>
          </w:p>
        </w:tc>
        <w:tc>
          <w:tcPr>
            <w:tcW w:w="1341" w:type="dxa"/>
            <w:gridSpan w:val="5"/>
            <w:tcBorders>
              <w:tl2br w:val="nil"/>
              <w:tr2bl w:val="nil"/>
            </w:tcBorders>
            <w:vAlign w:val="center"/>
          </w:tcPr>
          <w:p>
            <w:pPr>
              <w:spacing w:line="240" w:lineRule="exact"/>
              <w:jc w:val="center"/>
              <w:rPr>
                <w:sz w:val="18"/>
                <w:szCs w:val="18"/>
              </w:rPr>
            </w:pPr>
            <w:r>
              <w:rPr>
                <w:sz w:val="18"/>
                <w:szCs w:val="18"/>
              </w:rPr>
              <w:t>地方标准</w:t>
            </w:r>
            <w:r>
              <w:rPr>
                <w:sz w:val="18"/>
                <w:szCs w:val="18"/>
              </w:rPr>
              <w:sym w:font="Wingdings 2" w:char="00A3"/>
            </w:r>
          </w:p>
        </w:tc>
        <w:tc>
          <w:tcPr>
            <w:tcW w:w="1462" w:type="dxa"/>
            <w:gridSpan w:val="3"/>
            <w:tcBorders>
              <w:tl2br w:val="nil"/>
              <w:tr2bl w:val="nil"/>
            </w:tcBorders>
            <w:vAlign w:val="center"/>
          </w:tcPr>
          <w:p>
            <w:pPr>
              <w:spacing w:line="240" w:lineRule="exact"/>
              <w:jc w:val="center"/>
              <w:rPr>
                <w:sz w:val="18"/>
                <w:szCs w:val="18"/>
              </w:rPr>
            </w:pPr>
            <w:r>
              <w:rPr>
                <w:sz w:val="18"/>
                <w:szCs w:val="18"/>
              </w:rPr>
              <w:t>附录D</w:t>
            </w:r>
            <w:r>
              <w:rPr>
                <w:sz w:val="18"/>
                <w:szCs w:val="18"/>
              </w:rPr>
              <w:sym w:font="Wingdings 2" w:char="0052"/>
            </w:r>
          </w:p>
        </w:tc>
        <w:tc>
          <w:tcPr>
            <w:tcW w:w="1557" w:type="dxa"/>
            <w:gridSpan w:val="3"/>
            <w:tcBorders>
              <w:tl2br w:val="nil"/>
              <w:tr2bl w:val="nil"/>
            </w:tcBorders>
            <w:vAlign w:val="center"/>
          </w:tcPr>
          <w:p>
            <w:pPr>
              <w:spacing w:line="240" w:lineRule="exact"/>
              <w:jc w:val="center"/>
              <w:rPr>
                <w:sz w:val="18"/>
                <w:szCs w:val="18"/>
              </w:rPr>
            </w:pPr>
            <w:r>
              <w:rPr>
                <w:sz w:val="18"/>
                <w:szCs w:val="18"/>
              </w:rPr>
              <w:t>其他标准</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现状评价</w:t>
            </w:r>
          </w:p>
        </w:tc>
        <w:tc>
          <w:tcPr>
            <w:tcW w:w="1889" w:type="dxa"/>
            <w:tcBorders>
              <w:tl2br w:val="nil"/>
              <w:tr2bl w:val="nil"/>
            </w:tcBorders>
            <w:vAlign w:val="center"/>
          </w:tcPr>
          <w:p>
            <w:pPr>
              <w:spacing w:line="240" w:lineRule="exact"/>
              <w:jc w:val="center"/>
              <w:rPr>
                <w:sz w:val="18"/>
                <w:szCs w:val="18"/>
              </w:rPr>
            </w:pPr>
            <w:r>
              <w:rPr>
                <w:sz w:val="18"/>
                <w:szCs w:val="18"/>
              </w:rPr>
              <w:t>环境功能区</w:t>
            </w:r>
          </w:p>
        </w:tc>
        <w:tc>
          <w:tcPr>
            <w:tcW w:w="1916" w:type="dxa"/>
            <w:gridSpan w:val="3"/>
            <w:tcBorders>
              <w:tl2br w:val="nil"/>
              <w:tr2bl w:val="nil"/>
            </w:tcBorders>
            <w:vAlign w:val="center"/>
          </w:tcPr>
          <w:p>
            <w:pPr>
              <w:spacing w:line="240" w:lineRule="exact"/>
              <w:jc w:val="center"/>
              <w:rPr>
                <w:sz w:val="18"/>
                <w:szCs w:val="18"/>
              </w:rPr>
            </w:pPr>
            <w:r>
              <w:rPr>
                <w:sz w:val="18"/>
                <w:szCs w:val="18"/>
              </w:rPr>
              <w:t>一类区</w:t>
            </w:r>
            <w:r>
              <w:rPr>
                <w:sz w:val="18"/>
                <w:szCs w:val="18"/>
              </w:rPr>
              <w:sym w:font="Wingdings 2" w:char="00A3"/>
            </w:r>
          </w:p>
        </w:tc>
        <w:tc>
          <w:tcPr>
            <w:tcW w:w="1808" w:type="dxa"/>
            <w:gridSpan w:val="6"/>
            <w:tcBorders>
              <w:tl2br w:val="nil"/>
              <w:tr2bl w:val="nil"/>
            </w:tcBorders>
            <w:vAlign w:val="center"/>
          </w:tcPr>
          <w:p>
            <w:pPr>
              <w:spacing w:line="240" w:lineRule="exact"/>
              <w:jc w:val="center"/>
              <w:rPr>
                <w:sz w:val="18"/>
                <w:szCs w:val="18"/>
              </w:rPr>
            </w:pPr>
            <w:r>
              <w:rPr>
                <w:sz w:val="18"/>
                <w:szCs w:val="18"/>
              </w:rPr>
              <w:t>二类区</w:t>
            </w:r>
            <w:r>
              <w:rPr>
                <w:sz w:val="18"/>
                <w:szCs w:val="18"/>
              </w:rPr>
              <w:sym w:font="Wingdings 2" w:char="0052"/>
            </w:r>
          </w:p>
        </w:tc>
        <w:tc>
          <w:tcPr>
            <w:tcW w:w="2552" w:type="dxa"/>
            <w:gridSpan w:val="5"/>
            <w:tcBorders>
              <w:tl2br w:val="nil"/>
              <w:tr2bl w:val="nil"/>
            </w:tcBorders>
            <w:vAlign w:val="center"/>
          </w:tcPr>
          <w:p>
            <w:pPr>
              <w:spacing w:line="240" w:lineRule="exact"/>
              <w:jc w:val="center"/>
              <w:rPr>
                <w:sz w:val="18"/>
                <w:szCs w:val="18"/>
              </w:rPr>
            </w:pPr>
            <w:r>
              <w:rPr>
                <w:sz w:val="18"/>
                <w:szCs w:val="18"/>
              </w:rPr>
              <w:t>一类区和二类区</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评价基准年</w:t>
            </w:r>
          </w:p>
        </w:tc>
        <w:tc>
          <w:tcPr>
            <w:tcW w:w="6276" w:type="dxa"/>
            <w:gridSpan w:val="14"/>
            <w:tcBorders>
              <w:tl2br w:val="nil"/>
              <w:tr2bl w:val="nil"/>
            </w:tcBorders>
            <w:vAlign w:val="center"/>
          </w:tcPr>
          <w:p>
            <w:pPr>
              <w:spacing w:line="240" w:lineRule="exact"/>
              <w:jc w:val="center"/>
              <w:rPr>
                <w:sz w:val="18"/>
                <w:szCs w:val="18"/>
              </w:rPr>
            </w:pPr>
            <w:r>
              <w:rPr>
                <w:sz w:val="18"/>
                <w:szCs w:val="18"/>
              </w:rPr>
              <w:t>（20</w:t>
            </w:r>
            <w:r>
              <w:rPr>
                <w:rFonts w:hint="eastAsia"/>
                <w:sz w:val="18"/>
                <w:szCs w:val="18"/>
              </w:rPr>
              <w:t>22</w:t>
            </w:r>
            <w:r>
              <w:rPr>
                <w:sz w:val="18"/>
                <w:szCs w:val="18"/>
              </w:rPr>
              <w:t>）年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环境空气质量现状调查数据来源</w:t>
            </w:r>
          </w:p>
        </w:tc>
        <w:tc>
          <w:tcPr>
            <w:tcW w:w="1916" w:type="dxa"/>
            <w:gridSpan w:val="3"/>
            <w:tcBorders>
              <w:tl2br w:val="nil"/>
              <w:tr2bl w:val="nil"/>
            </w:tcBorders>
            <w:vAlign w:val="center"/>
          </w:tcPr>
          <w:p>
            <w:pPr>
              <w:spacing w:line="240" w:lineRule="exact"/>
              <w:jc w:val="center"/>
              <w:rPr>
                <w:sz w:val="18"/>
                <w:szCs w:val="18"/>
              </w:rPr>
            </w:pPr>
            <w:r>
              <w:rPr>
                <w:sz w:val="18"/>
                <w:szCs w:val="18"/>
              </w:rPr>
              <w:t>长期例行监测数据</w:t>
            </w:r>
            <w:r>
              <w:rPr>
                <w:sz w:val="18"/>
                <w:szCs w:val="18"/>
              </w:rPr>
              <w:sym w:font="Wingdings 2" w:char="0052"/>
            </w:r>
          </w:p>
        </w:tc>
        <w:tc>
          <w:tcPr>
            <w:tcW w:w="1808" w:type="dxa"/>
            <w:gridSpan w:val="6"/>
            <w:tcBorders>
              <w:tl2br w:val="nil"/>
              <w:tr2bl w:val="nil"/>
            </w:tcBorders>
            <w:vAlign w:val="center"/>
          </w:tcPr>
          <w:p>
            <w:pPr>
              <w:spacing w:line="240" w:lineRule="exact"/>
              <w:jc w:val="center"/>
              <w:rPr>
                <w:sz w:val="18"/>
                <w:szCs w:val="18"/>
              </w:rPr>
            </w:pPr>
            <w:r>
              <w:rPr>
                <w:sz w:val="18"/>
                <w:szCs w:val="18"/>
              </w:rPr>
              <w:t>主要部门发布的数据</w:t>
            </w:r>
            <w:r>
              <w:rPr>
                <w:sz w:val="18"/>
                <w:szCs w:val="18"/>
              </w:rPr>
              <w:sym w:font="Wingdings 2" w:char="00A3"/>
            </w:r>
          </w:p>
        </w:tc>
        <w:tc>
          <w:tcPr>
            <w:tcW w:w="2552" w:type="dxa"/>
            <w:gridSpan w:val="5"/>
            <w:tcBorders>
              <w:tl2br w:val="nil"/>
              <w:tr2bl w:val="nil"/>
            </w:tcBorders>
            <w:vAlign w:val="center"/>
          </w:tcPr>
          <w:p>
            <w:pPr>
              <w:spacing w:line="240" w:lineRule="exact"/>
              <w:jc w:val="center"/>
              <w:rPr>
                <w:sz w:val="18"/>
                <w:szCs w:val="18"/>
              </w:rPr>
            </w:pPr>
            <w:r>
              <w:rPr>
                <w:sz w:val="18"/>
                <w:szCs w:val="18"/>
              </w:rPr>
              <w:t>现状补充监测</w:t>
            </w:r>
            <w:r>
              <w:rPr>
                <w:sz w:val="18"/>
                <w:szCs w:val="18"/>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现状评价</w:t>
            </w:r>
          </w:p>
        </w:tc>
        <w:tc>
          <w:tcPr>
            <w:tcW w:w="3257" w:type="dxa"/>
            <w:gridSpan w:val="8"/>
            <w:tcBorders>
              <w:tl2br w:val="nil"/>
              <w:tr2bl w:val="nil"/>
            </w:tcBorders>
            <w:vAlign w:val="center"/>
          </w:tcPr>
          <w:p>
            <w:pPr>
              <w:spacing w:line="240" w:lineRule="exact"/>
              <w:jc w:val="center"/>
              <w:rPr>
                <w:sz w:val="18"/>
                <w:szCs w:val="18"/>
              </w:rPr>
            </w:pPr>
            <w:r>
              <w:rPr>
                <w:sz w:val="18"/>
                <w:szCs w:val="18"/>
              </w:rPr>
              <w:t>达标区</w:t>
            </w:r>
            <w:r>
              <w:rPr>
                <w:sz w:val="18"/>
                <w:szCs w:val="18"/>
              </w:rPr>
              <w:sym w:font="Wingdings 2" w:char="00A3"/>
            </w:r>
          </w:p>
        </w:tc>
        <w:tc>
          <w:tcPr>
            <w:tcW w:w="3019" w:type="dxa"/>
            <w:gridSpan w:val="6"/>
            <w:tcBorders>
              <w:tl2br w:val="nil"/>
              <w:tr2bl w:val="nil"/>
            </w:tcBorders>
            <w:vAlign w:val="center"/>
          </w:tcPr>
          <w:p>
            <w:pPr>
              <w:spacing w:line="240" w:lineRule="exact"/>
              <w:jc w:val="center"/>
              <w:rPr>
                <w:sz w:val="18"/>
                <w:szCs w:val="18"/>
              </w:rPr>
            </w:pPr>
            <w:r>
              <w:rPr>
                <w:sz w:val="18"/>
                <w:szCs w:val="18"/>
              </w:rPr>
              <w:t>不达标区</w:t>
            </w:r>
            <w:r>
              <w:rPr>
                <w:sz w:val="18"/>
                <w:szCs w:val="18"/>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污染源调查</w:t>
            </w:r>
          </w:p>
        </w:tc>
        <w:tc>
          <w:tcPr>
            <w:tcW w:w="1889" w:type="dxa"/>
            <w:vMerge w:val="restart"/>
            <w:tcBorders>
              <w:tl2br w:val="nil"/>
              <w:tr2bl w:val="nil"/>
            </w:tcBorders>
            <w:vAlign w:val="center"/>
          </w:tcPr>
          <w:p>
            <w:pPr>
              <w:spacing w:line="240" w:lineRule="exact"/>
              <w:jc w:val="center"/>
              <w:rPr>
                <w:sz w:val="18"/>
                <w:szCs w:val="18"/>
              </w:rPr>
            </w:pPr>
            <w:r>
              <w:rPr>
                <w:sz w:val="18"/>
                <w:szCs w:val="18"/>
              </w:rPr>
              <w:t>调查内容</w:t>
            </w:r>
          </w:p>
        </w:tc>
        <w:tc>
          <w:tcPr>
            <w:tcW w:w="2266" w:type="dxa"/>
            <w:gridSpan w:val="5"/>
            <w:tcBorders>
              <w:tl2br w:val="nil"/>
              <w:tr2bl w:val="nil"/>
            </w:tcBorders>
            <w:vAlign w:val="center"/>
          </w:tcPr>
          <w:p>
            <w:pPr>
              <w:spacing w:line="240" w:lineRule="exact"/>
              <w:jc w:val="center"/>
              <w:rPr>
                <w:sz w:val="18"/>
                <w:szCs w:val="18"/>
              </w:rPr>
            </w:pPr>
            <w:r>
              <w:rPr>
                <w:sz w:val="18"/>
                <w:szCs w:val="18"/>
              </w:rPr>
              <w:t>本项目正常排放源</w:t>
            </w:r>
            <w:r>
              <w:rPr>
                <w:sz w:val="18"/>
                <w:szCs w:val="18"/>
              </w:rPr>
              <w:sym w:font="Wingdings 2" w:char="0052"/>
            </w:r>
          </w:p>
        </w:tc>
        <w:tc>
          <w:tcPr>
            <w:tcW w:w="991" w:type="dxa"/>
            <w:gridSpan w:val="3"/>
            <w:vMerge w:val="restart"/>
            <w:tcBorders>
              <w:tl2br w:val="nil"/>
              <w:tr2bl w:val="nil"/>
            </w:tcBorders>
            <w:vAlign w:val="center"/>
          </w:tcPr>
          <w:p>
            <w:pPr>
              <w:spacing w:line="240" w:lineRule="exact"/>
              <w:jc w:val="center"/>
              <w:rPr>
                <w:sz w:val="18"/>
                <w:szCs w:val="18"/>
              </w:rPr>
            </w:pPr>
            <w:r>
              <w:rPr>
                <w:sz w:val="18"/>
                <w:szCs w:val="18"/>
              </w:rPr>
              <w:t>拟替代的污染源</w:t>
            </w:r>
            <w:r>
              <w:rPr>
                <w:szCs w:val="21"/>
              </w:rPr>
              <w:sym w:font="Wingdings 2" w:char="00A3"/>
            </w:r>
          </w:p>
        </w:tc>
        <w:tc>
          <w:tcPr>
            <w:tcW w:w="1463" w:type="dxa"/>
            <w:gridSpan w:val="3"/>
            <w:vMerge w:val="restart"/>
            <w:tcBorders>
              <w:tl2br w:val="nil"/>
              <w:tr2bl w:val="nil"/>
            </w:tcBorders>
            <w:vAlign w:val="center"/>
          </w:tcPr>
          <w:p>
            <w:pPr>
              <w:spacing w:line="240" w:lineRule="exact"/>
              <w:jc w:val="center"/>
              <w:rPr>
                <w:sz w:val="18"/>
                <w:szCs w:val="18"/>
              </w:rPr>
            </w:pPr>
            <w:r>
              <w:rPr>
                <w:sz w:val="18"/>
                <w:szCs w:val="18"/>
              </w:rPr>
              <w:t>其他在建、拟建项目污染源</w:t>
            </w:r>
            <w:r>
              <w:rPr>
                <w:szCs w:val="21"/>
              </w:rPr>
              <w:sym w:font="Wingdings 2" w:char="00A3"/>
            </w:r>
          </w:p>
        </w:tc>
        <w:tc>
          <w:tcPr>
            <w:tcW w:w="1556" w:type="dxa"/>
            <w:gridSpan w:val="3"/>
            <w:vMerge w:val="restart"/>
            <w:tcBorders>
              <w:tl2br w:val="nil"/>
              <w:tr2bl w:val="nil"/>
            </w:tcBorders>
            <w:vAlign w:val="center"/>
          </w:tcPr>
          <w:p>
            <w:pPr>
              <w:spacing w:line="240" w:lineRule="exact"/>
              <w:jc w:val="center"/>
              <w:rPr>
                <w:sz w:val="18"/>
                <w:szCs w:val="18"/>
              </w:rPr>
            </w:pPr>
            <w:r>
              <w:rPr>
                <w:sz w:val="18"/>
                <w:szCs w:val="18"/>
              </w:rPr>
              <w:t>区域污染源</w:t>
            </w:r>
            <w:r>
              <w:rPr>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vMerge w:val="continue"/>
            <w:tcBorders>
              <w:tl2br w:val="nil"/>
              <w:tr2bl w:val="nil"/>
            </w:tcBorders>
            <w:vAlign w:val="center"/>
          </w:tcPr>
          <w:p>
            <w:pPr>
              <w:spacing w:line="240" w:lineRule="exact"/>
              <w:jc w:val="center"/>
              <w:rPr>
                <w:sz w:val="18"/>
                <w:szCs w:val="18"/>
              </w:rPr>
            </w:pPr>
          </w:p>
        </w:tc>
        <w:tc>
          <w:tcPr>
            <w:tcW w:w="2266" w:type="dxa"/>
            <w:gridSpan w:val="5"/>
            <w:tcBorders>
              <w:tl2br w:val="nil"/>
              <w:tr2bl w:val="nil"/>
            </w:tcBorders>
            <w:vAlign w:val="center"/>
          </w:tcPr>
          <w:p>
            <w:pPr>
              <w:spacing w:line="240" w:lineRule="exact"/>
              <w:jc w:val="center"/>
              <w:rPr>
                <w:sz w:val="18"/>
                <w:szCs w:val="18"/>
              </w:rPr>
            </w:pPr>
            <w:r>
              <w:rPr>
                <w:sz w:val="18"/>
                <w:szCs w:val="18"/>
              </w:rPr>
              <w:t>本项目非正常排放源</w:t>
            </w:r>
            <w:r>
              <w:rPr>
                <w:sz w:val="18"/>
                <w:szCs w:val="18"/>
              </w:rPr>
              <w:sym w:font="Wingdings 2" w:char="00A3"/>
            </w:r>
          </w:p>
        </w:tc>
        <w:tc>
          <w:tcPr>
            <w:tcW w:w="991" w:type="dxa"/>
            <w:gridSpan w:val="3"/>
            <w:vMerge w:val="continue"/>
            <w:tcBorders>
              <w:tl2br w:val="nil"/>
              <w:tr2bl w:val="nil"/>
            </w:tcBorders>
            <w:vAlign w:val="center"/>
          </w:tcPr>
          <w:p>
            <w:pPr>
              <w:spacing w:line="240" w:lineRule="exact"/>
              <w:jc w:val="center"/>
              <w:rPr>
                <w:sz w:val="18"/>
                <w:szCs w:val="18"/>
              </w:rPr>
            </w:pPr>
          </w:p>
        </w:tc>
        <w:tc>
          <w:tcPr>
            <w:tcW w:w="1463" w:type="dxa"/>
            <w:gridSpan w:val="3"/>
            <w:vMerge w:val="continue"/>
            <w:tcBorders>
              <w:tl2br w:val="nil"/>
              <w:tr2bl w:val="nil"/>
            </w:tcBorders>
            <w:vAlign w:val="center"/>
          </w:tcPr>
          <w:p>
            <w:pPr>
              <w:spacing w:line="240" w:lineRule="exact"/>
              <w:jc w:val="center"/>
              <w:rPr>
                <w:sz w:val="18"/>
                <w:szCs w:val="18"/>
              </w:rPr>
            </w:pPr>
          </w:p>
        </w:tc>
        <w:tc>
          <w:tcPr>
            <w:tcW w:w="1556" w:type="dxa"/>
            <w:gridSpan w:val="3"/>
            <w:vMerge w:val="continue"/>
            <w:tcBorders>
              <w:tl2br w:val="nil"/>
              <w:tr2bl w:val="nil"/>
            </w:tcBorders>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vMerge w:val="continue"/>
            <w:tcBorders>
              <w:tl2br w:val="nil"/>
              <w:tr2bl w:val="nil"/>
            </w:tcBorders>
            <w:vAlign w:val="center"/>
          </w:tcPr>
          <w:p>
            <w:pPr>
              <w:spacing w:line="240" w:lineRule="exact"/>
              <w:jc w:val="center"/>
              <w:rPr>
                <w:sz w:val="18"/>
                <w:szCs w:val="18"/>
              </w:rPr>
            </w:pPr>
          </w:p>
        </w:tc>
        <w:tc>
          <w:tcPr>
            <w:tcW w:w="2266" w:type="dxa"/>
            <w:gridSpan w:val="5"/>
            <w:tcBorders>
              <w:tl2br w:val="nil"/>
              <w:tr2bl w:val="nil"/>
            </w:tcBorders>
            <w:vAlign w:val="center"/>
          </w:tcPr>
          <w:p>
            <w:pPr>
              <w:spacing w:line="240" w:lineRule="exact"/>
              <w:jc w:val="center"/>
              <w:rPr>
                <w:sz w:val="18"/>
                <w:szCs w:val="18"/>
              </w:rPr>
            </w:pPr>
            <w:r>
              <w:rPr>
                <w:sz w:val="18"/>
                <w:szCs w:val="18"/>
              </w:rPr>
              <w:t>现有污染源</w:t>
            </w:r>
            <w:r>
              <w:rPr>
                <w:sz w:val="18"/>
                <w:szCs w:val="18"/>
              </w:rPr>
              <w:sym w:font="Wingdings 2" w:char="00A3"/>
            </w:r>
          </w:p>
        </w:tc>
        <w:tc>
          <w:tcPr>
            <w:tcW w:w="991" w:type="dxa"/>
            <w:gridSpan w:val="3"/>
            <w:vMerge w:val="continue"/>
            <w:tcBorders>
              <w:tl2br w:val="nil"/>
              <w:tr2bl w:val="nil"/>
            </w:tcBorders>
            <w:vAlign w:val="center"/>
          </w:tcPr>
          <w:p>
            <w:pPr>
              <w:spacing w:line="240" w:lineRule="exact"/>
              <w:jc w:val="center"/>
              <w:rPr>
                <w:sz w:val="18"/>
                <w:szCs w:val="18"/>
              </w:rPr>
            </w:pPr>
          </w:p>
        </w:tc>
        <w:tc>
          <w:tcPr>
            <w:tcW w:w="1463" w:type="dxa"/>
            <w:gridSpan w:val="3"/>
            <w:vMerge w:val="continue"/>
            <w:tcBorders>
              <w:tl2br w:val="nil"/>
              <w:tr2bl w:val="nil"/>
            </w:tcBorders>
            <w:vAlign w:val="center"/>
          </w:tcPr>
          <w:p>
            <w:pPr>
              <w:spacing w:line="240" w:lineRule="exact"/>
              <w:jc w:val="center"/>
              <w:rPr>
                <w:sz w:val="18"/>
                <w:szCs w:val="18"/>
              </w:rPr>
            </w:pPr>
          </w:p>
        </w:tc>
        <w:tc>
          <w:tcPr>
            <w:tcW w:w="1556" w:type="dxa"/>
            <w:gridSpan w:val="3"/>
            <w:vMerge w:val="continue"/>
            <w:tcBorders>
              <w:tl2br w:val="nil"/>
              <w:tr2bl w:val="nil"/>
            </w:tcBorders>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大气环境影响预测与评价</w:t>
            </w:r>
          </w:p>
        </w:tc>
        <w:tc>
          <w:tcPr>
            <w:tcW w:w="1889" w:type="dxa"/>
            <w:tcBorders>
              <w:tl2br w:val="nil"/>
              <w:tr2bl w:val="nil"/>
            </w:tcBorders>
            <w:vAlign w:val="center"/>
          </w:tcPr>
          <w:p>
            <w:pPr>
              <w:spacing w:line="240" w:lineRule="exact"/>
              <w:jc w:val="center"/>
              <w:rPr>
                <w:sz w:val="18"/>
                <w:szCs w:val="18"/>
              </w:rPr>
            </w:pPr>
            <w:r>
              <w:rPr>
                <w:sz w:val="18"/>
                <w:szCs w:val="18"/>
              </w:rPr>
              <w:t>预测模型</w:t>
            </w:r>
          </w:p>
        </w:tc>
        <w:tc>
          <w:tcPr>
            <w:tcW w:w="900" w:type="dxa"/>
            <w:tcBorders>
              <w:tl2br w:val="nil"/>
              <w:tr2bl w:val="nil"/>
            </w:tcBorders>
            <w:vAlign w:val="center"/>
          </w:tcPr>
          <w:p>
            <w:pPr>
              <w:spacing w:line="240" w:lineRule="exact"/>
              <w:jc w:val="center"/>
              <w:rPr>
                <w:sz w:val="15"/>
                <w:szCs w:val="15"/>
              </w:rPr>
            </w:pPr>
            <w:r>
              <w:rPr>
                <w:sz w:val="15"/>
                <w:szCs w:val="15"/>
              </w:rPr>
              <w:t>AERMOD</w:t>
            </w:r>
          </w:p>
          <w:p>
            <w:pPr>
              <w:spacing w:line="240" w:lineRule="exact"/>
              <w:jc w:val="center"/>
              <w:rPr>
                <w:sz w:val="18"/>
                <w:szCs w:val="18"/>
              </w:rPr>
            </w:pPr>
            <w:r>
              <w:rPr>
                <w:sz w:val="15"/>
                <w:szCs w:val="15"/>
              </w:rPr>
              <w:sym w:font="Wingdings 2" w:char="00A3"/>
            </w:r>
          </w:p>
        </w:tc>
        <w:tc>
          <w:tcPr>
            <w:tcW w:w="792" w:type="dxa"/>
            <w:tcBorders>
              <w:tl2br w:val="nil"/>
              <w:tr2bl w:val="nil"/>
            </w:tcBorders>
            <w:vAlign w:val="center"/>
          </w:tcPr>
          <w:p>
            <w:pPr>
              <w:spacing w:line="240" w:lineRule="exact"/>
              <w:jc w:val="center"/>
              <w:rPr>
                <w:sz w:val="15"/>
                <w:szCs w:val="15"/>
              </w:rPr>
            </w:pPr>
            <w:r>
              <w:rPr>
                <w:sz w:val="15"/>
                <w:szCs w:val="15"/>
              </w:rPr>
              <w:t>ADMS</w:t>
            </w:r>
            <w:r>
              <w:rPr>
                <w:sz w:val="15"/>
                <w:szCs w:val="15"/>
              </w:rPr>
              <w:sym w:font="Wingdings 2" w:char="00A3"/>
            </w:r>
          </w:p>
        </w:tc>
        <w:tc>
          <w:tcPr>
            <w:tcW w:w="940" w:type="dxa"/>
            <w:gridSpan w:val="5"/>
            <w:tcBorders>
              <w:tl2br w:val="nil"/>
              <w:tr2bl w:val="nil"/>
            </w:tcBorders>
            <w:vAlign w:val="center"/>
          </w:tcPr>
          <w:p>
            <w:pPr>
              <w:spacing w:line="240" w:lineRule="exact"/>
              <w:jc w:val="center"/>
              <w:rPr>
                <w:sz w:val="15"/>
                <w:szCs w:val="15"/>
              </w:rPr>
            </w:pPr>
            <w:r>
              <w:rPr>
                <w:sz w:val="15"/>
                <w:szCs w:val="15"/>
              </w:rPr>
              <w:t>AUSTAL2000</w:t>
            </w:r>
            <w:r>
              <w:rPr>
                <w:sz w:val="15"/>
                <w:szCs w:val="15"/>
              </w:rPr>
              <w:sym w:font="Wingdings 2" w:char="00A3"/>
            </w:r>
          </w:p>
        </w:tc>
        <w:tc>
          <w:tcPr>
            <w:tcW w:w="1092" w:type="dxa"/>
            <w:gridSpan w:val="2"/>
            <w:tcBorders>
              <w:tl2br w:val="nil"/>
              <w:tr2bl w:val="nil"/>
            </w:tcBorders>
            <w:vAlign w:val="center"/>
          </w:tcPr>
          <w:p>
            <w:pPr>
              <w:spacing w:line="240" w:lineRule="exact"/>
              <w:jc w:val="center"/>
              <w:rPr>
                <w:sz w:val="15"/>
                <w:szCs w:val="15"/>
              </w:rPr>
            </w:pPr>
            <w:r>
              <w:rPr>
                <w:sz w:val="15"/>
                <w:szCs w:val="15"/>
              </w:rPr>
              <w:t>EDMS/AEDT</w:t>
            </w:r>
          </w:p>
          <w:p>
            <w:pPr>
              <w:spacing w:line="240" w:lineRule="exact"/>
              <w:jc w:val="center"/>
              <w:rPr>
                <w:sz w:val="15"/>
                <w:szCs w:val="15"/>
              </w:rPr>
            </w:pPr>
            <w:r>
              <w:rPr>
                <w:sz w:val="15"/>
                <w:szCs w:val="15"/>
              </w:rPr>
              <w:sym w:font="Wingdings 2" w:char="00A3"/>
            </w:r>
          </w:p>
        </w:tc>
        <w:tc>
          <w:tcPr>
            <w:tcW w:w="996" w:type="dxa"/>
            <w:gridSpan w:val="2"/>
            <w:tcBorders>
              <w:tl2br w:val="nil"/>
              <w:tr2bl w:val="nil"/>
            </w:tcBorders>
            <w:vAlign w:val="center"/>
          </w:tcPr>
          <w:p>
            <w:pPr>
              <w:spacing w:line="240" w:lineRule="exact"/>
              <w:jc w:val="center"/>
              <w:rPr>
                <w:sz w:val="15"/>
                <w:szCs w:val="15"/>
              </w:rPr>
            </w:pPr>
            <w:r>
              <w:rPr>
                <w:sz w:val="15"/>
                <w:szCs w:val="15"/>
              </w:rPr>
              <w:t>CALPUFF</w:t>
            </w:r>
          </w:p>
          <w:p>
            <w:pPr>
              <w:spacing w:line="240" w:lineRule="exact"/>
              <w:jc w:val="center"/>
              <w:rPr>
                <w:sz w:val="15"/>
                <w:szCs w:val="15"/>
              </w:rPr>
            </w:pPr>
            <w:r>
              <w:rPr>
                <w:sz w:val="15"/>
                <w:szCs w:val="15"/>
              </w:rPr>
              <w:sym w:font="Wingdings 2" w:char="00A3"/>
            </w:r>
          </w:p>
        </w:tc>
        <w:tc>
          <w:tcPr>
            <w:tcW w:w="917" w:type="dxa"/>
            <w:gridSpan w:val="2"/>
            <w:tcBorders>
              <w:tl2br w:val="nil"/>
              <w:tr2bl w:val="nil"/>
            </w:tcBorders>
            <w:vAlign w:val="center"/>
          </w:tcPr>
          <w:p>
            <w:pPr>
              <w:spacing w:line="240" w:lineRule="exact"/>
              <w:jc w:val="center"/>
              <w:rPr>
                <w:sz w:val="15"/>
                <w:szCs w:val="15"/>
              </w:rPr>
            </w:pPr>
            <w:r>
              <w:rPr>
                <w:sz w:val="15"/>
                <w:szCs w:val="15"/>
              </w:rPr>
              <w:t>网格模型</w:t>
            </w:r>
            <w:r>
              <w:rPr>
                <w:sz w:val="15"/>
                <w:szCs w:val="15"/>
              </w:rPr>
              <w:sym w:font="Wingdings 2" w:char="00A3"/>
            </w:r>
          </w:p>
        </w:tc>
        <w:tc>
          <w:tcPr>
            <w:tcW w:w="639" w:type="dxa"/>
            <w:tcBorders>
              <w:tl2br w:val="nil"/>
              <w:tr2bl w:val="nil"/>
            </w:tcBorders>
            <w:vAlign w:val="center"/>
          </w:tcPr>
          <w:p>
            <w:pPr>
              <w:spacing w:line="240" w:lineRule="exact"/>
              <w:jc w:val="center"/>
              <w:rPr>
                <w:sz w:val="15"/>
                <w:szCs w:val="15"/>
              </w:rPr>
            </w:pPr>
            <w:r>
              <w:rPr>
                <w:sz w:val="15"/>
                <w:szCs w:val="15"/>
              </w:rPr>
              <w:t>其他</w:t>
            </w:r>
            <w:r>
              <w:rPr>
                <w:sz w:val="15"/>
                <w:szCs w:val="15"/>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预测范围</w:t>
            </w:r>
          </w:p>
        </w:tc>
        <w:tc>
          <w:tcPr>
            <w:tcW w:w="1692" w:type="dxa"/>
            <w:gridSpan w:val="2"/>
            <w:tcBorders>
              <w:tl2br w:val="nil"/>
              <w:tr2bl w:val="nil"/>
            </w:tcBorders>
            <w:vAlign w:val="center"/>
          </w:tcPr>
          <w:p>
            <w:pPr>
              <w:spacing w:line="240" w:lineRule="exact"/>
              <w:jc w:val="center"/>
              <w:rPr>
                <w:sz w:val="18"/>
                <w:szCs w:val="18"/>
              </w:rPr>
            </w:pPr>
            <w:r>
              <w:rPr>
                <w:sz w:val="18"/>
                <w:szCs w:val="18"/>
              </w:rPr>
              <w:t>边长≥50km</w:t>
            </w:r>
            <w:r>
              <w:rPr>
                <w:sz w:val="18"/>
                <w:szCs w:val="18"/>
              </w:rPr>
              <w:sym w:font="Wingdings 2" w:char="00A3"/>
            </w:r>
          </w:p>
        </w:tc>
        <w:tc>
          <w:tcPr>
            <w:tcW w:w="3028" w:type="dxa"/>
            <w:gridSpan w:val="9"/>
            <w:tcBorders>
              <w:tl2br w:val="nil"/>
              <w:tr2bl w:val="nil"/>
            </w:tcBorders>
            <w:vAlign w:val="center"/>
          </w:tcPr>
          <w:p>
            <w:pPr>
              <w:spacing w:line="240" w:lineRule="exact"/>
              <w:jc w:val="center"/>
              <w:rPr>
                <w:sz w:val="18"/>
                <w:szCs w:val="18"/>
              </w:rPr>
            </w:pPr>
            <w:r>
              <w:rPr>
                <w:sz w:val="18"/>
                <w:szCs w:val="18"/>
              </w:rPr>
              <w:t>边长5~50km</w:t>
            </w:r>
            <w:r>
              <w:rPr>
                <w:sz w:val="18"/>
                <w:szCs w:val="18"/>
              </w:rPr>
              <w:sym w:font="Wingdings 2" w:char="00A3"/>
            </w:r>
          </w:p>
        </w:tc>
        <w:tc>
          <w:tcPr>
            <w:tcW w:w="1556" w:type="dxa"/>
            <w:gridSpan w:val="3"/>
            <w:tcBorders>
              <w:tl2br w:val="nil"/>
              <w:tr2bl w:val="nil"/>
            </w:tcBorders>
            <w:vAlign w:val="center"/>
          </w:tcPr>
          <w:p>
            <w:pPr>
              <w:spacing w:line="240" w:lineRule="exact"/>
              <w:jc w:val="center"/>
              <w:rPr>
                <w:sz w:val="18"/>
                <w:szCs w:val="18"/>
              </w:rPr>
            </w:pPr>
            <w:r>
              <w:rPr>
                <w:sz w:val="18"/>
                <w:szCs w:val="18"/>
              </w:rPr>
              <w:t>边长=5km</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预测因子</w:t>
            </w:r>
          </w:p>
        </w:tc>
        <w:tc>
          <w:tcPr>
            <w:tcW w:w="3257" w:type="dxa"/>
            <w:gridSpan w:val="8"/>
            <w:tcBorders>
              <w:tl2br w:val="nil"/>
              <w:tr2bl w:val="nil"/>
            </w:tcBorders>
            <w:vAlign w:val="center"/>
          </w:tcPr>
          <w:p>
            <w:pPr>
              <w:spacing w:line="240" w:lineRule="exact"/>
              <w:jc w:val="center"/>
              <w:rPr>
                <w:sz w:val="18"/>
                <w:szCs w:val="18"/>
              </w:rPr>
            </w:pPr>
            <w:r>
              <w:rPr>
                <w:sz w:val="18"/>
                <w:szCs w:val="18"/>
              </w:rPr>
              <w:t>预测因子（）</w:t>
            </w:r>
          </w:p>
        </w:tc>
        <w:tc>
          <w:tcPr>
            <w:tcW w:w="3019" w:type="dxa"/>
            <w:gridSpan w:val="6"/>
            <w:tcBorders>
              <w:tl2br w:val="nil"/>
              <w:tr2bl w:val="nil"/>
            </w:tcBorders>
            <w:vAlign w:val="center"/>
          </w:tcPr>
          <w:p>
            <w:pPr>
              <w:spacing w:line="240" w:lineRule="exact"/>
              <w:jc w:val="center"/>
              <w:rPr>
                <w:sz w:val="18"/>
                <w:szCs w:val="18"/>
              </w:rPr>
            </w:pPr>
            <w:r>
              <w:rPr>
                <w:sz w:val="18"/>
                <w:szCs w:val="18"/>
              </w:rPr>
              <w:t>包括二次PM</w:t>
            </w:r>
            <w:r>
              <w:rPr>
                <w:sz w:val="18"/>
                <w:szCs w:val="18"/>
                <w:vertAlign w:val="subscript"/>
              </w:rPr>
              <w:t>2.5</w:t>
            </w:r>
            <w:r>
              <w:rPr>
                <w:sz w:val="18"/>
                <w:szCs w:val="18"/>
              </w:rPr>
              <w:sym w:font="Wingdings 2" w:char="00A3"/>
            </w:r>
          </w:p>
          <w:p>
            <w:pPr>
              <w:spacing w:line="240" w:lineRule="exact"/>
              <w:jc w:val="center"/>
              <w:rPr>
                <w:sz w:val="18"/>
                <w:szCs w:val="18"/>
              </w:rPr>
            </w:pPr>
            <w:r>
              <w:rPr>
                <w:sz w:val="18"/>
                <w:szCs w:val="18"/>
              </w:rPr>
              <w:t>不包括二次PM</w:t>
            </w:r>
            <w:r>
              <w:rPr>
                <w:sz w:val="18"/>
                <w:szCs w:val="18"/>
                <w:vertAlign w:val="subscript"/>
              </w:rPr>
              <w:t>2.5</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正常排放短期浓度贡献值</w:t>
            </w:r>
          </w:p>
        </w:tc>
        <w:tc>
          <w:tcPr>
            <w:tcW w:w="3257" w:type="dxa"/>
            <w:gridSpan w:val="8"/>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本项目</w:t>
            </w:r>
            <w:r>
              <w:rPr>
                <w:sz w:val="18"/>
                <w:szCs w:val="18"/>
              </w:rPr>
              <w:t>最大占标率≤100%</w:t>
            </w:r>
            <w:r>
              <w:rPr>
                <w:sz w:val="18"/>
                <w:szCs w:val="18"/>
              </w:rPr>
              <w:sym w:font="Wingdings 2" w:char="00A3"/>
            </w:r>
          </w:p>
        </w:tc>
        <w:tc>
          <w:tcPr>
            <w:tcW w:w="3019" w:type="dxa"/>
            <w:gridSpan w:val="6"/>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本项目</w:t>
            </w:r>
            <w:r>
              <w:rPr>
                <w:sz w:val="18"/>
                <w:szCs w:val="18"/>
              </w:rPr>
              <w:t>最大占标率＞100%</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vMerge w:val="restart"/>
            <w:tcBorders>
              <w:tl2br w:val="nil"/>
              <w:tr2bl w:val="nil"/>
            </w:tcBorders>
            <w:vAlign w:val="center"/>
          </w:tcPr>
          <w:p>
            <w:pPr>
              <w:spacing w:line="240" w:lineRule="exact"/>
              <w:jc w:val="center"/>
              <w:rPr>
                <w:sz w:val="18"/>
                <w:szCs w:val="18"/>
              </w:rPr>
            </w:pPr>
            <w:r>
              <w:rPr>
                <w:sz w:val="18"/>
                <w:szCs w:val="18"/>
              </w:rPr>
              <w:t>正常排放浓度年均浓度贡献值</w:t>
            </w:r>
          </w:p>
        </w:tc>
        <w:tc>
          <w:tcPr>
            <w:tcW w:w="3257" w:type="dxa"/>
            <w:gridSpan w:val="8"/>
            <w:tcBorders>
              <w:tl2br w:val="nil"/>
              <w:tr2bl w:val="nil"/>
            </w:tcBorders>
            <w:vAlign w:val="center"/>
          </w:tcPr>
          <w:p>
            <w:pPr>
              <w:spacing w:line="240" w:lineRule="exact"/>
              <w:jc w:val="center"/>
              <w:rPr>
                <w:sz w:val="18"/>
                <w:szCs w:val="18"/>
              </w:rPr>
            </w:pPr>
            <w:r>
              <w:rPr>
                <w:sz w:val="18"/>
                <w:szCs w:val="18"/>
              </w:rPr>
              <w:t>一类区 C</w:t>
            </w:r>
            <w:r>
              <w:rPr>
                <w:sz w:val="18"/>
                <w:szCs w:val="18"/>
                <w:vertAlign w:val="subscript"/>
              </w:rPr>
              <w:t>本项目</w:t>
            </w:r>
            <w:r>
              <w:rPr>
                <w:sz w:val="18"/>
                <w:szCs w:val="18"/>
              </w:rPr>
              <w:t>最大占标率≤10%</w:t>
            </w:r>
            <w:r>
              <w:rPr>
                <w:sz w:val="18"/>
                <w:szCs w:val="18"/>
              </w:rPr>
              <w:sym w:font="Wingdings 2" w:char="00A3"/>
            </w:r>
          </w:p>
        </w:tc>
        <w:tc>
          <w:tcPr>
            <w:tcW w:w="3019" w:type="dxa"/>
            <w:gridSpan w:val="6"/>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本项目</w:t>
            </w:r>
            <w:r>
              <w:rPr>
                <w:sz w:val="18"/>
                <w:szCs w:val="18"/>
              </w:rPr>
              <w:t>最大占标率＞10%</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vMerge w:val="continue"/>
            <w:tcBorders>
              <w:tl2br w:val="nil"/>
              <w:tr2bl w:val="nil"/>
            </w:tcBorders>
            <w:vAlign w:val="center"/>
          </w:tcPr>
          <w:p>
            <w:pPr>
              <w:spacing w:line="240" w:lineRule="exact"/>
              <w:jc w:val="center"/>
              <w:rPr>
                <w:sz w:val="18"/>
                <w:szCs w:val="18"/>
              </w:rPr>
            </w:pPr>
          </w:p>
        </w:tc>
        <w:tc>
          <w:tcPr>
            <w:tcW w:w="3257" w:type="dxa"/>
            <w:gridSpan w:val="8"/>
            <w:tcBorders>
              <w:tl2br w:val="nil"/>
              <w:tr2bl w:val="nil"/>
            </w:tcBorders>
            <w:vAlign w:val="center"/>
          </w:tcPr>
          <w:p>
            <w:pPr>
              <w:spacing w:line="240" w:lineRule="exact"/>
              <w:jc w:val="center"/>
              <w:rPr>
                <w:sz w:val="18"/>
                <w:szCs w:val="18"/>
              </w:rPr>
            </w:pPr>
            <w:r>
              <w:rPr>
                <w:sz w:val="18"/>
                <w:szCs w:val="18"/>
              </w:rPr>
              <w:t>二类区 C</w:t>
            </w:r>
            <w:r>
              <w:rPr>
                <w:sz w:val="18"/>
                <w:szCs w:val="18"/>
                <w:vertAlign w:val="subscript"/>
              </w:rPr>
              <w:t>本项目</w:t>
            </w:r>
            <w:r>
              <w:rPr>
                <w:sz w:val="18"/>
                <w:szCs w:val="18"/>
              </w:rPr>
              <w:t>最大占标率≤30%</w:t>
            </w:r>
            <w:r>
              <w:rPr>
                <w:sz w:val="18"/>
                <w:szCs w:val="18"/>
              </w:rPr>
              <w:sym w:font="Wingdings 2" w:char="00A3"/>
            </w:r>
          </w:p>
        </w:tc>
        <w:tc>
          <w:tcPr>
            <w:tcW w:w="3019" w:type="dxa"/>
            <w:gridSpan w:val="6"/>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本项目</w:t>
            </w:r>
            <w:r>
              <w:rPr>
                <w:sz w:val="18"/>
                <w:szCs w:val="18"/>
              </w:rPr>
              <w:t>最大占标率＞30%</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非正常排放1h浓度贡献值</w:t>
            </w:r>
          </w:p>
        </w:tc>
        <w:tc>
          <w:tcPr>
            <w:tcW w:w="2079" w:type="dxa"/>
            <w:gridSpan w:val="4"/>
            <w:tcBorders>
              <w:tl2br w:val="nil"/>
              <w:tr2bl w:val="nil"/>
            </w:tcBorders>
            <w:vAlign w:val="center"/>
          </w:tcPr>
          <w:p>
            <w:pPr>
              <w:spacing w:line="240" w:lineRule="exact"/>
              <w:jc w:val="center"/>
              <w:rPr>
                <w:sz w:val="18"/>
                <w:szCs w:val="18"/>
              </w:rPr>
            </w:pPr>
            <w:r>
              <w:rPr>
                <w:sz w:val="18"/>
                <w:szCs w:val="18"/>
              </w:rPr>
              <w:t>非正常持续时长（）h</w:t>
            </w:r>
          </w:p>
        </w:tc>
        <w:tc>
          <w:tcPr>
            <w:tcW w:w="2227" w:type="dxa"/>
            <w:gridSpan w:val="6"/>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非正常</w:t>
            </w:r>
            <w:r>
              <w:rPr>
                <w:sz w:val="18"/>
                <w:szCs w:val="18"/>
              </w:rPr>
              <w:t>占标率≤100%</w:t>
            </w:r>
            <w:r>
              <w:rPr>
                <w:sz w:val="18"/>
                <w:szCs w:val="18"/>
              </w:rPr>
              <w:sym w:font="Wingdings 2" w:char="00A3"/>
            </w:r>
          </w:p>
        </w:tc>
        <w:tc>
          <w:tcPr>
            <w:tcW w:w="1970" w:type="dxa"/>
            <w:gridSpan w:val="4"/>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非正常</w:t>
            </w:r>
            <w:r>
              <w:rPr>
                <w:sz w:val="18"/>
                <w:szCs w:val="18"/>
              </w:rPr>
              <w:t>占标率＞100%</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保证率日平均浓度和年平均浓度叠加值</w:t>
            </w:r>
          </w:p>
        </w:tc>
        <w:tc>
          <w:tcPr>
            <w:tcW w:w="3257" w:type="dxa"/>
            <w:gridSpan w:val="8"/>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叠加</w:t>
            </w:r>
            <w:r>
              <w:rPr>
                <w:sz w:val="18"/>
                <w:szCs w:val="18"/>
              </w:rPr>
              <w:t>达标</w:t>
            </w:r>
            <w:r>
              <w:rPr>
                <w:sz w:val="18"/>
                <w:szCs w:val="18"/>
              </w:rPr>
              <w:sym w:font="Wingdings 2" w:char="00A3"/>
            </w:r>
          </w:p>
        </w:tc>
        <w:tc>
          <w:tcPr>
            <w:tcW w:w="3019" w:type="dxa"/>
            <w:gridSpan w:val="6"/>
            <w:tcBorders>
              <w:tl2br w:val="nil"/>
              <w:tr2bl w:val="nil"/>
            </w:tcBorders>
            <w:vAlign w:val="center"/>
          </w:tcPr>
          <w:p>
            <w:pPr>
              <w:spacing w:line="240" w:lineRule="exact"/>
              <w:jc w:val="center"/>
              <w:rPr>
                <w:sz w:val="18"/>
                <w:szCs w:val="18"/>
              </w:rPr>
            </w:pPr>
            <w:r>
              <w:rPr>
                <w:sz w:val="18"/>
                <w:szCs w:val="18"/>
              </w:rPr>
              <w:t>C</w:t>
            </w:r>
            <w:r>
              <w:rPr>
                <w:sz w:val="18"/>
                <w:szCs w:val="18"/>
                <w:vertAlign w:val="subscript"/>
              </w:rPr>
              <w:t>叠加</w:t>
            </w:r>
            <w:r>
              <w:rPr>
                <w:sz w:val="18"/>
                <w:szCs w:val="18"/>
              </w:rPr>
              <w:t>不达标</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区域环境质量的整体变化情况</w:t>
            </w:r>
          </w:p>
        </w:tc>
        <w:tc>
          <w:tcPr>
            <w:tcW w:w="3257" w:type="dxa"/>
            <w:gridSpan w:val="8"/>
            <w:tcBorders>
              <w:tl2br w:val="nil"/>
              <w:tr2bl w:val="nil"/>
            </w:tcBorders>
            <w:vAlign w:val="center"/>
          </w:tcPr>
          <w:p>
            <w:pPr>
              <w:spacing w:line="240" w:lineRule="exact"/>
              <w:jc w:val="center"/>
              <w:rPr>
                <w:sz w:val="18"/>
                <w:szCs w:val="18"/>
              </w:rPr>
            </w:pPr>
            <w:r>
              <w:rPr>
                <w:sz w:val="18"/>
                <w:szCs w:val="18"/>
              </w:rPr>
              <w:t>k≤-20%</w:t>
            </w:r>
            <w:r>
              <w:rPr>
                <w:sz w:val="18"/>
                <w:szCs w:val="18"/>
              </w:rPr>
              <w:sym w:font="Wingdings 2" w:char="00A3"/>
            </w:r>
          </w:p>
        </w:tc>
        <w:tc>
          <w:tcPr>
            <w:tcW w:w="3019" w:type="dxa"/>
            <w:gridSpan w:val="6"/>
            <w:tcBorders>
              <w:tl2br w:val="nil"/>
              <w:tr2bl w:val="nil"/>
            </w:tcBorders>
            <w:vAlign w:val="center"/>
          </w:tcPr>
          <w:p>
            <w:pPr>
              <w:spacing w:line="240" w:lineRule="exact"/>
              <w:jc w:val="center"/>
              <w:rPr>
                <w:sz w:val="18"/>
                <w:szCs w:val="18"/>
              </w:rPr>
            </w:pPr>
            <w:r>
              <w:rPr>
                <w:sz w:val="18"/>
                <w:szCs w:val="18"/>
              </w:rPr>
              <w:t>k＞-20%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环境监测计划</w:t>
            </w:r>
          </w:p>
        </w:tc>
        <w:tc>
          <w:tcPr>
            <w:tcW w:w="1889" w:type="dxa"/>
            <w:tcBorders>
              <w:tl2br w:val="nil"/>
              <w:tr2bl w:val="nil"/>
            </w:tcBorders>
            <w:vAlign w:val="center"/>
          </w:tcPr>
          <w:p>
            <w:pPr>
              <w:spacing w:line="240" w:lineRule="exact"/>
              <w:jc w:val="center"/>
              <w:rPr>
                <w:sz w:val="18"/>
                <w:szCs w:val="18"/>
              </w:rPr>
            </w:pPr>
            <w:r>
              <w:rPr>
                <w:sz w:val="18"/>
                <w:szCs w:val="18"/>
              </w:rPr>
              <w:t>污染源监测</w:t>
            </w:r>
          </w:p>
        </w:tc>
        <w:tc>
          <w:tcPr>
            <w:tcW w:w="2396" w:type="dxa"/>
            <w:gridSpan w:val="6"/>
            <w:tcBorders>
              <w:tl2br w:val="nil"/>
              <w:tr2bl w:val="nil"/>
            </w:tcBorders>
            <w:vAlign w:val="center"/>
          </w:tcPr>
          <w:p>
            <w:pPr>
              <w:spacing w:line="240" w:lineRule="exact"/>
              <w:jc w:val="center"/>
              <w:rPr>
                <w:sz w:val="18"/>
                <w:szCs w:val="18"/>
              </w:rPr>
            </w:pPr>
            <w:r>
              <w:rPr>
                <w:sz w:val="18"/>
                <w:szCs w:val="18"/>
              </w:rPr>
              <w:t>监测因子（</w:t>
            </w:r>
            <w:r>
              <w:rPr>
                <w:rFonts w:hint="eastAsia"/>
                <w:sz w:val="18"/>
                <w:szCs w:val="18"/>
              </w:rPr>
              <w:t>CH</w:t>
            </w:r>
            <w:r>
              <w:rPr>
                <w:rFonts w:hint="eastAsia"/>
                <w:sz w:val="18"/>
                <w:szCs w:val="18"/>
                <w:vertAlign w:val="subscript"/>
              </w:rPr>
              <w:t>4</w:t>
            </w:r>
            <w:r>
              <w:rPr>
                <w:rFonts w:hint="eastAsia"/>
                <w:sz w:val="18"/>
                <w:szCs w:val="18"/>
              </w:rPr>
              <w:t xml:space="preserve">  NH</w:t>
            </w:r>
            <w:r>
              <w:rPr>
                <w:rFonts w:hint="eastAsia"/>
                <w:sz w:val="18"/>
                <w:szCs w:val="18"/>
                <w:vertAlign w:val="subscript"/>
              </w:rPr>
              <w:t xml:space="preserve">3  </w:t>
            </w:r>
            <w:r>
              <w:rPr>
                <w:rFonts w:hint="eastAsia"/>
                <w:sz w:val="18"/>
                <w:szCs w:val="18"/>
              </w:rPr>
              <w:t>H</w:t>
            </w:r>
            <w:r>
              <w:rPr>
                <w:rFonts w:hint="eastAsia"/>
                <w:sz w:val="18"/>
                <w:szCs w:val="18"/>
                <w:vertAlign w:val="subscript"/>
              </w:rPr>
              <w:t>2</w:t>
            </w:r>
            <w:r>
              <w:rPr>
                <w:rFonts w:hint="eastAsia"/>
                <w:sz w:val="18"/>
                <w:szCs w:val="18"/>
              </w:rPr>
              <w:t>S TSP、臭气浓度</w:t>
            </w:r>
            <w:r>
              <w:rPr>
                <w:sz w:val="18"/>
                <w:szCs w:val="18"/>
              </w:rPr>
              <w:t>）</w:t>
            </w:r>
          </w:p>
        </w:tc>
        <w:tc>
          <w:tcPr>
            <w:tcW w:w="2794" w:type="dxa"/>
            <w:gridSpan w:val="6"/>
            <w:tcBorders>
              <w:tl2br w:val="nil"/>
              <w:tr2bl w:val="nil"/>
            </w:tcBorders>
            <w:vAlign w:val="center"/>
          </w:tcPr>
          <w:p>
            <w:pPr>
              <w:spacing w:line="240" w:lineRule="exact"/>
              <w:jc w:val="center"/>
              <w:rPr>
                <w:sz w:val="18"/>
                <w:szCs w:val="18"/>
              </w:rPr>
            </w:pPr>
            <w:r>
              <w:rPr>
                <w:sz w:val="18"/>
                <w:szCs w:val="18"/>
              </w:rPr>
              <w:t>有组织废气监测</w:t>
            </w:r>
            <w:r>
              <w:rPr>
                <w:sz w:val="18"/>
                <w:szCs w:val="18"/>
              </w:rPr>
              <w:sym w:font="Wingdings 2" w:char="00A3"/>
            </w:r>
          </w:p>
          <w:p>
            <w:pPr>
              <w:spacing w:line="240" w:lineRule="exact"/>
              <w:jc w:val="center"/>
              <w:rPr>
                <w:sz w:val="18"/>
                <w:szCs w:val="18"/>
              </w:rPr>
            </w:pPr>
            <w:r>
              <w:rPr>
                <w:sz w:val="18"/>
                <w:szCs w:val="18"/>
              </w:rPr>
              <w:t>无组织废气监测</w:t>
            </w:r>
            <w:r>
              <w:rPr>
                <w:sz w:val="18"/>
                <w:szCs w:val="18"/>
              </w:rPr>
              <w:sym w:font="Wingdings 2" w:char="0052"/>
            </w:r>
          </w:p>
        </w:tc>
        <w:tc>
          <w:tcPr>
            <w:tcW w:w="1086" w:type="dxa"/>
            <w:gridSpan w:val="2"/>
            <w:tcBorders>
              <w:tl2br w:val="nil"/>
              <w:tr2bl w:val="nil"/>
            </w:tcBorders>
            <w:vAlign w:val="center"/>
          </w:tcPr>
          <w:p>
            <w:pPr>
              <w:spacing w:line="240" w:lineRule="exact"/>
              <w:jc w:val="center"/>
              <w:rPr>
                <w:sz w:val="18"/>
                <w:szCs w:val="18"/>
              </w:rPr>
            </w:pPr>
            <w:r>
              <w:rPr>
                <w:sz w:val="18"/>
                <w:szCs w:val="18"/>
              </w:rPr>
              <w:t>无监测</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环境质量监测</w:t>
            </w:r>
          </w:p>
        </w:tc>
        <w:tc>
          <w:tcPr>
            <w:tcW w:w="2396" w:type="dxa"/>
            <w:gridSpan w:val="6"/>
            <w:tcBorders>
              <w:tl2br w:val="nil"/>
              <w:tr2bl w:val="nil"/>
            </w:tcBorders>
            <w:vAlign w:val="center"/>
          </w:tcPr>
          <w:p>
            <w:pPr>
              <w:spacing w:line="240" w:lineRule="exact"/>
              <w:jc w:val="center"/>
              <w:rPr>
                <w:sz w:val="18"/>
                <w:szCs w:val="18"/>
              </w:rPr>
            </w:pPr>
            <w:r>
              <w:rPr>
                <w:sz w:val="18"/>
                <w:szCs w:val="18"/>
              </w:rPr>
              <w:t>监测因子（）</w:t>
            </w:r>
          </w:p>
        </w:tc>
        <w:tc>
          <w:tcPr>
            <w:tcW w:w="2794" w:type="dxa"/>
            <w:gridSpan w:val="6"/>
            <w:tcBorders>
              <w:tl2br w:val="nil"/>
              <w:tr2bl w:val="nil"/>
            </w:tcBorders>
            <w:vAlign w:val="center"/>
          </w:tcPr>
          <w:p>
            <w:pPr>
              <w:spacing w:line="240" w:lineRule="exact"/>
              <w:jc w:val="center"/>
              <w:rPr>
                <w:sz w:val="18"/>
                <w:szCs w:val="18"/>
              </w:rPr>
            </w:pPr>
            <w:r>
              <w:rPr>
                <w:sz w:val="18"/>
                <w:szCs w:val="18"/>
              </w:rPr>
              <w:t>监测点位数（）</w:t>
            </w:r>
          </w:p>
        </w:tc>
        <w:tc>
          <w:tcPr>
            <w:tcW w:w="1086" w:type="dxa"/>
            <w:gridSpan w:val="2"/>
            <w:tcBorders>
              <w:tl2br w:val="nil"/>
              <w:tr2bl w:val="nil"/>
            </w:tcBorders>
            <w:vAlign w:val="center"/>
          </w:tcPr>
          <w:p>
            <w:pPr>
              <w:spacing w:line="240" w:lineRule="exact"/>
              <w:jc w:val="center"/>
              <w:rPr>
                <w:sz w:val="18"/>
                <w:szCs w:val="18"/>
              </w:rPr>
            </w:pPr>
            <w:r>
              <w:rPr>
                <w:sz w:val="18"/>
                <w:szCs w:val="18"/>
              </w:rPr>
              <w:t>无监测</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restart"/>
            <w:tcBorders>
              <w:tl2br w:val="nil"/>
              <w:tr2bl w:val="nil"/>
            </w:tcBorders>
            <w:vAlign w:val="center"/>
          </w:tcPr>
          <w:p>
            <w:pPr>
              <w:spacing w:line="240" w:lineRule="exact"/>
              <w:jc w:val="center"/>
              <w:rPr>
                <w:sz w:val="18"/>
                <w:szCs w:val="18"/>
              </w:rPr>
            </w:pPr>
            <w:r>
              <w:rPr>
                <w:sz w:val="18"/>
                <w:szCs w:val="18"/>
              </w:rPr>
              <w:t>评价结论</w:t>
            </w:r>
          </w:p>
        </w:tc>
        <w:tc>
          <w:tcPr>
            <w:tcW w:w="1889" w:type="dxa"/>
            <w:tcBorders>
              <w:tl2br w:val="nil"/>
              <w:tr2bl w:val="nil"/>
            </w:tcBorders>
            <w:vAlign w:val="center"/>
          </w:tcPr>
          <w:p>
            <w:pPr>
              <w:spacing w:line="240" w:lineRule="exact"/>
              <w:jc w:val="center"/>
              <w:rPr>
                <w:sz w:val="18"/>
                <w:szCs w:val="18"/>
              </w:rPr>
            </w:pPr>
            <w:r>
              <w:rPr>
                <w:sz w:val="18"/>
                <w:szCs w:val="18"/>
              </w:rPr>
              <w:t>环境影响</w:t>
            </w:r>
          </w:p>
        </w:tc>
        <w:tc>
          <w:tcPr>
            <w:tcW w:w="6276" w:type="dxa"/>
            <w:gridSpan w:val="14"/>
            <w:tcBorders>
              <w:tl2br w:val="nil"/>
              <w:tr2bl w:val="nil"/>
            </w:tcBorders>
            <w:vAlign w:val="center"/>
          </w:tcPr>
          <w:p>
            <w:pPr>
              <w:spacing w:line="240" w:lineRule="exact"/>
              <w:jc w:val="center"/>
              <w:rPr>
                <w:sz w:val="18"/>
                <w:szCs w:val="18"/>
              </w:rPr>
            </w:pPr>
            <w:r>
              <w:rPr>
                <w:sz w:val="18"/>
                <w:szCs w:val="18"/>
              </w:rPr>
              <w:t>可以接受</w:t>
            </w:r>
            <w:r>
              <w:rPr>
                <w:sz w:val="18"/>
                <w:szCs w:val="18"/>
              </w:rPr>
              <w:sym w:font="Wingdings 2" w:char="0052"/>
            </w:r>
            <w:r>
              <w:rPr>
                <w:sz w:val="18"/>
                <w:szCs w:val="18"/>
              </w:rPr>
              <w:t xml:space="preserve">      不可以接受</w:t>
            </w:r>
            <w:r>
              <w:rPr>
                <w:sz w:val="18"/>
                <w:szCs w:val="18"/>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rFonts w:hint="eastAsia"/>
                <w:sz w:val="18"/>
                <w:szCs w:val="18"/>
              </w:rPr>
              <w:t>大气环境防护距离</w:t>
            </w:r>
          </w:p>
        </w:tc>
        <w:tc>
          <w:tcPr>
            <w:tcW w:w="6276" w:type="dxa"/>
            <w:gridSpan w:val="14"/>
            <w:tcBorders>
              <w:tl2br w:val="nil"/>
              <w:tr2bl w:val="nil"/>
            </w:tcBorders>
            <w:vAlign w:val="center"/>
          </w:tcPr>
          <w:p>
            <w:pPr>
              <w:spacing w:line="240" w:lineRule="exact"/>
              <w:jc w:val="center"/>
              <w:rPr>
                <w:sz w:val="18"/>
                <w:szCs w:val="18"/>
              </w:rPr>
            </w:pPr>
            <w:r>
              <w:rPr>
                <w:sz w:val="18"/>
                <w:szCs w:val="18"/>
              </w:rPr>
              <w:t>距（ ）厂界最远（ ）m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5" w:type="dxa"/>
            <w:vMerge w:val="continue"/>
            <w:tcBorders>
              <w:tl2br w:val="nil"/>
              <w:tr2bl w:val="nil"/>
            </w:tcBorders>
            <w:vAlign w:val="center"/>
          </w:tcPr>
          <w:p>
            <w:pPr>
              <w:spacing w:line="240" w:lineRule="exact"/>
              <w:jc w:val="center"/>
              <w:rPr>
                <w:sz w:val="18"/>
                <w:szCs w:val="18"/>
              </w:rPr>
            </w:pPr>
          </w:p>
        </w:tc>
        <w:tc>
          <w:tcPr>
            <w:tcW w:w="1889" w:type="dxa"/>
            <w:tcBorders>
              <w:tl2br w:val="nil"/>
              <w:tr2bl w:val="nil"/>
            </w:tcBorders>
            <w:vAlign w:val="center"/>
          </w:tcPr>
          <w:p>
            <w:pPr>
              <w:spacing w:line="240" w:lineRule="exact"/>
              <w:jc w:val="center"/>
              <w:rPr>
                <w:sz w:val="18"/>
                <w:szCs w:val="18"/>
              </w:rPr>
            </w:pPr>
            <w:r>
              <w:rPr>
                <w:sz w:val="18"/>
                <w:szCs w:val="18"/>
              </w:rPr>
              <w:t>污染源年排放量</w:t>
            </w:r>
          </w:p>
        </w:tc>
        <w:tc>
          <w:tcPr>
            <w:tcW w:w="6276" w:type="dxa"/>
            <w:gridSpan w:val="14"/>
            <w:tcBorders>
              <w:tl2br w:val="nil"/>
              <w:tr2bl w:val="nil"/>
            </w:tcBorders>
            <w:vAlign w:val="center"/>
          </w:tcPr>
          <w:p>
            <w:pPr>
              <w:spacing w:line="240" w:lineRule="exact"/>
              <w:jc w:val="center"/>
              <w:rPr>
                <w:sz w:val="18"/>
                <w:szCs w:val="18"/>
              </w:rPr>
            </w:pPr>
            <w:r>
              <w:rPr>
                <w:sz w:val="18"/>
                <w:szCs w:val="18"/>
              </w:rPr>
              <w:t>SO</w:t>
            </w:r>
            <w:r>
              <w:rPr>
                <w:sz w:val="18"/>
                <w:szCs w:val="18"/>
                <w:vertAlign w:val="subscript"/>
              </w:rPr>
              <w:t>2</w:t>
            </w:r>
            <w:r>
              <w:rPr>
                <w:sz w:val="18"/>
                <w:szCs w:val="18"/>
              </w:rPr>
              <w:t>：(</w:t>
            </w:r>
            <w:r>
              <w:rPr>
                <w:rFonts w:hint="eastAsia"/>
                <w:sz w:val="18"/>
                <w:szCs w:val="18"/>
              </w:rPr>
              <w:t>少量</w:t>
            </w:r>
            <w:r>
              <w:rPr>
                <w:sz w:val="18"/>
                <w:szCs w:val="18"/>
              </w:rPr>
              <w:t xml:space="preserve"> )t/a  NO</w:t>
            </w:r>
            <w:r>
              <w:rPr>
                <w:sz w:val="18"/>
                <w:szCs w:val="18"/>
                <w:vertAlign w:val="subscript"/>
              </w:rPr>
              <w:t>X</w:t>
            </w:r>
            <w:r>
              <w:rPr>
                <w:sz w:val="18"/>
                <w:szCs w:val="18"/>
              </w:rPr>
              <w:t>：(</w:t>
            </w:r>
            <w:r>
              <w:rPr>
                <w:rFonts w:hint="eastAsia"/>
                <w:sz w:val="18"/>
                <w:szCs w:val="18"/>
              </w:rPr>
              <w:t>少量</w:t>
            </w:r>
            <w:r>
              <w:rPr>
                <w:sz w:val="18"/>
                <w:szCs w:val="18"/>
              </w:rPr>
              <w:t>)t/a   颗粒物：(</w:t>
            </w:r>
            <w:r>
              <w:rPr>
                <w:rFonts w:hint="eastAsia"/>
                <w:sz w:val="18"/>
                <w:szCs w:val="18"/>
              </w:rPr>
              <w:t>1.01</w:t>
            </w:r>
            <w:r>
              <w:rPr>
                <w:sz w:val="18"/>
                <w:szCs w:val="18"/>
              </w:rPr>
              <w:t>)t/a    VOC</w:t>
            </w:r>
            <w:r>
              <w:rPr>
                <w:sz w:val="18"/>
                <w:szCs w:val="18"/>
                <w:vertAlign w:val="subscript"/>
              </w:rPr>
              <w:t>S</w:t>
            </w:r>
            <w:r>
              <w:rPr>
                <w:sz w:val="18"/>
                <w:szCs w:val="18"/>
              </w:rPr>
              <w:t>：(  )t/a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9060" w:type="dxa"/>
            <w:gridSpan w:val="16"/>
            <w:tcBorders>
              <w:tl2br w:val="nil"/>
              <w:tr2bl w:val="nil"/>
            </w:tcBorders>
            <w:vAlign w:val="center"/>
          </w:tcPr>
          <w:p>
            <w:pPr>
              <w:spacing w:line="240" w:lineRule="exact"/>
              <w:jc w:val="center"/>
              <w:rPr>
                <w:sz w:val="18"/>
                <w:szCs w:val="18"/>
              </w:rPr>
            </w:pPr>
            <w:r>
              <w:rPr>
                <w:sz w:val="18"/>
                <w:szCs w:val="18"/>
              </w:rPr>
              <w:t>注：“</w:t>
            </w:r>
            <w:r>
              <w:rPr>
                <w:sz w:val="18"/>
                <w:szCs w:val="18"/>
              </w:rPr>
              <w:sym w:font="Wingdings 2" w:char="00A3"/>
            </w:r>
            <w:r>
              <w:rPr>
                <w:sz w:val="18"/>
                <w:szCs w:val="18"/>
              </w:rPr>
              <w:t>”为勾选项，填“√”；“（）”为内容填写项</w:t>
            </w:r>
          </w:p>
        </w:tc>
      </w:tr>
    </w:tbl>
    <w:p>
      <w:pPr>
        <w:pStyle w:val="6"/>
        <w:tabs>
          <w:tab w:val="left" w:pos="6427"/>
        </w:tabs>
      </w:pPr>
      <w:r>
        <w:t>5.1.</w:t>
      </w:r>
      <w:r>
        <w:rPr>
          <w:rFonts w:hint="eastAsia"/>
        </w:rPr>
        <w:t>4服务期满后大气环境影响评价</w:t>
      </w:r>
      <w:r>
        <w:rPr>
          <w:rFonts w:hint="eastAsia"/>
        </w:rPr>
        <w:tab/>
      </w:r>
    </w:p>
    <w:p>
      <w:pPr>
        <w:spacing w:line="500" w:lineRule="exact"/>
        <w:ind w:firstLine="480" w:firstLineChars="200"/>
        <w:rPr>
          <w:sz w:val="24"/>
        </w:rPr>
      </w:pPr>
      <w:r>
        <w:rPr>
          <w:rFonts w:hint="eastAsia"/>
          <w:sz w:val="24"/>
        </w:rPr>
        <w:t>项目服务期满封场后填埋气仍会持续排放10～15年左右，但产气量将呈逐年下降趋势，其环境影响同运营期，在继续做好填埋气的收集、处理工作后，环境影响及爆炸隐患相对较小。</w:t>
      </w:r>
    </w:p>
    <w:p>
      <w:pPr>
        <w:pStyle w:val="5"/>
        <w:spacing w:beforeLines="0" w:after="120" w:line="500" w:lineRule="exact"/>
        <w:rPr>
          <w:rFonts w:eastAsia="宋体"/>
          <w:b/>
          <w:bCs w:val="0"/>
          <w:color w:val="auto"/>
          <w:szCs w:val="30"/>
        </w:rPr>
      </w:pPr>
      <w:bookmarkStart w:id="127" w:name="_Toc1688575393"/>
      <w:r>
        <w:rPr>
          <w:rFonts w:eastAsia="宋体"/>
          <w:b/>
          <w:bCs w:val="0"/>
          <w:color w:val="auto"/>
          <w:szCs w:val="30"/>
        </w:rPr>
        <w:t>5.</w:t>
      </w:r>
      <w:r>
        <w:rPr>
          <w:rFonts w:hint="eastAsia" w:eastAsia="宋体"/>
          <w:b/>
          <w:bCs w:val="0"/>
          <w:color w:val="auto"/>
          <w:szCs w:val="30"/>
        </w:rPr>
        <w:t>2地表水环境</w:t>
      </w:r>
      <w:r>
        <w:rPr>
          <w:rFonts w:eastAsia="宋体"/>
          <w:b/>
          <w:bCs w:val="0"/>
          <w:color w:val="auto"/>
          <w:szCs w:val="30"/>
        </w:rPr>
        <w:t>影响评价</w:t>
      </w:r>
      <w:bookmarkEnd w:id="127"/>
    </w:p>
    <w:p>
      <w:pPr>
        <w:spacing w:line="480" w:lineRule="exact"/>
        <w:ind w:firstLine="480" w:firstLineChars="200"/>
        <w:rPr>
          <w:sz w:val="24"/>
        </w:rPr>
      </w:pPr>
      <w:r>
        <w:rPr>
          <w:rFonts w:hint="eastAsia"/>
          <w:sz w:val="24"/>
        </w:rPr>
        <w:t>项目运营过程中废水主要为库区的垃圾渗滤液，以及管理区的少量职工生活废水和洗车废水等，其中渗滤液产生量平均约20.24m</w:t>
      </w:r>
      <w:r>
        <w:rPr>
          <w:rFonts w:hint="eastAsia"/>
          <w:sz w:val="24"/>
          <w:vertAlign w:val="superscript"/>
        </w:rPr>
        <w:t>3</w:t>
      </w:r>
      <w:r>
        <w:rPr>
          <w:rFonts w:hint="eastAsia"/>
          <w:sz w:val="24"/>
        </w:rPr>
        <w:t>/d，职工生活废水排放量约0.88m</w:t>
      </w:r>
      <w:r>
        <w:rPr>
          <w:rFonts w:hint="eastAsia"/>
          <w:sz w:val="24"/>
          <w:vertAlign w:val="superscript"/>
        </w:rPr>
        <w:t>3</w:t>
      </w:r>
      <w:r>
        <w:rPr>
          <w:rFonts w:hint="eastAsia"/>
          <w:sz w:val="24"/>
        </w:rPr>
        <w:t>/d，洗车废水排放量约0.68m</w:t>
      </w:r>
      <w:r>
        <w:rPr>
          <w:rFonts w:hint="eastAsia"/>
          <w:sz w:val="24"/>
          <w:vertAlign w:val="superscript"/>
        </w:rPr>
        <w:t>3</w:t>
      </w:r>
      <w:r>
        <w:rPr>
          <w:rFonts w:hint="eastAsia"/>
          <w:sz w:val="24"/>
        </w:rPr>
        <w:t>/d，合计约21.8m</w:t>
      </w:r>
      <w:r>
        <w:rPr>
          <w:rFonts w:hint="eastAsia"/>
          <w:sz w:val="24"/>
          <w:vertAlign w:val="superscript"/>
        </w:rPr>
        <w:t>3</w:t>
      </w:r>
      <w:r>
        <w:rPr>
          <w:rFonts w:hint="eastAsia"/>
          <w:sz w:val="24"/>
        </w:rPr>
        <w:t>/d。项目场内设渗滤液处理站和调节池，渗滤液处理工艺为目前应用较为广泛的“预处理+两级DTRO反渗透”，设计处理能力40m</w:t>
      </w:r>
      <w:r>
        <w:rPr>
          <w:rFonts w:hint="eastAsia"/>
          <w:sz w:val="24"/>
          <w:vertAlign w:val="superscript"/>
        </w:rPr>
        <w:t>3</w:t>
      </w:r>
      <w:r>
        <w:rPr>
          <w:rFonts w:hint="eastAsia"/>
          <w:sz w:val="24"/>
        </w:rPr>
        <w:t>/d，生活废水经化粪池、洗车废水经沉淀循环后，均随库区垃圾渗滤液进入调节池和渗滤液处理站，经处理达标后，出水全部回用于场内及县城道路洒水、环卫绿化等，处理过程中的反渗透浓水全部回喷库区，本项目无外排废水。</w:t>
      </w:r>
    </w:p>
    <w:p>
      <w:pPr>
        <w:spacing w:line="480" w:lineRule="exact"/>
        <w:ind w:firstLine="480" w:firstLineChars="200"/>
        <w:rPr>
          <w:sz w:val="24"/>
        </w:rPr>
      </w:pPr>
      <w:r>
        <w:rPr>
          <w:rFonts w:hint="eastAsia"/>
          <w:sz w:val="24"/>
        </w:rPr>
        <w:t>另外，经估算，评价还提出以下要求：场地渗滤液调节池容积规模不小于1800m</w:t>
      </w:r>
      <w:r>
        <w:rPr>
          <w:rFonts w:hint="eastAsia"/>
          <w:sz w:val="24"/>
          <w:vertAlign w:val="superscript"/>
        </w:rPr>
        <w:t>3</w:t>
      </w:r>
      <w:r>
        <w:rPr>
          <w:rFonts w:hint="eastAsia"/>
          <w:sz w:val="24"/>
        </w:rPr>
        <w:t>，并根据降雨、季节变化等情况保持渗滤液处理设施正常运行，确保调节池渗滤液不发生外溢。</w:t>
      </w:r>
    </w:p>
    <w:p>
      <w:pPr>
        <w:spacing w:line="480" w:lineRule="exact"/>
        <w:ind w:firstLine="480" w:firstLineChars="200"/>
        <w:rPr>
          <w:sz w:val="24"/>
        </w:rPr>
      </w:pPr>
      <w:r>
        <w:rPr>
          <w:rFonts w:hint="eastAsia"/>
          <w:sz w:val="24"/>
        </w:rPr>
        <w:t>在落实上述措施后，本项目对区域地表水环境影响较小，</w:t>
      </w:r>
      <w:r>
        <w:rPr>
          <w:sz w:val="24"/>
        </w:rPr>
        <w:t>项目地表水环境影响可以接受。</w:t>
      </w:r>
    </w:p>
    <w:p>
      <w:pPr>
        <w:pStyle w:val="5"/>
        <w:spacing w:beforeLines="0" w:after="120" w:line="500" w:lineRule="exact"/>
        <w:rPr>
          <w:rFonts w:eastAsia="宋体"/>
          <w:b/>
          <w:bCs w:val="0"/>
          <w:color w:val="auto"/>
          <w:szCs w:val="30"/>
        </w:rPr>
      </w:pPr>
      <w:bookmarkStart w:id="128" w:name="_Toc76764059"/>
      <w:r>
        <w:rPr>
          <w:rFonts w:eastAsia="宋体"/>
          <w:b/>
          <w:bCs w:val="0"/>
          <w:color w:val="auto"/>
          <w:szCs w:val="30"/>
        </w:rPr>
        <w:t>5.</w:t>
      </w:r>
      <w:r>
        <w:rPr>
          <w:rFonts w:hint="eastAsia" w:eastAsia="宋体"/>
          <w:b/>
          <w:bCs w:val="0"/>
          <w:color w:val="auto"/>
          <w:szCs w:val="30"/>
        </w:rPr>
        <w:t>3地下水环境</w:t>
      </w:r>
      <w:r>
        <w:rPr>
          <w:rFonts w:eastAsia="宋体"/>
          <w:b/>
          <w:bCs w:val="0"/>
          <w:color w:val="auto"/>
          <w:szCs w:val="30"/>
        </w:rPr>
        <w:t>影响</w:t>
      </w:r>
      <w:r>
        <w:rPr>
          <w:rFonts w:hint="eastAsia" w:eastAsia="宋体"/>
          <w:b/>
          <w:bCs w:val="0"/>
          <w:color w:val="auto"/>
          <w:szCs w:val="30"/>
        </w:rPr>
        <w:t>预测与</w:t>
      </w:r>
      <w:r>
        <w:rPr>
          <w:rFonts w:eastAsia="宋体"/>
          <w:b/>
          <w:bCs w:val="0"/>
          <w:color w:val="auto"/>
          <w:szCs w:val="30"/>
        </w:rPr>
        <w:t>评价</w:t>
      </w:r>
      <w:bookmarkEnd w:id="128"/>
    </w:p>
    <w:p>
      <w:pPr>
        <w:pStyle w:val="6"/>
      </w:pPr>
      <w:r>
        <w:t>5.</w:t>
      </w:r>
      <w:r>
        <w:rPr>
          <w:rFonts w:hint="eastAsia"/>
        </w:rPr>
        <w:t>3</w:t>
      </w:r>
      <w:r>
        <w:t xml:space="preserve">.1 </w:t>
      </w:r>
      <w:r>
        <w:rPr>
          <w:rFonts w:hint="eastAsia"/>
        </w:rPr>
        <w:t>区域地质与水文地质</w:t>
      </w:r>
    </w:p>
    <w:p>
      <w:pPr>
        <w:spacing w:line="500" w:lineRule="exact"/>
        <w:ind w:firstLine="482" w:firstLineChars="200"/>
        <w:jc w:val="left"/>
        <w:rPr>
          <w:b/>
          <w:bCs/>
          <w:color w:val="000000"/>
          <w:sz w:val="24"/>
        </w:rPr>
      </w:pPr>
      <w:r>
        <w:rPr>
          <w:rFonts w:hint="eastAsia"/>
          <w:b/>
          <w:bCs/>
          <w:color w:val="000000"/>
          <w:sz w:val="24"/>
        </w:rPr>
        <w:t>1、区域地质</w:t>
      </w:r>
    </w:p>
    <w:p>
      <w:pPr>
        <w:spacing w:line="480" w:lineRule="exact"/>
        <w:ind w:firstLine="482" w:firstLineChars="200"/>
        <w:jc w:val="left"/>
        <w:rPr>
          <w:b/>
          <w:bCs/>
          <w:color w:val="000000"/>
          <w:sz w:val="24"/>
        </w:rPr>
      </w:pPr>
      <w:r>
        <w:rPr>
          <w:b/>
          <w:bCs/>
          <w:color w:val="000000"/>
          <w:sz w:val="24"/>
        </w:rPr>
        <w:t>（</w:t>
      </w:r>
      <w:r>
        <w:rPr>
          <w:rFonts w:hint="eastAsia"/>
          <w:b/>
          <w:bCs/>
          <w:color w:val="000000"/>
          <w:sz w:val="24"/>
        </w:rPr>
        <w:t>1</w:t>
      </w:r>
      <w:r>
        <w:rPr>
          <w:b/>
          <w:bCs/>
          <w:color w:val="000000"/>
          <w:sz w:val="24"/>
        </w:rPr>
        <w:t>）区域地层</w:t>
      </w:r>
    </w:p>
    <w:p>
      <w:pPr>
        <w:widowControl/>
        <w:spacing w:line="480" w:lineRule="exact"/>
        <w:ind w:firstLine="480" w:firstLineChars="200"/>
        <w:jc w:val="left"/>
        <w:rPr>
          <w:sz w:val="24"/>
        </w:rPr>
      </w:pPr>
      <w:r>
        <w:rPr>
          <w:rFonts w:hint="eastAsia"/>
          <w:sz w:val="24"/>
        </w:rPr>
        <w:t>壶关</w:t>
      </w:r>
      <w:r>
        <w:rPr>
          <w:sz w:val="24"/>
        </w:rPr>
        <w:t>境内</w:t>
      </w:r>
      <w:r>
        <w:rPr>
          <w:rFonts w:hint="eastAsia"/>
          <w:sz w:val="24"/>
        </w:rPr>
        <w:t>地</w:t>
      </w:r>
      <w:r>
        <w:rPr>
          <w:sz w:val="24"/>
        </w:rPr>
        <w:t>层分布从东向西、由老到新依次出露有太古界赞皇群，元古界长城群，古生界寒武系、奥陶系、石炭系、二迭系，新生界第三系和第四系。其中，下奥陶系白云岩成条带状分布于东部沟谷之中，中奥陶系石灰系、泥炭岩分布于中部、西部以及东部山顶的广大地区，出露面积约770km</w:t>
      </w:r>
      <w:r>
        <w:rPr>
          <w:sz w:val="24"/>
          <w:vertAlign w:val="superscript"/>
        </w:rPr>
        <w:t>2</w:t>
      </w:r>
      <w:r>
        <w:rPr>
          <w:sz w:val="24"/>
        </w:rPr>
        <w:t>（含黄土覆盖面积250km</w:t>
      </w:r>
      <w:r>
        <w:rPr>
          <w:sz w:val="24"/>
          <w:vertAlign w:val="superscript"/>
        </w:rPr>
        <w:t>2</w:t>
      </w:r>
      <w:r>
        <w:rPr>
          <w:sz w:val="24"/>
        </w:rPr>
        <w:t>），占全境总面积的76%，总厚度达515m以上；石炭系、二迭系砂页岩林星分布于西部边缘山顶；晋庄一带覆盖为新生界第三系、第四系松散堆积层，厚度大约10～187m。具体分布自下而上依次为：</w:t>
      </w:r>
    </w:p>
    <w:p>
      <w:pPr>
        <w:widowControl/>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太古界赞皇群仅出露于桥上乡大河村口一带，厚约55m，为本县出露最古老的地层，主要为黑云斜长片麻岩夹黑绿色角闪片麻岩及斜长角闪岩，沿片理贯入的脉岩有石英脉、长石脉和辉长岩脉。</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元古界长城群一般厚155m，分布于桥上、鹅屋两乡河谷谷底两岸，与下伏太古界赞皇群变质岩系呈角度不整合。岩性为中粗粒石英砂岩、紫红色石英岩状砂岩夹紫红色泥岩与砂质泥岩互层。</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古生界寒武系厚度一般</w:t>
      </w:r>
      <w:r>
        <w:rPr>
          <w:rFonts w:hint="eastAsia"/>
          <w:sz w:val="24"/>
        </w:rPr>
        <w:t>厚</w:t>
      </w:r>
      <w:r>
        <w:rPr>
          <w:sz w:val="24"/>
        </w:rPr>
        <w:t>500m，分布于西柏坡村〜桥上村〜杨家池村大沟两侧，岩性为薄层状泥灰岩、厚层鳞状石灰岩和薄板状、中层状石灰岩，自上而下分为三个统。即：</w:t>
      </w:r>
    </w:p>
    <w:p>
      <w:pPr>
        <w:spacing w:line="480" w:lineRule="exact"/>
        <w:ind w:firstLine="480" w:firstLineChars="200"/>
        <w:jc w:val="left"/>
        <w:rPr>
          <w:sz w:val="24"/>
        </w:rPr>
      </w:pPr>
      <w:r>
        <w:rPr>
          <w:sz w:val="24"/>
        </w:rPr>
        <w:t>下寒武统：厚度一般为140m，岩性下部为杂色薄层状及薄板状泥灰岩夹紫红色泥岩，上部以紫红色、灰绿色泥岩为主，中夹薄层石灰岩。</w:t>
      </w:r>
    </w:p>
    <w:p>
      <w:pPr>
        <w:spacing w:line="480" w:lineRule="exact"/>
        <w:ind w:firstLine="480" w:firstLineChars="200"/>
        <w:jc w:val="left"/>
        <w:rPr>
          <w:sz w:val="24"/>
        </w:rPr>
      </w:pPr>
      <w:r>
        <w:rPr>
          <w:sz w:val="24"/>
        </w:rPr>
        <w:t>中寒武统：厚度一般为295m，分布于桥上村、土圪堆村和靳家庄一带，岩性以厚层鳞状灰岩为主，底部有少许紫红色泥岩，垂直节理发育，常形成悬崖绝壁。</w:t>
      </w:r>
    </w:p>
    <w:p>
      <w:pPr>
        <w:spacing w:line="480" w:lineRule="exact"/>
        <w:ind w:firstLine="480" w:firstLineChars="200"/>
        <w:jc w:val="left"/>
        <w:rPr>
          <w:sz w:val="24"/>
        </w:rPr>
      </w:pPr>
      <w:r>
        <w:rPr>
          <w:sz w:val="24"/>
        </w:rPr>
        <w:t>上寒武统：厚度一般为65m，分布于桥上村、土圪堆村和靳家庄一带，岩性由浅灰色和灰白色薄板状灰岩组成，中下部夹0.3〜0.5米竹叶状灰岩，局部可做为大理石开采。</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rPr>
        <w:t>古生界奥陶系厚度一般</w:t>
      </w:r>
      <w:r>
        <w:rPr>
          <w:rFonts w:hint="eastAsia"/>
          <w:sz w:val="24"/>
        </w:rPr>
        <w:t>厚</w:t>
      </w:r>
      <w:r>
        <w:rPr>
          <w:sz w:val="24"/>
        </w:rPr>
        <w:t>630m，主要分布于晋庄、店上、东井岭等乡镇以东广大地区，分布面积较大，约占全县的三分之二，岩性为石灰岩夹泥灰岩和白云岩，分下统和中统：</w:t>
      </w:r>
    </w:p>
    <w:p>
      <w:pPr>
        <w:spacing w:line="480" w:lineRule="exact"/>
        <w:ind w:firstLine="480" w:firstLineChars="200"/>
        <w:jc w:val="left"/>
        <w:rPr>
          <w:sz w:val="24"/>
        </w:rPr>
      </w:pPr>
      <w:r>
        <w:rPr>
          <w:sz w:val="24"/>
        </w:rPr>
        <w:t>下奥陶统：厚度一般为100m，分布于福头村、西柏坡村、板窑村、西云头村、西臭水村和王家庄一带，为一套白云岩沉积，按岩性分上、下两层，下层为灰白色厚层中一粗晶白云岩，含燧石结核，上层为灰白色细晶白云岩。</w:t>
      </w:r>
    </w:p>
    <w:p>
      <w:pPr>
        <w:spacing w:line="480" w:lineRule="exact"/>
        <w:ind w:firstLine="480" w:firstLineChars="200"/>
        <w:jc w:val="left"/>
        <w:rPr>
          <w:sz w:val="24"/>
        </w:rPr>
      </w:pPr>
      <w:r>
        <w:rPr>
          <w:sz w:val="24"/>
        </w:rPr>
        <w:t>中奥陶统：分布于晋庄镇〜店上镇〜东井岭乡一线以东地域，厚度为530m,岩性为灰岩夹泥灰岩</w:t>
      </w:r>
      <w:r>
        <w:rPr>
          <w:rFonts w:hint="eastAsia"/>
          <w:sz w:val="24"/>
        </w:rPr>
        <w:t>。</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sz w:val="24"/>
        </w:rPr>
        <w:t>古生界石炭系全系厚约165m，土要分布于西川底、黄山、东柏林、百尺、 常行等乡镇，岩性为砂岩、泥岩、灰岩、黄铁矿和煤层，分两统三组。</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sz w:val="24"/>
        </w:rPr>
        <w:t>古生界二迭系全系厚约195m</w:t>
      </w:r>
      <w:r>
        <w:rPr>
          <w:rFonts w:hint="eastAsia"/>
          <w:sz w:val="24"/>
        </w:rPr>
        <w:t>，</w:t>
      </w:r>
      <w:r>
        <w:rPr>
          <w:sz w:val="24"/>
        </w:rPr>
        <w:t>零星分布于黄山乡〜百尺镇赵屋村一线以西县界附近，区内仅有下石盒子组，岩性为灰黄、杏黄色泥岩、砂质泥岩、中粒长石石英砂岩。下部为长石石英砂岩；中部为砂质泥岩中含铁质鳞粒；上部为泥岩、砂泥岩等厚度互层。</w:t>
      </w:r>
    </w:p>
    <w:p>
      <w:pPr>
        <w:pStyle w:val="56"/>
        <w:shd w:val="clear" w:color="auto" w:fill="auto"/>
        <w:tabs>
          <w:tab w:val="left" w:pos="1121"/>
        </w:tabs>
        <w:spacing w:line="500" w:lineRule="exact"/>
        <w:ind w:firstLine="480" w:firstLineChars="200"/>
        <w:jc w:val="left"/>
        <w:rPr>
          <w:rFonts w:ascii="Times New Roman" w:hAnsi="Times New Roman" w:eastAsia="宋体" w:cs="Times New Roman"/>
          <w:spacing w:val="0"/>
          <w:sz w:val="24"/>
          <w:szCs w:val="24"/>
        </w:rPr>
      </w:pPr>
      <w:r>
        <w:rPr>
          <w:rFonts w:ascii="Times New Roman" w:hAnsi="Times New Roman" w:eastAsia="宋体" w:cs="Times New Roman"/>
          <w:spacing w:val="0"/>
          <w:sz w:val="24"/>
          <w:szCs w:val="24"/>
        </w:rPr>
        <w:fldChar w:fldCharType="begin"/>
      </w:r>
      <w:r>
        <w:rPr>
          <w:rFonts w:ascii="Times New Roman" w:hAnsi="Times New Roman" w:eastAsia="宋体" w:cs="Times New Roman"/>
          <w:spacing w:val="0"/>
          <w:sz w:val="24"/>
          <w:szCs w:val="24"/>
        </w:rPr>
        <w:instrText xml:space="preserve"> </w:instrText>
      </w:r>
      <w:r>
        <w:rPr>
          <w:rFonts w:hint="eastAsia" w:ascii="Times New Roman" w:hAnsi="Times New Roman" w:eastAsia="宋体" w:cs="Times New Roman"/>
          <w:spacing w:val="0"/>
          <w:sz w:val="24"/>
          <w:szCs w:val="24"/>
        </w:rPr>
        <w:instrText xml:space="preserve">= 7 \* GB3</w:instrText>
      </w:r>
      <w:r>
        <w:rPr>
          <w:rFonts w:ascii="Times New Roman" w:hAnsi="Times New Roman" w:eastAsia="宋体" w:cs="Times New Roman"/>
          <w:spacing w:val="0"/>
          <w:sz w:val="24"/>
          <w:szCs w:val="24"/>
        </w:rPr>
        <w:instrText xml:space="preserve"> </w:instrText>
      </w:r>
      <w:r>
        <w:rPr>
          <w:rFonts w:ascii="Times New Roman" w:hAnsi="Times New Roman" w:eastAsia="宋体" w:cs="Times New Roman"/>
          <w:spacing w:val="0"/>
          <w:sz w:val="24"/>
          <w:szCs w:val="24"/>
        </w:rPr>
        <w:fldChar w:fldCharType="separate"/>
      </w:r>
      <w:r>
        <w:rPr>
          <w:rFonts w:hint="eastAsia" w:ascii="Times New Roman" w:hAnsi="Times New Roman" w:eastAsia="宋体" w:cs="Times New Roman"/>
          <w:spacing w:val="0"/>
          <w:sz w:val="24"/>
          <w:szCs w:val="24"/>
        </w:rPr>
        <w:t>⑦</w:t>
      </w:r>
      <w:r>
        <w:rPr>
          <w:rFonts w:ascii="Times New Roman" w:hAnsi="Times New Roman" w:eastAsia="宋体" w:cs="Times New Roman"/>
          <w:spacing w:val="0"/>
          <w:sz w:val="24"/>
          <w:szCs w:val="24"/>
        </w:rPr>
        <w:fldChar w:fldCharType="end"/>
      </w:r>
      <w:r>
        <w:rPr>
          <w:rFonts w:ascii="Times New Roman" w:hAnsi="Times New Roman" w:eastAsia="宋体" w:cs="Times New Roman"/>
          <w:spacing w:val="0"/>
          <w:sz w:val="24"/>
          <w:szCs w:val="24"/>
          <w:lang w:val="zh-CN"/>
        </w:rPr>
        <w:t>新生界第三系全系厚</w:t>
      </w:r>
      <w:r>
        <w:rPr>
          <w:rFonts w:ascii="Times New Roman" w:hAnsi="Times New Roman" w:eastAsia="宋体" w:cs="Times New Roman"/>
          <w:spacing w:val="0"/>
          <w:sz w:val="24"/>
          <w:szCs w:val="24"/>
        </w:rPr>
        <w:t>30m,</w:t>
      </w:r>
      <w:r>
        <w:rPr>
          <w:rFonts w:ascii="Times New Roman" w:hAnsi="Times New Roman" w:eastAsia="宋体" w:cs="Times New Roman"/>
          <w:spacing w:val="0"/>
          <w:sz w:val="24"/>
          <w:szCs w:val="24"/>
          <w:lang w:val="zh-CN"/>
        </w:rPr>
        <w:t>为棕褐色、黄褐色亚粘土、亚矿上及砂层，下部为局部砂砾层或砾层。</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8 \* GB3</w:instrText>
      </w:r>
      <w:r>
        <w:rPr>
          <w:sz w:val="24"/>
        </w:rPr>
        <w:instrText xml:space="preserve"> </w:instrText>
      </w:r>
      <w:r>
        <w:rPr>
          <w:sz w:val="24"/>
        </w:rPr>
        <w:fldChar w:fldCharType="separate"/>
      </w:r>
      <w:r>
        <w:rPr>
          <w:rFonts w:hint="eastAsia"/>
          <w:sz w:val="24"/>
        </w:rPr>
        <w:t>⑧</w:t>
      </w:r>
      <w:r>
        <w:rPr>
          <w:sz w:val="24"/>
        </w:rPr>
        <w:fldChar w:fldCharType="end"/>
      </w:r>
      <w:r>
        <w:rPr>
          <w:sz w:val="24"/>
        </w:rPr>
        <w:t>新生界第四系全系厚0〜160m，主要分布于晋庄、黄山等乡镇，由紫红色、棕红色红土、粘土、亚黏土和中粗矿、砾石组成。其余地方呈零星分布。</w:t>
      </w:r>
    </w:p>
    <w:p>
      <w:pPr>
        <w:widowControl/>
        <w:spacing w:line="500" w:lineRule="exact"/>
        <w:ind w:firstLine="480" w:firstLineChars="200"/>
        <w:jc w:val="left"/>
        <w:rPr>
          <w:sz w:val="24"/>
        </w:rPr>
      </w:pPr>
      <w:r>
        <w:rPr>
          <w:rFonts w:hint="eastAsia"/>
          <w:sz w:val="24"/>
        </w:rPr>
        <w:t>本项目场地</w:t>
      </w:r>
      <w:r>
        <w:rPr>
          <w:sz w:val="24"/>
        </w:rPr>
        <w:t>出露地层主要为第四系全新统。</w:t>
      </w:r>
    </w:p>
    <w:p>
      <w:pPr>
        <w:spacing w:line="500" w:lineRule="exact"/>
        <w:ind w:firstLine="482" w:firstLineChars="200"/>
        <w:jc w:val="left"/>
        <w:rPr>
          <w:b/>
          <w:bCs/>
          <w:color w:val="000000"/>
          <w:sz w:val="24"/>
        </w:rPr>
      </w:pPr>
      <w:r>
        <w:rPr>
          <w:b/>
          <w:bCs/>
          <w:color w:val="000000"/>
          <w:sz w:val="24"/>
        </w:rPr>
        <w:t>(</w:t>
      </w:r>
      <w:r>
        <w:rPr>
          <w:rFonts w:hint="eastAsia"/>
          <w:b/>
          <w:bCs/>
          <w:color w:val="000000"/>
          <w:sz w:val="24"/>
        </w:rPr>
        <w:t>2</w:t>
      </w:r>
      <w:r>
        <w:rPr>
          <w:b/>
          <w:bCs/>
          <w:color w:val="000000"/>
          <w:sz w:val="24"/>
        </w:rPr>
        <w:t>)区域构造</w:t>
      </w:r>
    </w:p>
    <w:p>
      <w:pPr>
        <w:adjustRightInd w:val="0"/>
        <w:snapToGrid w:val="0"/>
        <w:spacing w:line="500" w:lineRule="exact"/>
        <w:ind w:firstLine="480" w:firstLineChars="200"/>
        <w:jc w:val="left"/>
        <w:rPr>
          <w:sz w:val="24"/>
        </w:rPr>
      </w:pPr>
      <w:r>
        <w:rPr>
          <w:sz w:val="24"/>
        </w:rPr>
        <w:t>壶关县位于山西中隆起太行山背斜南端中轴偏西部位，晋（城）获（鹿）褶断带从县境西侧通过，全区地址构造比较简单，褶皱和断裂构造不太发育，主要由开阔舒缓的背、向斜组成。总体地层为一向西缓倾斜的单斜构造，地层倾角为5°-10°（岩体附近达30°-50°）近闪长岩岩体地层中常发育于高角度正断层。</w:t>
      </w:r>
    </w:p>
    <w:p>
      <w:pPr>
        <w:adjustRightInd w:val="0"/>
        <w:snapToGrid w:val="0"/>
        <w:spacing w:line="500" w:lineRule="exact"/>
        <w:ind w:firstLine="480" w:firstLineChars="200"/>
        <w:jc w:val="left"/>
        <w:rPr>
          <w:sz w:val="24"/>
        </w:rPr>
      </w:pPr>
      <w:r>
        <w:rPr>
          <w:sz w:val="24"/>
        </w:rPr>
        <w:t>县境东部西安里构造一岩浆带呈狭长带状展布，有彼此平行的南北向的东、西两个岩浆带组成，其东带北起平顺县北秋房村，南至陵川县六泉村；西带北起平顺县白马村，南至本县石坡乡双井村，两个岩带南段延至境内，并展布于东部地区。其中，陵川县六泉村南~壶关县石河沐乡庙郊村一带的挠曲，延伸长度约20km，轴部呈南~南西向分布，在石河沐乡板安窑村受大挠曲的影响，又伴有一小型南西向小挠曲与其交叉共生；位于大挠曲轴部，与挠曲平行分布的有陵川县六泉村~本县石河沐乡沙坨村的SSW向正断层，延伸长度约18km；与挠曲断层伴生的中性、酸性岩体在孤山沟村、大坪上村以西为一单斜构造，延伸至修缮深井一带，约30km，地层走向倾向北西，倾角25°，在桥上乡盘底村一带出露。</w:t>
      </w:r>
    </w:p>
    <w:p>
      <w:pPr>
        <w:adjustRightInd w:val="0"/>
        <w:snapToGrid w:val="0"/>
        <w:spacing w:line="500" w:lineRule="exact"/>
        <w:ind w:firstLine="480" w:firstLineChars="200"/>
        <w:jc w:val="left"/>
        <w:rPr>
          <w:sz w:val="24"/>
        </w:rPr>
      </w:pPr>
      <w:r>
        <w:rPr>
          <w:sz w:val="24"/>
        </w:rPr>
        <w:t>此外，鹅屋乡界内有4条性质不明的呈多字形断层：位于黄崖底村一带的NW~SE向断层，延伸4.5km；南倒寺村~寺上村NW~NS向断层，延伸长度约12km；或岭西村~南岭付断层，延伸长度约为7.5km。南倒寺村~寺上村、或岭西村~南岭村、熏香窑村~东川底村3条断层相互平行排列，呈3个船型构造。在单斜构造上还出现了老洪岭~肖军岭~马驹村呈NW~SSE向背斜构造，背斜轴部相互平行。</w:t>
      </w:r>
    </w:p>
    <w:p>
      <w:pPr>
        <w:widowControl/>
        <w:spacing w:line="480" w:lineRule="exact"/>
        <w:ind w:firstLine="480" w:firstLineChars="200"/>
        <w:jc w:val="left"/>
        <w:rPr>
          <w:sz w:val="24"/>
        </w:rPr>
      </w:pPr>
      <w:r>
        <w:rPr>
          <w:sz w:val="24"/>
        </w:rPr>
        <w:t>本项目</w:t>
      </w:r>
      <w:r>
        <w:rPr>
          <w:rFonts w:hint="eastAsia"/>
          <w:sz w:val="24"/>
        </w:rPr>
        <w:t>场地</w:t>
      </w:r>
      <w:r>
        <w:rPr>
          <w:sz w:val="24"/>
        </w:rPr>
        <w:t>附近无活动断裂通过，也无其他的不良地质作用。</w:t>
      </w:r>
      <w:r>
        <w:rPr>
          <w:rFonts w:hint="eastAsia"/>
          <w:sz w:val="24"/>
        </w:rPr>
        <w:t>区域地质构造情况详见附图5.3-1。</w:t>
      </w:r>
    </w:p>
    <w:p>
      <w:pPr>
        <w:spacing w:line="500" w:lineRule="exact"/>
        <w:ind w:firstLine="482" w:firstLineChars="200"/>
        <w:jc w:val="left"/>
        <w:rPr>
          <w:b/>
          <w:bCs/>
          <w:color w:val="000000"/>
          <w:sz w:val="24"/>
        </w:rPr>
      </w:pPr>
      <w:r>
        <w:rPr>
          <w:rFonts w:hint="eastAsia"/>
          <w:b/>
          <w:bCs/>
          <w:color w:val="000000"/>
          <w:sz w:val="24"/>
        </w:rPr>
        <w:t>3、</w:t>
      </w:r>
      <w:r>
        <w:rPr>
          <w:b/>
          <w:bCs/>
          <w:color w:val="000000"/>
          <w:sz w:val="24"/>
        </w:rPr>
        <w:t>区域水文地质条件</w:t>
      </w:r>
    </w:p>
    <w:p>
      <w:pPr>
        <w:widowControl/>
        <w:spacing w:line="500" w:lineRule="exact"/>
        <w:ind w:firstLine="480" w:firstLineChars="200"/>
        <w:jc w:val="left"/>
        <w:rPr>
          <w:b/>
          <w:bCs/>
          <w:sz w:val="24"/>
        </w:rPr>
      </w:pPr>
      <w:r>
        <w:rPr>
          <w:sz w:val="24"/>
        </w:rPr>
        <w:t>壶关县地下水资源贫乏，据推算储量为5650万m</w:t>
      </w:r>
      <w:r>
        <w:rPr>
          <w:sz w:val="24"/>
          <w:vertAlign w:val="superscript"/>
        </w:rPr>
        <w:t>3</w:t>
      </w:r>
      <w:r>
        <w:rPr>
          <w:sz w:val="24"/>
        </w:rPr>
        <w:t>。年均可利用量为1282万m</w:t>
      </w:r>
      <w:r>
        <w:rPr>
          <w:sz w:val="24"/>
          <w:vertAlign w:val="superscript"/>
        </w:rPr>
        <w:t>3</w:t>
      </w:r>
      <w:r>
        <w:rPr>
          <w:sz w:val="24"/>
        </w:rPr>
        <w:t>。东部山区由于冲沟强烈下切，寒武系岩溶水以下降泉的形式排泄补给河水，流出县镜。西南部黄山、百尺等乡镇的山顶有石炭二迭系层间裂隙水出露口，由于面积小，补给条件有限。从地下水的埋深来看，山区岩性单一，岩溶水埋藏在330～350m之间。大部分地区为辛安泉水的补给区。</w:t>
      </w:r>
    </w:p>
    <w:p>
      <w:pPr>
        <w:spacing w:line="500" w:lineRule="exact"/>
        <w:ind w:firstLine="482" w:firstLineChars="200"/>
        <w:jc w:val="left"/>
        <w:rPr>
          <w:b/>
          <w:bCs/>
          <w:color w:val="000000"/>
          <w:sz w:val="24"/>
        </w:rPr>
      </w:pPr>
      <w:r>
        <w:rPr>
          <w:b/>
          <w:bCs/>
          <w:color w:val="000000"/>
          <w:sz w:val="24"/>
        </w:rPr>
        <w:t>（1）区域主要含水层</w:t>
      </w:r>
    </w:p>
    <w:p>
      <w:pPr>
        <w:spacing w:line="500" w:lineRule="exact"/>
        <w:ind w:firstLine="480" w:firstLineChars="200"/>
        <w:jc w:val="left"/>
        <w:rPr>
          <w:sz w:val="24"/>
        </w:rPr>
      </w:pPr>
      <w:r>
        <w:rPr>
          <w:sz w:val="24"/>
        </w:rPr>
        <w:t>壶关县境内可利用地下水含水岩组主要有碳酸盐岩溶裂隙含水岩组和碎屑岩类裂隙含水岩组。</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辛安泉裸露型岩溶山地地下水</w:t>
      </w:r>
    </w:p>
    <w:p>
      <w:pPr>
        <w:spacing w:line="500" w:lineRule="exact"/>
        <w:ind w:firstLine="480" w:firstLineChars="200"/>
        <w:jc w:val="left"/>
        <w:rPr>
          <w:sz w:val="24"/>
        </w:rPr>
      </w:pPr>
      <w:r>
        <w:rPr>
          <w:sz w:val="24"/>
        </w:rPr>
        <w:t>分布于百尺、五龙山、东井岭、黄山、晋庄、店上、常平、集店、龙泉一带。该区处于辛安泉域东部，出露岩层有奥陶系中统上马家沟组（O</w:t>
      </w:r>
      <w:r>
        <w:rPr>
          <w:sz w:val="24"/>
          <w:vertAlign w:val="subscript"/>
        </w:rPr>
        <w:t>2</w:t>
      </w:r>
      <w:r>
        <w:rPr>
          <w:sz w:val="24"/>
          <w:vertAlign w:val="superscript"/>
        </w:rPr>
        <w:t>S</w:t>
      </w:r>
      <w:r>
        <w:rPr>
          <w:sz w:val="24"/>
        </w:rPr>
        <w:t>）、下马家沟组(O</w:t>
      </w:r>
      <w:r>
        <w:rPr>
          <w:sz w:val="24"/>
          <w:vertAlign w:val="subscript"/>
        </w:rPr>
        <w:t>2</w:t>
      </w:r>
      <w:r>
        <w:rPr>
          <w:sz w:val="24"/>
          <w:vertAlign w:val="superscript"/>
        </w:rPr>
        <w:t>X</w:t>
      </w:r>
      <w:r>
        <w:rPr>
          <w:sz w:val="24"/>
        </w:rPr>
        <w:t>)、峰峰组（O</w:t>
      </w:r>
      <w:r>
        <w:rPr>
          <w:sz w:val="24"/>
          <w:vertAlign w:val="subscript"/>
        </w:rPr>
        <w:t>2</w:t>
      </w:r>
      <w:r>
        <w:rPr>
          <w:sz w:val="24"/>
          <w:vertAlign w:val="superscript"/>
        </w:rPr>
        <w:t>f</w:t>
      </w:r>
      <w:r>
        <w:rPr>
          <w:sz w:val="24"/>
        </w:rPr>
        <w:t>)和下统三山子组（O</w:t>
      </w:r>
      <w:r>
        <w:rPr>
          <w:sz w:val="24"/>
          <w:vertAlign w:val="subscript"/>
        </w:rPr>
        <w:t>1</w:t>
      </w:r>
      <w:r>
        <w:rPr>
          <w:sz w:val="24"/>
          <w:vertAlign w:val="superscript"/>
        </w:rPr>
        <w:t>S</w:t>
      </w:r>
      <w:r>
        <w:rPr>
          <w:sz w:val="24"/>
        </w:rPr>
        <w:t>），灰吿、燧石结核灰岩豹皮状灰岩、角烁状灰岩、白云质灰岩、泥质灰岩、泥灰岩、竹叶状内云岩等；寒武系上中下统，岩性为砾岩、砂岩、页岩、泥灰岩、鲕状灰岩、竹叶状灰岩、白云岩等组成浅海相碎屑岩和碳酸盐岩沉积地层。地下水主要接受大气降水补给，占补给总量的70%，地下水水位受区域降水量的控制，降水量增加时，地下水就整体上升，降水量减少时，地下水也下降。径流方面，由东向西流向长治盆地，进入长治径流区，而后向北，到潞城再东流向排泄区。排泄区，平顺县北耽车乡的王曲、安乐、实会等浊漳河河谷是辛安泉的排泄区的重要部分，在排泄区以泉群的形式排出地表，出露标高643-600m。</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辛安泉一般山丘区埋藏型岩溶地下水</w:t>
      </w:r>
    </w:p>
    <w:p>
      <w:pPr>
        <w:spacing w:line="500" w:lineRule="exact"/>
        <w:ind w:firstLine="480" w:firstLineChars="200"/>
        <w:jc w:val="left"/>
        <w:rPr>
          <w:sz w:val="24"/>
        </w:rPr>
      </w:pPr>
      <w:r>
        <w:rPr>
          <w:sz w:val="24"/>
        </w:rPr>
        <w:t>分布于龙泉、黄山、百尺一带，出露石炭系（C）、二迭系（P)及三迭系(T)碎屑岩，山间沟谷区有第三、第四系松散岩分布，碎屑岩下埋藏着奥陶系（O）岩层。其间赋存着丰富的岩溶水。岩溶水埋藏深度一般在250米以上，山于上覆碎屑岩埋藏标高向沁水向斜核部逐渐加深，岩溶水也由东部的层间水向西变为承压水。该区大气降水不能直接渗漏补给下伏的奥陶系含水层，只能通过上覆碎屑岩越流补给，该区中西部大部分处于滞沉区，径流缓慢。</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辛安泉一般山丘区覆盖型岩溶地下水</w:t>
      </w:r>
    </w:p>
    <w:p>
      <w:pPr>
        <w:pStyle w:val="56"/>
        <w:shd w:val="clear" w:color="auto" w:fill="auto"/>
        <w:spacing w:line="500" w:lineRule="exact"/>
        <w:ind w:firstLine="480" w:firstLineChars="200"/>
        <w:jc w:val="left"/>
        <w:rPr>
          <w:rFonts w:ascii="Times New Roman" w:hAnsi="Times New Roman" w:eastAsia="宋体" w:cs="Times New Roman"/>
          <w:spacing w:val="0"/>
          <w:sz w:val="24"/>
          <w:szCs w:val="24"/>
        </w:rPr>
      </w:pPr>
      <w:r>
        <w:rPr>
          <w:rFonts w:ascii="Times New Roman" w:hAnsi="Times New Roman" w:eastAsia="宋体" w:cs="Times New Roman"/>
          <w:spacing w:val="0"/>
          <w:sz w:val="24"/>
          <w:szCs w:val="24"/>
        </w:rPr>
        <w:t>分布于龙泉镇、</w:t>
      </w:r>
      <w:r>
        <w:rPr>
          <w:rFonts w:hint="eastAsia" w:ascii="Times New Roman" w:hAnsi="Times New Roman" w:eastAsia="宋体" w:cs="Times New Roman"/>
          <w:spacing w:val="0"/>
          <w:sz w:val="24"/>
          <w:szCs w:val="24"/>
        </w:rPr>
        <w:t>集店镇</w:t>
      </w:r>
      <w:r>
        <w:rPr>
          <w:rFonts w:ascii="Times New Roman" w:hAnsi="Times New Roman" w:eastAsia="宋体" w:cs="Times New Roman"/>
          <w:spacing w:val="0"/>
          <w:sz w:val="24"/>
          <w:szCs w:val="24"/>
        </w:rPr>
        <w:t>一带，下伏奥陶系灰岩之上覆盖第四系松散层黄土，形成</w:t>
      </w:r>
      <w:r>
        <w:rPr>
          <w:rFonts w:ascii="Times New Roman" w:hAnsi="Times New Roman" w:eastAsia="宋体" w:cs="Times New Roman"/>
          <w:spacing w:val="0"/>
          <w:sz w:val="24"/>
          <w:szCs w:val="24"/>
          <w:lang w:val="zh-CN" w:bidi="zh-CN"/>
        </w:rPr>
        <w:t>—般山区</w:t>
      </w:r>
      <w:r>
        <w:rPr>
          <w:rFonts w:ascii="Times New Roman" w:hAnsi="Times New Roman" w:eastAsia="宋体" w:cs="Times New Roman"/>
          <w:spacing w:val="0"/>
          <w:sz w:val="24"/>
          <w:szCs w:val="24"/>
          <w:lang w:bidi="zh-CN"/>
        </w:rPr>
        <w:t>覆</w:t>
      </w:r>
      <w:r>
        <w:rPr>
          <w:rFonts w:ascii="Times New Roman" w:hAnsi="Times New Roman" w:eastAsia="宋体" w:cs="Times New Roman"/>
          <w:spacing w:val="0"/>
          <w:sz w:val="24"/>
          <w:szCs w:val="24"/>
          <w:lang w:val="zh-CN" w:bidi="zh-CN"/>
        </w:rPr>
        <w:t>盖型岩溶地下水，岩溶含水</w:t>
      </w:r>
      <w:r>
        <w:rPr>
          <w:rFonts w:ascii="Times New Roman" w:hAnsi="Times New Roman" w:eastAsia="宋体" w:cs="Times New Roman"/>
          <w:spacing w:val="0"/>
          <w:sz w:val="24"/>
          <w:szCs w:val="24"/>
          <w:lang w:bidi="zh-CN"/>
        </w:rPr>
        <w:t>层</w:t>
      </w:r>
      <w:r>
        <w:rPr>
          <w:rFonts w:ascii="Times New Roman" w:hAnsi="Times New Roman" w:eastAsia="宋体" w:cs="Times New Roman"/>
          <w:spacing w:val="0"/>
          <w:sz w:val="24"/>
          <w:szCs w:val="24"/>
          <w:lang w:val="zh-CN" w:bidi="zh-CN"/>
        </w:rPr>
        <w:t>埋藏深度大于</w:t>
      </w:r>
      <w:r>
        <w:rPr>
          <w:rFonts w:ascii="Times New Roman" w:hAnsi="Times New Roman" w:eastAsia="宋体" w:cs="Times New Roman"/>
          <w:spacing w:val="0"/>
          <w:sz w:val="24"/>
          <w:szCs w:val="24"/>
          <w:lang w:bidi="zh-CN"/>
        </w:rPr>
        <w:t>350</w:t>
      </w:r>
      <w:r>
        <w:rPr>
          <w:rFonts w:ascii="Times New Roman" w:hAnsi="Times New Roman" w:eastAsia="宋体" w:cs="Times New Roman"/>
          <w:spacing w:val="0"/>
          <w:sz w:val="24"/>
          <w:szCs w:val="24"/>
          <w:lang w:val="zh-CN" w:bidi="zh-CN"/>
        </w:rPr>
        <w:t>米。区域内第</w:t>
      </w:r>
      <w:r>
        <w:rPr>
          <w:rFonts w:ascii="Times New Roman" w:hAnsi="Times New Roman" w:eastAsia="宋体" w:cs="Times New Roman"/>
          <w:spacing w:val="0"/>
          <w:sz w:val="24"/>
          <w:szCs w:val="24"/>
          <w:lang w:bidi="zh-CN"/>
        </w:rPr>
        <w:t>三</w:t>
      </w:r>
      <w:r>
        <w:rPr>
          <w:rFonts w:ascii="Times New Roman" w:hAnsi="Times New Roman" w:eastAsia="宋体" w:cs="Times New Roman"/>
          <w:spacing w:val="0"/>
          <w:sz w:val="24"/>
          <w:szCs w:val="24"/>
          <w:lang w:val="zh-CN" w:bidi="zh-CN"/>
        </w:rPr>
        <w:t>、第四系地层直接覆盖于碳酸盐岩岩溶含水层之上，本区不能直接接受降水补给，只能通过上覆第四系松散层补给，同时有裸露区</w:t>
      </w:r>
      <w:r>
        <w:rPr>
          <w:rFonts w:ascii="Times New Roman" w:hAnsi="Times New Roman" w:eastAsia="宋体" w:cs="Times New Roman"/>
          <w:color w:val="000000"/>
          <w:spacing w:val="0"/>
          <w:sz w:val="24"/>
          <w:szCs w:val="24"/>
          <w:lang w:val="zh-CN" w:bidi="zh-CN"/>
        </w:rPr>
        <w:t>侧向径流补给，接受补给的岩溶地下水由东向西流向长治</w:t>
      </w:r>
      <w:r>
        <w:rPr>
          <w:rFonts w:ascii="Times New Roman" w:hAnsi="Times New Roman" w:eastAsia="宋体" w:cs="Times New Roman"/>
          <w:color w:val="000000"/>
          <w:spacing w:val="0"/>
          <w:sz w:val="24"/>
          <w:szCs w:val="24"/>
          <w:lang w:bidi="zh-CN"/>
        </w:rPr>
        <w:t>-</w:t>
      </w:r>
      <w:r>
        <w:rPr>
          <w:rFonts w:ascii="Times New Roman" w:hAnsi="Times New Roman" w:eastAsia="宋体" w:cs="Times New Roman"/>
          <w:color w:val="000000"/>
          <w:spacing w:val="0"/>
          <w:sz w:val="24"/>
          <w:szCs w:val="24"/>
          <w:lang w:val="zh-CN" w:bidi="zh-CN"/>
        </w:rPr>
        <w:t>潞城径流区后向北径流。</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lang w:val="zh-CN"/>
        </w:rPr>
        <w:t>裸露岩溶山地地下水</w:t>
      </w:r>
    </w:p>
    <w:p>
      <w:pPr>
        <w:pStyle w:val="56"/>
        <w:shd w:val="clear" w:color="auto" w:fill="auto"/>
        <w:spacing w:line="500" w:lineRule="exact"/>
        <w:ind w:firstLine="480" w:firstLineChars="200"/>
        <w:jc w:val="left"/>
        <w:rPr>
          <w:rFonts w:ascii="Times New Roman" w:hAnsi="Times New Roman" w:eastAsia="宋体" w:cs="Times New Roman"/>
          <w:spacing w:val="0"/>
          <w:sz w:val="24"/>
          <w:szCs w:val="24"/>
        </w:rPr>
      </w:pPr>
      <w:r>
        <w:rPr>
          <w:rFonts w:ascii="Times New Roman" w:hAnsi="Times New Roman" w:eastAsia="宋体" w:cs="Times New Roman"/>
          <w:spacing w:val="0"/>
          <w:sz w:val="24"/>
          <w:szCs w:val="24"/>
          <w:lang w:val="zh-CN"/>
        </w:rPr>
        <w:t>分布于壶关县境内西部地区，大面积出露奥陶系、寒武系岩层，河谷中有震旦系岩层出露，直接接受降水补给，入渗强烈。含水层厚度约</w:t>
      </w:r>
      <w:r>
        <w:rPr>
          <w:rFonts w:ascii="Times New Roman" w:hAnsi="Times New Roman" w:eastAsia="宋体" w:cs="Times New Roman"/>
          <w:spacing w:val="0"/>
          <w:sz w:val="24"/>
          <w:szCs w:val="24"/>
        </w:rPr>
        <w:t>50</w:t>
      </w:r>
      <w:r>
        <w:rPr>
          <w:rFonts w:ascii="Times New Roman" w:hAnsi="Times New Roman" w:eastAsia="宋体" w:cs="Times New Roman"/>
          <w:spacing w:val="0"/>
          <w:sz w:val="24"/>
          <w:szCs w:val="24"/>
          <w:lang w:val="zh-CN"/>
        </w:rPr>
        <w:t>—2</w:t>
      </w:r>
      <w:r>
        <w:rPr>
          <w:rFonts w:ascii="Times New Roman" w:hAnsi="Times New Roman" w:eastAsia="宋体" w:cs="Times New Roman"/>
          <w:spacing w:val="0"/>
          <w:sz w:val="24"/>
          <w:szCs w:val="24"/>
        </w:rPr>
        <w:t>00</w:t>
      </w:r>
      <w:r>
        <w:rPr>
          <w:rFonts w:ascii="Times New Roman" w:hAnsi="Times New Roman" w:eastAsia="宋体" w:cs="Times New Roman"/>
          <w:spacing w:val="0"/>
          <w:sz w:val="24"/>
          <w:szCs w:val="24"/>
          <w:lang w:val="zh-CN"/>
        </w:rPr>
        <w:t>米。地表为碳酸盐岩可溶岩，沟谷、裂隙发育，大气降水沿着地表裂隙节理入渗补给岩溶地下水，由于沟谷发育，山大沟深底部出露震旦系页岩阻止地下水进一步下渗，地下水大部分向郊沟河及其支流径流，</w:t>
      </w:r>
      <w:r>
        <w:rPr>
          <w:rFonts w:ascii="Times New Roman" w:hAnsi="Times New Roman" w:eastAsia="宋体" w:cs="Times New Roman"/>
          <w:spacing w:val="0"/>
          <w:sz w:val="24"/>
          <w:szCs w:val="24"/>
        </w:rPr>
        <w:t>在</w:t>
      </w:r>
      <w:r>
        <w:rPr>
          <w:rFonts w:ascii="Times New Roman" w:hAnsi="Times New Roman" w:eastAsia="宋体" w:cs="Times New Roman"/>
          <w:spacing w:val="0"/>
          <w:sz w:val="24"/>
          <w:szCs w:val="24"/>
          <w:lang w:val="zh-CN"/>
        </w:rPr>
        <w:t>低于区域水位处使形成下降泉，沿沟谷以地表水形式排泄于县境外。</w:t>
      </w:r>
    </w:p>
    <w:p>
      <w:pPr>
        <w:pStyle w:val="56"/>
        <w:shd w:val="clear" w:color="auto" w:fill="auto"/>
        <w:spacing w:line="500" w:lineRule="exact"/>
        <w:ind w:firstLine="480" w:firstLineChars="200"/>
        <w:jc w:val="left"/>
        <w:rPr>
          <w:rFonts w:ascii="Times New Roman" w:hAnsi="Times New Roman" w:eastAsia="宋体" w:cs="Times New Roman"/>
          <w:spacing w:val="0"/>
          <w:sz w:val="24"/>
          <w:szCs w:val="24"/>
          <w:lang w:val="zh-CN"/>
        </w:rPr>
      </w:pPr>
      <w:r>
        <w:rPr>
          <w:rFonts w:ascii="Times New Roman" w:hAnsi="Times New Roman" w:eastAsia="宋体" w:cs="Times New Roman"/>
          <w:spacing w:val="0"/>
          <w:sz w:val="24"/>
          <w:szCs w:val="24"/>
          <w:lang w:val="zh-CN"/>
        </w:rPr>
        <w:fldChar w:fldCharType="begin"/>
      </w:r>
      <w:r>
        <w:rPr>
          <w:rFonts w:ascii="Times New Roman" w:hAnsi="Times New Roman" w:eastAsia="宋体" w:cs="Times New Roman"/>
          <w:spacing w:val="0"/>
          <w:sz w:val="24"/>
          <w:szCs w:val="24"/>
          <w:lang w:val="zh-CN"/>
        </w:rPr>
        <w:instrText xml:space="preserve"> </w:instrText>
      </w:r>
      <w:r>
        <w:rPr>
          <w:rFonts w:hint="eastAsia" w:ascii="Times New Roman" w:hAnsi="Times New Roman" w:eastAsia="宋体" w:cs="Times New Roman"/>
          <w:spacing w:val="0"/>
          <w:sz w:val="24"/>
          <w:szCs w:val="24"/>
          <w:lang w:val="zh-CN"/>
        </w:rPr>
        <w:instrText xml:space="preserve">= 5 \* GB3</w:instrText>
      </w:r>
      <w:r>
        <w:rPr>
          <w:rFonts w:ascii="Times New Roman" w:hAnsi="Times New Roman" w:eastAsia="宋体" w:cs="Times New Roman"/>
          <w:spacing w:val="0"/>
          <w:sz w:val="24"/>
          <w:szCs w:val="24"/>
          <w:lang w:val="zh-CN"/>
        </w:rPr>
        <w:instrText xml:space="preserve"> </w:instrText>
      </w:r>
      <w:r>
        <w:rPr>
          <w:rFonts w:ascii="Times New Roman" w:hAnsi="Times New Roman" w:eastAsia="宋体" w:cs="Times New Roman"/>
          <w:spacing w:val="0"/>
          <w:sz w:val="24"/>
          <w:szCs w:val="24"/>
          <w:lang w:val="zh-CN"/>
        </w:rPr>
        <w:fldChar w:fldCharType="separate"/>
      </w:r>
      <w:r>
        <w:rPr>
          <w:rFonts w:hint="eastAsia" w:ascii="Times New Roman" w:hAnsi="Times New Roman" w:eastAsia="宋体" w:cs="Times New Roman"/>
          <w:spacing w:val="0"/>
          <w:sz w:val="24"/>
          <w:szCs w:val="24"/>
          <w:lang w:val="zh-CN"/>
        </w:rPr>
        <w:t>⑤</w:t>
      </w:r>
      <w:r>
        <w:rPr>
          <w:rFonts w:ascii="Times New Roman" w:hAnsi="Times New Roman" w:eastAsia="宋体" w:cs="Times New Roman"/>
          <w:spacing w:val="0"/>
          <w:sz w:val="24"/>
          <w:szCs w:val="24"/>
          <w:lang w:val="zh-CN"/>
        </w:rPr>
        <w:fldChar w:fldCharType="end"/>
      </w:r>
      <w:r>
        <w:rPr>
          <w:rFonts w:ascii="Times New Roman" w:hAnsi="Times New Roman" w:eastAsia="宋体" w:cs="Times New Roman"/>
          <w:spacing w:val="0"/>
          <w:sz w:val="24"/>
          <w:szCs w:val="24"/>
          <w:lang w:val="zh-CN"/>
        </w:rPr>
        <w:t>碎屑岩类裂隙含水岩组地下水</w:t>
      </w:r>
    </w:p>
    <w:p>
      <w:pPr>
        <w:pStyle w:val="56"/>
        <w:shd w:val="clear" w:color="auto" w:fill="auto"/>
        <w:spacing w:line="500" w:lineRule="exact"/>
        <w:ind w:firstLine="480" w:firstLineChars="200"/>
        <w:jc w:val="left"/>
        <w:rPr>
          <w:rFonts w:ascii="Times New Roman" w:hAnsi="Times New Roman" w:eastAsia="宋体" w:cs="Times New Roman"/>
          <w:spacing w:val="0"/>
          <w:sz w:val="24"/>
          <w:szCs w:val="24"/>
          <w:lang w:val="zh-CN"/>
        </w:rPr>
      </w:pPr>
      <w:r>
        <w:rPr>
          <w:rFonts w:ascii="Times New Roman" w:hAnsi="Times New Roman" w:eastAsia="宋体" w:cs="Times New Roman"/>
          <w:spacing w:val="0"/>
          <w:sz w:val="24"/>
          <w:szCs w:val="24"/>
          <w:lang w:val="zh-CN"/>
        </w:rPr>
        <w:t>主要为浊漳河一般山丘区裂隙地下水，主要出露石炭、二迭、三迭系碎屑岩地层，山间沟谷有第三四系黄土分布。地下水赋存于碎屑岩裂隙中，含水层埋藏深度变化较大从</w:t>
      </w:r>
      <w:r>
        <w:rPr>
          <w:rFonts w:ascii="Times New Roman" w:hAnsi="Times New Roman" w:eastAsia="宋体" w:cs="Times New Roman"/>
          <w:spacing w:val="0"/>
          <w:sz w:val="24"/>
          <w:szCs w:val="24"/>
        </w:rPr>
        <w:t>几</w:t>
      </w:r>
      <w:r>
        <w:rPr>
          <w:rFonts w:ascii="Times New Roman" w:hAnsi="Times New Roman" w:eastAsia="宋体" w:cs="Times New Roman"/>
          <w:spacing w:val="0"/>
          <w:sz w:val="24"/>
          <w:szCs w:val="24"/>
          <w:lang w:val="zh-CN"/>
        </w:rPr>
        <w:t>米到几百米。含水层以风化裂隙、构造裂隙为主，补给条件较为简单，主要是接受大气降水直接入滲补给，运移途径短，动态变化与降水关系密</w:t>
      </w:r>
      <w:r>
        <w:rPr>
          <w:rFonts w:ascii="Times New Roman" w:hAnsi="Times New Roman" w:eastAsia="宋体" w:cs="Times New Roman"/>
          <w:spacing w:val="0"/>
          <w:sz w:val="24"/>
          <w:szCs w:val="24"/>
        </w:rPr>
        <w:t>切。</w:t>
      </w:r>
      <w:r>
        <w:rPr>
          <w:rFonts w:ascii="Times New Roman" w:hAnsi="Times New Roman" w:eastAsia="宋体" w:cs="Times New Roman"/>
          <w:spacing w:val="0"/>
          <w:sz w:val="24"/>
          <w:szCs w:val="24"/>
          <w:lang w:val="zh-CN"/>
        </w:rPr>
        <w:t>降水入渗后大部分沿裂隙向邻近沟谷排泄，多呈散泉形式出现，以河川基流形式排泄。有少部分以侧向径流的形式补给盆地孔隙水。局部地区由于构造作用使地下水富积，多以</w:t>
      </w:r>
      <w:r>
        <w:rPr>
          <w:rFonts w:ascii="Times New Roman" w:hAnsi="Times New Roman" w:eastAsia="宋体" w:cs="Times New Roman"/>
          <w:spacing w:val="0"/>
          <w:sz w:val="24"/>
          <w:szCs w:val="24"/>
        </w:rPr>
        <w:t>泉</w:t>
      </w:r>
      <w:r>
        <w:rPr>
          <w:rFonts w:ascii="Times New Roman" w:hAnsi="Times New Roman" w:eastAsia="宋体" w:cs="Times New Roman"/>
          <w:spacing w:val="0"/>
          <w:sz w:val="24"/>
          <w:szCs w:val="24"/>
          <w:lang w:val="zh-CN"/>
        </w:rPr>
        <w:t>的形式集中排泄，也</w:t>
      </w:r>
      <w:r>
        <w:rPr>
          <w:rFonts w:ascii="Times New Roman" w:hAnsi="Times New Roman" w:eastAsia="宋体" w:cs="Times New Roman"/>
          <w:spacing w:val="0"/>
          <w:sz w:val="24"/>
          <w:szCs w:val="24"/>
        </w:rPr>
        <w:t>有</w:t>
      </w:r>
      <w:r>
        <w:rPr>
          <w:rFonts w:ascii="Times New Roman" w:hAnsi="Times New Roman" w:eastAsia="宋体" w:cs="Times New Roman"/>
          <w:spacing w:val="0"/>
          <w:sz w:val="24"/>
          <w:szCs w:val="24"/>
          <w:lang w:val="zh-CN"/>
        </w:rPr>
        <w:t>很少裂隙水向下补给深层岩溶水。</w:t>
      </w:r>
    </w:p>
    <w:p>
      <w:pPr>
        <w:spacing w:line="500" w:lineRule="exact"/>
        <w:ind w:firstLine="482" w:firstLineChars="200"/>
        <w:jc w:val="left"/>
        <w:rPr>
          <w:b/>
          <w:bCs/>
          <w:sz w:val="24"/>
        </w:rPr>
      </w:pPr>
      <w:r>
        <w:rPr>
          <w:b/>
          <w:bCs/>
          <w:color w:val="000000"/>
          <w:sz w:val="24"/>
        </w:rPr>
        <w:t>（</w:t>
      </w:r>
      <w:r>
        <w:rPr>
          <w:rFonts w:hint="eastAsia"/>
          <w:b/>
          <w:bCs/>
          <w:color w:val="000000"/>
          <w:sz w:val="24"/>
        </w:rPr>
        <w:t>2</w:t>
      </w:r>
      <w:r>
        <w:rPr>
          <w:b/>
          <w:bCs/>
          <w:color w:val="000000"/>
          <w:sz w:val="24"/>
        </w:rPr>
        <w:t>）</w:t>
      </w:r>
      <w:r>
        <w:rPr>
          <w:b/>
          <w:bCs/>
          <w:sz w:val="24"/>
        </w:rPr>
        <w:t>地下水的补给与排泄条件</w:t>
      </w:r>
    </w:p>
    <w:p>
      <w:pPr>
        <w:widowControl/>
        <w:spacing w:line="500" w:lineRule="exact"/>
        <w:ind w:firstLine="480" w:firstLineChars="200"/>
        <w:jc w:val="left"/>
        <w:rPr>
          <w:sz w:val="24"/>
        </w:rPr>
      </w:pPr>
      <w:r>
        <w:rPr>
          <w:sz w:val="24"/>
        </w:rPr>
        <w:t>壶关县地下水资源贫乏，地下水主要类型为寒武系—奥陶系岩溶裂隙水。境内东部由于强烈切割，寒武纪岩溶地下水以下降泉的形式排泄补给河水，转化为地表径流流出县境；西南部山顶分布有石炭、二叠系层间裂隙岩溶水，分布面积很小补给条件差，形成的泉、水则随丰、枯水年的变化，丰年出露，枯年干没；西部河谷覆盖有新近纪、第四纪上层滞水，主要受地形和地表水体影响，呈片状分布，埋藏分别在20~30m和60~70m之间。</w:t>
      </w:r>
    </w:p>
    <w:p>
      <w:pPr>
        <w:widowControl/>
        <w:spacing w:line="500" w:lineRule="exact"/>
        <w:ind w:firstLine="480" w:firstLineChars="200"/>
        <w:jc w:val="left"/>
        <w:rPr>
          <w:sz w:val="24"/>
        </w:rPr>
      </w:pPr>
      <w:r>
        <w:rPr>
          <w:rFonts w:hint="eastAsia"/>
          <w:sz w:val="24"/>
        </w:rPr>
        <w:t>区域水文地质情况详见附图5.3-2和附图5.3-3。</w:t>
      </w:r>
    </w:p>
    <w:p>
      <w:pPr>
        <w:pStyle w:val="6"/>
        <w:spacing w:line="500" w:lineRule="exact"/>
      </w:pPr>
      <w:r>
        <w:t>5.</w:t>
      </w:r>
      <w:r>
        <w:rPr>
          <w:rFonts w:hint="eastAsia"/>
        </w:rPr>
        <w:t>3</w:t>
      </w:r>
      <w:r>
        <w:t>.</w:t>
      </w:r>
      <w:r>
        <w:rPr>
          <w:rFonts w:hint="eastAsia"/>
        </w:rPr>
        <w:t>2评价区地质与水文地质</w:t>
      </w:r>
    </w:p>
    <w:p>
      <w:pPr>
        <w:spacing w:line="500" w:lineRule="exact"/>
        <w:ind w:firstLine="480" w:firstLineChars="200"/>
        <w:jc w:val="left"/>
        <w:rPr>
          <w:sz w:val="24"/>
        </w:rPr>
      </w:pPr>
      <w:r>
        <w:rPr>
          <w:rFonts w:hint="eastAsia"/>
          <w:sz w:val="24"/>
        </w:rPr>
        <w:t>项目评价区可利用的地质资料相对较少，评价区地质与水文地质情况主要参考1996～1997年山西省第二地质勘察院对集店镇集店村东300m处的钻孔水文地质资料（详见附图5.3-4）进行说明。</w:t>
      </w:r>
    </w:p>
    <w:p>
      <w:pPr>
        <w:spacing w:line="500" w:lineRule="exact"/>
        <w:ind w:firstLine="482" w:firstLineChars="200"/>
        <w:jc w:val="left"/>
        <w:rPr>
          <w:b/>
          <w:bCs/>
          <w:color w:val="000000"/>
          <w:sz w:val="24"/>
        </w:rPr>
      </w:pPr>
      <w:r>
        <w:rPr>
          <w:rFonts w:hint="eastAsia"/>
          <w:b/>
          <w:bCs/>
          <w:color w:val="000000"/>
          <w:sz w:val="24"/>
        </w:rPr>
        <w:t>1、评价区地层</w:t>
      </w:r>
    </w:p>
    <w:p>
      <w:pPr>
        <w:spacing w:line="500" w:lineRule="exact"/>
        <w:ind w:firstLine="480" w:firstLineChars="200"/>
        <w:jc w:val="left"/>
        <w:rPr>
          <w:sz w:val="24"/>
        </w:rPr>
      </w:pPr>
      <w:r>
        <w:rPr>
          <w:rFonts w:hint="eastAsia"/>
          <w:sz w:val="24"/>
        </w:rPr>
        <w:t>根据钻孔资料及现场调查，评价区地层由老至新主要包括</w:t>
      </w:r>
      <w:r>
        <w:rPr>
          <w:sz w:val="24"/>
        </w:rPr>
        <w:t>寒武系</w:t>
      </w:r>
      <w:r>
        <w:rPr>
          <w:rFonts w:hint="eastAsia"/>
          <w:sz w:val="24"/>
        </w:rPr>
        <w:t>中寒武统、</w:t>
      </w:r>
      <w:r>
        <w:rPr>
          <w:sz w:val="24"/>
        </w:rPr>
        <w:t>寒武系</w:t>
      </w:r>
      <w:r>
        <w:rPr>
          <w:rFonts w:hint="eastAsia"/>
          <w:sz w:val="24"/>
        </w:rPr>
        <w:t>上寒武统、奥陶系下奥陶统、古生界奥陶系中奥陶统、新近系、第四系等，出露地层主要为第四系黄土。</w:t>
      </w:r>
    </w:p>
    <w:p>
      <w:pPr>
        <w:widowControl/>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寒武系中寒武统（Є</w:t>
      </w:r>
      <w:r>
        <w:rPr>
          <w:rFonts w:hint="eastAsia"/>
          <w:sz w:val="24"/>
          <w:vertAlign w:val="subscript"/>
        </w:rPr>
        <w:t>2</w:t>
      </w:r>
      <w:r>
        <w:rPr>
          <w:rFonts w:hint="eastAsia"/>
          <w:sz w:val="24"/>
        </w:rPr>
        <w:t>）：厚度约113.90m，灰岩，深灰色、灰色，结构较松散，有溶洞出现层理及裂隙发育。</w:t>
      </w:r>
    </w:p>
    <w:p>
      <w:pPr>
        <w:spacing w:line="500" w:lineRule="exact"/>
        <w:ind w:firstLine="480" w:firstLineChars="200"/>
        <w:jc w:val="left"/>
        <w:rPr>
          <w:sz w:val="24"/>
        </w:rPr>
      </w:pPr>
      <w:r>
        <w:rPr>
          <w:rFonts w:hint="eastAsia"/>
          <w:sz w:val="24"/>
        </w:rPr>
        <w:t>②寒武系上寒武统（Є</w:t>
      </w:r>
      <w:r>
        <w:rPr>
          <w:rFonts w:hint="eastAsia"/>
          <w:sz w:val="24"/>
          <w:vertAlign w:val="subscript"/>
        </w:rPr>
        <w:t>3</w:t>
      </w:r>
      <w:r>
        <w:rPr>
          <w:rFonts w:hint="eastAsia"/>
          <w:sz w:val="24"/>
        </w:rPr>
        <w:t>）：厚度约67m，白云岩，灰色、浅灰色，由上而下颜色变深，有燧石结构出现，夹有少量的灰岩，结构紧密，质地坚硬。</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奥陶系下奥陶统（O</w:t>
      </w:r>
      <w:r>
        <w:rPr>
          <w:rFonts w:hint="eastAsia"/>
          <w:sz w:val="24"/>
          <w:vertAlign w:val="subscript"/>
        </w:rPr>
        <w:t>1</w:t>
      </w:r>
      <w:r>
        <w:rPr>
          <w:rFonts w:hint="eastAsia"/>
          <w:sz w:val="24"/>
        </w:rPr>
        <w:t>）：厚度约88m，白云质灰岩，灰色、灰白色，结构紧密，质地较坚硬，层理不明显，没有垂直节理，含燧石条带及条带白云岩，夹有少量的白云岩。</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奥陶系中奥陶统（O</w:t>
      </w:r>
      <w:r>
        <w:rPr>
          <w:rFonts w:hint="eastAsia"/>
          <w:sz w:val="24"/>
          <w:vertAlign w:val="subscript"/>
        </w:rPr>
        <w:t>2</w:t>
      </w:r>
      <w:r>
        <w:rPr>
          <w:rFonts w:hint="eastAsia"/>
          <w:sz w:val="24"/>
        </w:rPr>
        <w:t>）：厚度约307m，上部厚约72.30m，灰岩，浅灰色，结构紧密，质地较坚硬，夹有少量的泥质灰岩；中上部厚约41.80m，泥质灰岩、泥灰岩，浅灰色、锈黄色，质地较软，夹有少量的灰岩；中部厚约130m，灰岩，青灰色、浅灰色、灰色，颜色由上而下逐渐变深，层理明细，夹有少量的泥灰岩、薄层白云质灰岩和白云岩，有垂直裂隙，但不发育；下部厚约63.20m，泥灰岩、灰岩，灰色、深灰色、青灰色，二者交替出现，质地紧密，灰岩较坚硬，夹有少量的白云质灰岩，层理不明显。</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rFonts w:hint="eastAsia"/>
          <w:sz w:val="24"/>
        </w:rPr>
        <w:t>新近系（N）：厚度约58.70m，上部为卵石、撂石，灰色、浅灰色，最大直径有1.5米，中间夹有亚粘土，多数为20～30cm之间，岩性为灰岩，厚度约38.30m；下部为亚砂土，灰黄色，结构较紧密，质地较坚硬，夹有少量的卵石。</w:t>
      </w:r>
    </w:p>
    <w:p>
      <w:pPr>
        <w:spacing w:line="50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rFonts w:hint="eastAsia"/>
          <w:sz w:val="24"/>
        </w:rPr>
        <w:t>第四系黄土（Q）：厚度约87.50m，亚粘土，灰黄色，结构紧密，质地坚硬，在50-80米处夹有粘土层，具油脂光泽，含钙质结构，没有垂直节理，层理不清。</w:t>
      </w:r>
    </w:p>
    <w:p>
      <w:pPr>
        <w:spacing w:line="500" w:lineRule="exact"/>
        <w:ind w:firstLine="482" w:firstLineChars="200"/>
        <w:jc w:val="left"/>
        <w:rPr>
          <w:b/>
          <w:bCs/>
          <w:sz w:val="24"/>
        </w:rPr>
      </w:pPr>
      <w:r>
        <w:rPr>
          <w:rFonts w:hint="eastAsia"/>
          <w:b/>
          <w:bCs/>
          <w:sz w:val="24"/>
        </w:rPr>
        <w:t>2、评价区水文地质</w:t>
      </w:r>
    </w:p>
    <w:p>
      <w:pPr>
        <w:spacing w:line="500" w:lineRule="exact"/>
        <w:ind w:firstLine="480" w:firstLineChars="200"/>
        <w:jc w:val="left"/>
        <w:rPr>
          <w:sz w:val="24"/>
        </w:rPr>
      </w:pPr>
      <w:r>
        <w:rPr>
          <w:rFonts w:hint="eastAsia"/>
          <w:sz w:val="24"/>
        </w:rPr>
        <w:t>区域可利用地下水含水层主要为奥陶系中统石灰岩岩溶含水层，下伏奥陶系灰岩之上覆盖第四系松散层黄土，形成—般山区覆盖型岩溶地下水，岩溶含水层埋藏深度大于350米，区域内第三、第四系地层直接覆盖于碳酸盐岩岩溶含水层之上，本区不能直接接受降水补给，只能通过上覆第四系松散层补给，同时有裸露区侧向径流补给，接受补给的岩溶地下水由东向西流向长治盆地，进入长治径流区，而后向北，到潞城再东流向排泄区。平顺县北耽车乡的王曲、安乐、实会等浊漳河河谷是辛安泉的排泄区的重要部分，在排泄区以泉群的形式排出地表，出露标高643-600m。根据钻孔资料，区域奥陶系含水层单位涌水量Q=1800吨/日，静水位埋深370.5m，静止水位标高639.5m，水化学类型为HCO</w:t>
      </w:r>
      <w:r>
        <w:rPr>
          <w:rFonts w:hint="eastAsia"/>
          <w:sz w:val="24"/>
          <w:vertAlign w:val="subscript"/>
        </w:rPr>
        <w:t>3</w:t>
      </w:r>
      <w:r>
        <w:rPr>
          <w:rFonts w:hint="eastAsia"/>
          <w:sz w:val="24"/>
        </w:rPr>
        <w:t>—Ca·Mg型水。</w:t>
      </w:r>
    </w:p>
    <w:p>
      <w:pPr>
        <w:spacing w:line="500" w:lineRule="exact"/>
        <w:ind w:firstLine="480" w:firstLineChars="200"/>
        <w:jc w:val="left"/>
        <w:rPr>
          <w:sz w:val="24"/>
        </w:rPr>
      </w:pPr>
      <w:r>
        <w:rPr>
          <w:rFonts w:hint="eastAsia"/>
          <w:sz w:val="24"/>
        </w:rPr>
        <w:t>另外，区域河谷覆盖有新近纪、第四纪上层滞水，主要受地形和地表水体影响，呈片状分布，该含水层埋深浅，受大气降水的补给，季节变化较大，含水层的厚度、水位埋深及其富水性差别较大，一般向下伏地层及地形低凹处排泄。</w:t>
      </w:r>
    </w:p>
    <w:p>
      <w:pPr>
        <w:pStyle w:val="2"/>
        <w:spacing w:line="500" w:lineRule="exact"/>
        <w:ind w:firstLine="480" w:firstLineChars="200"/>
      </w:pPr>
      <w:r>
        <w:rPr>
          <w:rFonts w:hint="eastAsia"/>
        </w:rPr>
        <w:t>项目评价区区域水文地质情况参见附图5.3-5。</w:t>
      </w:r>
    </w:p>
    <w:p>
      <w:pPr>
        <w:pStyle w:val="6"/>
        <w:spacing w:line="500" w:lineRule="exact"/>
      </w:pPr>
      <w:r>
        <w:t>5.</w:t>
      </w:r>
      <w:r>
        <w:rPr>
          <w:rFonts w:hint="eastAsia"/>
        </w:rPr>
        <w:t>3</w:t>
      </w:r>
      <w:r>
        <w:t>.</w:t>
      </w:r>
      <w:r>
        <w:rPr>
          <w:rFonts w:hint="eastAsia"/>
        </w:rPr>
        <w:t>3项目场地地质与水文地质</w:t>
      </w:r>
    </w:p>
    <w:p>
      <w:pPr>
        <w:pStyle w:val="2"/>
        <w:spacing w:line="500" w:lineRule="exact"/>
        <w:ind w:firstLine="480" w:firstLineChars="200"/>
        <w:rPr>
          <w:rFonts w:ascii="Times New Roman" w:hAnsi="Times New Roman"/>
        </w:rPr>
      </w:pPr>
      <w:r>
        <w:rPr>
          <w:rFonts w:hint="eastAsia" w:ascii="Times New Roman" w:hAnsi="Times New Roman"/>
        </w:rPr>
        <w:t>2018年1月，山西裕宏岩土工程勘察检测有限公司本项目场地进行了岩土工程勘察，项目场地地质与水文地质情况主要参照上述勘察结果进行说明。</w:t>
      </w:r>
    </w:p>
    <w:p>
      <w:pPr>
        <w:pStyle w:val="2"/>
        <w:spacing w:line="500" w:lineRule="exact"/>
        <w:ind w:firstLine="482" w:firstLineChars="200"/>
        <w:rPr>
          <w:rFonts w:ascii="Times New Roman" w:hAnsi="Times New Roman"/>
          <w:b/>
          <w:bCs/>
        </w:rPr>
      </w:pPr>
      <w:r>
        <w:rPr>
          <w:rFonts w:hint="eastAsia" w:ascii="Times New Roman" w:hAnsi="Times New Roman"/>
          <w:b/>
          <w:bCs/>
        </w:rPr>
        <w:t>1、场地地形地貌</w:t>
      </w:r>
    </w:p>
    <w:p>
      <w:pPr>
        <w:spacing w:line="500" w:lineRule="exact"/>
        <w:ind w:firstLine="480" w:firstLineChars="200"/>
        <w:jc w:val="left"/>
        <w:rPr>
          <w:sz w:val="24"/>
        </w:rPr>
      </w:pPr>
      <w:r>
        <w:rPr>
          <w:rFonts w:hint="eastAsia"/>
          <w:sz w:val="24"/>
        </w:rPr>
        <w:t>项目场地地貌单元属山前斜坡地貌，片流沿斜坡平缓凹坡段和坡麓地带堆积的沉积物即坡积物围绕坡麓披盖形成坡积裾，坡积裾的剖面形态呈微凹的缓倾斜曲线，其前缘覆于河谷底和山前平原之上，与其他类型地形过渡。</w:t>
      </w:r>
    </w:p>
    <w:p>
      <w:pPr>
        <w:pStyle w:val="10"/>
        <w:spacing w:line="500" w:lineRule="exact"/>
        <w:ind w:firstLine="480"/>
      </w:pPr>
      <w:r>
        <w:rPr>
          <w:rFonts w:hint="eastAsia"/>
          <w:sz w:val="24"/>
        </w:rPr>
        <w:t>项目场地冲沟发育，现有地形总体呈东高西低起伏较大，地面标高介于1003.29～1018.97m之间，地层主要堆积物为风成黄土，垂直节理较发育，土层具有与地面斜坡一致的层理，具有韵律性的成层堆积。</w:t>
      </w:r>
    </w:p>
    <w:p>
      <w:pPr>
        <w:spacing w:line="500" w:lineRule="exact"/>
        <w:ind w:firstLine="482" w:firstLineChars="200"/>
        <w:jc w:val="left"/>
        <w:rPr>
          <w:b/>
          <w:bCs/>
          <w:sz w:val="24"/>
        </w:rPr>
      </w:pPr>
      <w:r>
        <w:rPr>
          <w:rFonts w:hint="eastAsia"/>
          <w:b/>
          <w:bCs/>
          <w:sz w:val="24"/>
        </w:rPr>
        <w:t>2、地层</w:t>
      </w:r>
    </w:p>
    <w:p>
      <w:pPr>
        <w:spacing w:line="500" w:lineRule="exact"/>
        <w:ind w:firstLine="480" w:firstLineChars="200"/>
        <w:jc w:val="left"/>
        <w:rPr>
          <w:sz w:val="24"/>
        </w:rPr>
      </w:pPr>
      <w:r>
        <w:rPr>
          <w:rFonts w:hint="eastAsia"/>
          <w:sz w:val="24"/>
        </w:rPr>
        <w:t>本次勘察机钻孔39个，累计钻探总进尺780m，平均钻深约20m，最大钻深20.4m，勘察深度范围内项目场地地基土自上而下均为同一地层，均为第四系上更新统冲洪积层（Q</w:t>
      </w:r>
      <w:r>
        <w:rPr>
          <w:rFonts w:hint="eastAsia"/>
          <w:sz w:val="24"/>
          <w:vertAlign w:val="subscript"/>
        </w:rPr>
        <w:t>3</w:t>
      </w:r>
      <w:r>
        <w:rPr>
          <w:rFonts w:hint="eastAsia"/>
          <w:sz w:val="24"/>
          <w:vertAlign w:val="superscript"/>
        </w:rPr>
        <w:t>al+pl</w:t>
      </w:r>
      <w:r>
        <w:rPr>
          <w:rFonts w:hint="eastAsia"/>
          <w:sz w:val="24"/>
        </w:rPr>
        <w:t>），本次勘察未揭露该层。</w:t>
      </w:r>
    </w:p>
    <w:p>
      <w:pPr>
        <w:pStyle w:val="10"/>
        <w:spacing w:line="500" w:lineRule="exact"/>
        <w:ind w:firstLine="482"/>
        <w:rPr>
          <w:sz w:val="24"/>
          <w:szCs w:val="24"/>
        </w:rPr>
      </w:pPr>
      <w:r>
        <w:rPr>
          <w:b/>
          <w:bCs/>
          <w:sz w:val="24"/>
          <w:szCs w:val="24"/>
        </w:rPr>
        <w:t>第四系上更新统冲洪积层（Q</w:t>
      </w:r>
      <w:r>
        <w:rPr>
          <w:b/>
          <w:bCs/>
          <w:sz w:val="24"/>
          <w:szCs w:val="24"/>
          <w:vertAlign w:val="subscript"/>
        </w:rPr>
        <w:t>3</w:t>
      </w:r>
      <w:r>
        <w:rPr>
          <w:b/>
          <w:bCs/>
          <w:sz w:val="24"/>
          <w:szCs w:val="24"/>
          <w:vertAlign w:val="superscript"/>
        </w:rPr>
        <w:t>al+pl</w:t>
      </w:r>
      <w:r>
        <w:rPr>
          <w:b/>
          <w:bCs/>
          <w:sz w:val="24"/>
          <w:szCs w:val="24"/>
        </w:rPr>
        <w:t>）</w:t>
      </w:r>
      <w:r>
        <w:rPr>
          <w:sz w:val="24"/>
          <w:szCs w:val="24"/>
        </w:rPr>
        <w:t>：</w:t>
      </w:r>
      <w:r>
        <w:rPr>
          <w:rFonts w:hint="eastAsia"/>
          <w:sz w:val="24"/>
          <w:szCs w:val="24"/>
        </w:rPr>
        <w:t>黄褐色粉质黏土与黄红色粉质黏土成韵律状成层交替分布，硬塑～可塑状态，稍湿。因长期耕种植物生长，地层上部一米左右深度段含较多植物根须，夹杂有褐色土团粒，含较多炭粒等杂物。该层土体多孔性及大孔性发育，可见虫孔、虫迹，大孔排列杂乱，孔壁多有白色钙质粉末分布，可见较多白色菌丝状钙纹，含较多次生钙质结核及少量碎石，碎石以灰岩碎块为主，形状不一，磨圆度差。该层局部夹有粉土透镜体。</w:t>
      </w:r>
    </w:p>
    <w:p>
      <w:pPr>
        <w:spacing w:line="500" w:lineRule="exact"/>
        <w:ind w:firstLine="480" w:firstLineChars="200"/>
        <w:jc w:val="left"/>
        <w:rPr>
          <w:sz w:val="24"/>
        </w:rPr>
      </w:pPr>
      <w:r>
        <w:rPr>
          <w:rFonts w:hint="eastAsia"/>
          <w:sz w:val="24"/>
        </w:rPr>
        <w:t>项目场地勘察钻孔布置情况详见附图5.3-6，场地工程地质剖面情况（以北侧、西侧为例）详见附图5.3-7和附图5.3-8。</w:t>
      </w:r>
    </w:p>
    <w:p>
      <w:pPr>
        <w:spacing w:line="500" w:lineRule="exact"/>
        <w:ind w:firstLine="482" w:firstLineChars="200"/>
        <w:jc w:val="left"/>
        <w:rPr>
          <w:b/>
          <w:bCs/>
          <w:sz w:val="24"/>
        </w:rPr>
      </w:pPr>
      <w:r>
        <w:rPr>
          <w:rFonts w:hint="eastAsia"/>
          <w:b/>
          <w:bCs/>
          <w:sz w:val="24"/>
        </w:rPr>
        <w:t>3、场地地下水</w:t>
      </w:r>
    </w:p>
    <w:p>
      <w:pPr>
        <w:spacing w:line="500" w:lineRule="exact"/>
        <w:ind w:firstLine="480" w:firstLineChars="200"/>
        <w:jc w:val="left"/>
        <w:rPr>
          <w:sz w:val="24"/>
        </w:rPr>
      </w:pPr>
      <w:r>
        <w:rPr>
          <w:rFonts w:hint="eastAsia"/>
          <w:sz w:val="24"/>
        </w:rPr>
        <w:t>本次勘察完成人工探井5个，单井挖掘深度8m，本次勘探深度范围内各孔均未揭露出地下水。</w:t>
      </w:r>
    </w:p>
    <w:p>
      <w:pPr>
        <w:spacing w:line="500" w:lineRule="exact"/>
        <w:ind w:firstLine="482" w:firstLineChars="200"/>
        <w:jc w:val="left"/>
        <w:rPr>
          <w:b/>
          <w:bCs/>
          <w:sz w:val="24"/>
        </w:rPr>
      </w:pPr>
      <w:r>
        <w:rPr>
          <w:rFonts w:hint="eastAsia"/>
          <w:b/>
          <w:bCs/>
          <w:sz w:val="24"/>
        </w:rPr>
        <w:t>4、场地渗水实验</w:t>
      </w:r>
    </w:p>
    <w:p>
      <w:pPr>
        <w:widowControl/>
        <w:spacing w:line="500" w:lineRule="exact"/>
        <w:ind w:firstLine="480" w:firstLineChars="200"/>
        <w:jc w:val="left"/>
        <w:rPr>
          <w:sz w:val="24"/>
        </w:rPr>
      </w:pPr>
      <w:r>
        <w:rPr>
          <w:sz w:val="24"/>
        </w:rPr>
        <w:t>为了解</w:t>
      </w:r>
      <w:r>
        <w:rPr>
          <w:rFonts w:hint="eastAsia"/>
          <w:sz w:val="24"/>
        </w:rPr>
        <w:t>场地区域</w:t>
      </w:r>
      <w:r>
        <w:rPr>
          <w:sz w:val="24"/>
        </w:rPr>
        <w:t>包气带防渗性能，</w:t>
      </w:r>
      <w:r>
        <w:rPr>
          <w:rFonts w:hint="eastAsia"/>
          <w:sz w:val="24"/>
        </w:rPr>
        <w:t>本项目</w:t>
      </w:r>
      <w:r>
        <w:rPr>
          <w:sz w:val="24"/>
        </w:rPr>
        <w:t>开展了渗水试验</w:t>
      </w:r>
      <w:r>
        <w:rPr>
          <w:rFonts w:hint="eastAsia"/>
          <w:sz w:val="24"/>
        </w:rPr>
        <w:t>，具体如下。</w:t>
      </w:r>
    </w:p>
    <w:p>
      <w:pPr>
        <w:pStyle w:val="40"/>
        <w:spacing w:before="0" w:after="0" w:line="500" w:lineRule="exact"/>
        <w:ind w:firstLine="480"/>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试验目的</w:t>
      </w:r>
      <w:r>
        <w:rPr>
          <w:rFonts w:hint="eastAsia" w:ascii="Times New Roman" w:hAnsi="Times New Roman" w:eastAsia="宋体" w:cs="Times New Roman"/>
        </w:rPr>
        <w:t>：</w:t>
      </w:r>
    </w:p>
    <w:p>
      <w:pPr>
        <w:pStyle w:val="40"/>
        <w:spacing w:before="0" w:after="0" w:line="500" w:lineRule="exact"/>
        <w:ind w:firstLine="480"/>
        <w:jc w:val="left"/>
        <w:rPr>
          <w:rFonts w:ascii="Times New Roman" w:hAnsi="Times New Roman" w:eastAsia="宋体" w:cs="Times New Roman"/>
          <w:color w:val="FF0000"/>
        </w:rPr>
      </w:pPr>
      <w:r>
        <w:rPr>
          <w:rFonts w:ascii="Times New Roman" w:hAnsi="Times New Roman" w:eastAsia="宋体" w:cs="Times New Roman"/>
        </w:rPr>
        <w:t>为测试项目厂区包气带垂直入渗系数，在项目场地做1组渗水试验。</w:t>
      </w:r>
      <w:r>
        <w:rPr>
          <w:rFonts w:ascii="Times New Roman" w:hAnsi="Times New Roman" w:eastAsia="宋体" w:cs="Times New Roman"/>
          <w:kern w:val="0"/>
        </w:rPr>
        <w:t>进行渗水试验的地层主要为</w:t>
      </w:r>
      <w:r>
        <w:rPr>
          <w:rFonts w:ascii="Times New Roman" w:hAnsi="Times New Roman" w:eastAsia="宋体" w:cs="Times New Roman"/>
        </w:rPr>
        <w:t>第四系黏土层</w:t>
      </w:r>
      <w:r>
        <w:rPr>
          <w:rFonts w:ascii="Times New Roman" w:hAnsi="Times New Roman" w:eastAsia="宋体" w:cs="Times New Roman"/>
          <w:kern w:val="0"/>
        </w:rPr>
        <w:t>。</w:t>
      </w:r>
    </w:p>
    <w:p>
      <w:pPr>
        <w:pStyle w:val="40"/>
        <w:spacing w:before="0" w:after="0" w:line="500" w:lineRule="exact"/>
        <w:ind w:firstLine="480"/>
        <w:jc w:val="left"/>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试验仪器</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双环(内环直径25cm，外环直径50cm，高度均为30cm)、铁锹、洛阳铲、尺子。</w:t>
      </w:r>
    </w:p>
    <w:p>
      <w:pPr>
        <w:pStyle w:val="40"/>
        <w:spacing w:before="0" w:after="0" w:line="500" w:lineRule="exact"/>
        <w:ind w:firstLine="480"/>
        <w:jc w:val="lef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试验方法</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本次渗水试验为原位渗水试验，为了消除垂向渗水过程中侧向渗流的不利影响采用双环法，双环的直径分别为50cm和30cm，高30cm。双环法在试坑底部同心压入直径不同的试环，然后在内环及内、外环之间的环形空间同时注水，并保持两处水层在同一高度。这样即可认为, 由内外环之间渗入的水主要消耗在侧向扩散上，从而使由内环所消耗的水则主要消耗在垂向渗透上，为准垂向一维渗流。试验装置包括渗水双环，两套带有刻度的烧杯、供水管及若干要填在试环底部的小砾石。</w:t>
      </w:r>
    </w:p>
    <w:p>
      <w:pPr>
        <w:pStyle w:val="40"/>
        <w:spacing w:before="0" w:after="0" w:line="500" w:lineRule="exact"/>
        <w:ind w:firstLine="480"/>
        <w:jc w:val="left"/>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技术要求</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a.保证试验期间内环和外环的水层在同一高度。</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b.试验过程中为保证不露出地面应使内外环的水层始终大于5cm，内环每加一次水记录一次时间，每次加水的量一致。</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c.渗水速率稳定延续1-2小时。</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d.应以水层在5cm的时刻为试验结束的时刻。</w:t>
      </w:r>
    </w:p>
    <w:p>
      <w:pPr>
        <w:pStyle w:val="40"/>
        <w:spacing w:before="0" w:after="0" w:line="500" w:lineRule="exact"/>
        <w:ind w:firstLine="480"/>
        <w:jc w:val="left"/>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参数计算方法和结果</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双环渗水试验用内环的渗入水量作为计算渗透系数的流量，求单位注水量。试验参数按下式计算：</w:t>
      </w:r>
    </w:p>
    <w:p>
      <w:pPr>
        <w:pStyle w:val="41"/>
        <w:spacing w:line="500" w:lineRule="exact"/>
        <w:ind w:firstLine="480"/>
        <w:jc w:val="left"/>
        <w:rPr>
          <w:kern w:val="2"/>
        </w:rPr>
      </w:pPr>
      <w:r>
        <w:rPr>
          <w:kern w:val="2"/>
        </w:rPr>
        <w:t>渗透系数K=</w:t>
      </w:r>
      <w:r>
        <w:rPr>
          <w:position w:val="-24"/>
        </w:rPr>
        <w:pict>
          <v:shape id="_x0000_s1050" o:spid="_x0000_s1050" o:spt="75" type="#_x0000_t75" style="position:absolute;left:0pt;margin-left:94.35pt;margin-top:2.6pt;height:30.95pt;width:44.9pt;z-index:251662336;mso-width-relative:page;mso-height-relative:page;" o:ole="t" filled="f" o:preferrelative="t" stroked="f" coordsize="21600,21600" o:allowincell="f" o:allowoverlap="f">
            <v:path/>
            <v:fill on="f" focussize="0,0"/>
            <v:stroke on="f" joinstyle="miter"/>
            <v:imagedata r:id="rId61" o:title=""/>
            <o:lock v:ext="edit" aspectratio="f"/>
            <w10:anchorlock/>
          </v:shape>
          <o:OLEObject Type="Embed" ProgID="Equation.3" ShapeID="_x0000_s1050" DrawAspect="Content" ObjectID="_1468075728" r:id="rId60">
            <o:LockedField>false</o:LockedField>
          </o:OLEObject>
        </w:pict>
      </w:r>
    </w:p>
    <w:p>
      <w:pPr>
        <w:pStyle w:val="40"/>
        <w:spacing w:before="0" w:after="0" w:line="500" w:lineRule="exact"/>
        <w:ind w:firstLine="480"/>
        <w:jc w:val="left"/>
        <w:rPr>
          <w:rFonts w:ascii="Times New Roman" w:hAnsi="Times New Roman" w:eastAsia="宋体" w:cs="Times New Roman"/>
        </w:rPr>
      </w:pP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式中：Q—总的渗水量，单位为cm</w:t>
      </w:r>
      <w:r>
        <w:rPr>
          <w:rFonts w:ascii="Times New Roman" w:hAnsi="Times New Roman" w:eastAsia="宋体" w:cs="Times New Roman"/>
          <w:vertAlign w:val="superscript"/>
        </w:rPr>
        <w:t>3</w:t>
      </w:r>
      <w:r>
        <w:rPr>
          <w:rFonts w:ascii="Times New Roman" w:hAnsi="Times New Roman" w:eastAsia="宋体" w:cs="Times New Roman"/>
        </w:rPr>
        <w:t>；</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 xml:space="preserve">      A—内环的横截面积，单位为cm</w:t>
      </w:r>
      <w:r>
        <w:rPr>
          <w:rFonts w:ascii="Times New Roman" w:hAnsi="Times New Roman" w:eastAsia="宋体" w:cs="Times New Roman"/>
          <w:vertAlign w:val="superscript"/>
        </w:rPr>
        <w:t>2</w:t>
      </w:r>
      <w:r>
        <w:rPr>
          <w:rFonts w:ascii="Times New Roman" w:hAnsi="Times New Roman" w:eastAsia="宋体" w:cs="Times New Roman"/>
        </w:rPr>
        <w:t>；</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 xml:space="preserve">      T—试验延续时间，单位为s；</w:t>
      </w:r>
    </w:p>
    <w:p>
      <w:pPr>
        <w:pStyle w:val="40"/>
        <w:spacing w:before="0" w:after="0" w:line="500" w:lineRule="exact"/>
        <w:ind w:firstLine="480"/>
        <w:jc w:val="left"/>
        <w:rPr>
          <w:rFonts w:ascii="Times New Roman" w:hAnsi="Times New Roman" w:eastAsia="宋体" w:cs="Times New Roman"/>
        </w:rPr>
      </w:pPr>
      <w:r>
        <w:rPr>
          <w:rFonts w:ascii="Times New Roman" w:hAnsi="Times New Roman" w:eastAsia="宋体" w:cs="Times New Roman"/>
        </w:rPr>
        <w:t xml:space="preserve">      I—水力梯度。</w:t>
      </w:r>
    </w:p>
    <w:p>
      <w:pPr>
        <w:spacing w:line="500" w:lineRule="exact"/>
        <w:ind w:firstLine="480" w:firstLineChars="200"/>
        <w:jc w:val="left"/>
        <w:rPr>
          <w:sz w:val="24"/>
        </w:rPr>
      </w:pPr>
      <w:r>
        <w:rPr>
          <w:rFonts w:hint="eastAsia"/>
          <w:sz w:val="24"/>
        </w:rPr>
        <w:t>经计算，本项目场地</w:t>
      </w:r>
      <w:r>
        <w:rPr>
          <w:sz w:val="24"/>
        </w:rPr>
        <w:t>包气带的垂向渗透系数为3.5×10</w:t>
      </w:r>
      <w:r>
        <w:rPr>
          <w:sz w:val="24"/>
          <w:vertAlign w:val="superscript"/>
        </w:rPr>
        <w:t>-4</w:t>
      </w:r>
      <w:r>
        <w:rPr>
          <w:sz w:val="24"/>
        </w:rPr>
        <w:t>cm/s</w:t>
      </w:r>
      <w:r>
        <w:rPr>
          <w:rFonts w:hint="eastAsia"/>
          <w:sz w:val="24"/>
        </w:rPr>
        <w:t>。</w:t>
      </w:r>
    </w:p>
    <w:bookmarkEnd w:id="118"/>
    <w:bookmarkEnd w:id="119"/>
    <w:bookmarkEnd w:id="120"/>
    <w:p>
      <w:pPr>
        <w:pStyle w:val="6"/>
        <w:spacing w:line="500" w:lineRule="exact"/>
      </w:pPr>
      <w:bookmarkStart w:id="129" w:name="_Toc111377886"/>
      <w:bookmarkStart w:id="130" w:name="_Toc30158"/>
      <w:r>
        <w:t>5.</w:t>
      </w:r>
      <w:r>
        <w:rPr>
          <w:rFonts w:hint="eastAsia"/>
        </w:rPr>
        <w:t>3</w:t>
      </w:r>
      <w:r>
        <w:t>.</w:t>
      </w:r>
      <w:r>
        <w:rPr>
          <w:rFonts w:hint="eastAsia"/>
        </w:rPr>
        <w:t>4地下水保护目标调查</w:t>
      </w:r>
    </w:p>
    <w:p>
      <w:pPr>
        <w:pStyle w:val="2"/>
        <w:spacing w:line="500" w:lineRule="exact"/>
        <w:ind w:firstLine="482" w:firstLineChars="200"/>
        <w:rPr>
          <w:rFonts w:ascii="Times New Roman" w:hAnsi="Times New Roman"/>
          <w:b/>
          <w:bCs/>
        </w:rPr>
      </w:pPr>
      <w:r>
        <w:rPr>
          <w:rFonts w:hint="eastAsia" w:ascii="Times New Roman" w:hAnsi="Times New Roman"/>
          <w:b/>
          <w:bCs/>
        </w:rPr>
        <w:t>1、辛安泉域</w:t>
      </w:r>
    </w:p>
    <w:p>
      <w:pPr>
        <w:pStyle w:val="2"/>
        <w:spacing w:line="500" w:lineRule="exact"/>
        <w:ind w:firstLine="480" w:firstLineChars="200"/>
        <w:rPr>
          <w:rFonts w:ascii="Times New Roman" w:hAnsi="Times New Roman"/>
        </w:rPr>
      </w:pPr>
      <w:r>
        <w:rPr>
          <w:rFonts w:hint="eastAsia" w:ascii="Times New Roman" w:hAnsi="Times New Roman"/>
        </w:rPr>
        <w:t>本项目场地位于辛安泉域范围内，但不属于重点保护区，东北距最近的文王山地垒渗漏段重点保护区约16km，距离较远。</w:t>
      </w:r>
    </w:p>
    <w:p>
      <w:pPr>
        <w:pStyle w:val="2"/>
        <w:spacing w:line="500" w:lineRule="exact"/>
        <w:ind w:firstLine="482" w:firstLineChars="200"/>
        <w:rPr>
          <w:rFonts w:ascii="Times New Roman" w:hAnsi="Times New Roman"/>
          <w:b/>
          <w:bCs/>
        </w:rPr>
      </w:pPr>
      <w:r>
        <w:rPr>
          <w:rFonts w:hint="eastAsia" w:ascii="Times New Roman" w:hAnsi="Times New Roman"/>
          <w:b/>
          <w:bCs/>
        </w:rPr>
        <w:t>2、集中饮用水源地</w:t>
      </w:r>
    </w:p>
    <w:p>
      <w:pPr>
        <w:spacing w:line="500" w:lineRule="exact"/>
        <w:ind w:firstLine="480" w:firstLineChars="200"/>
        <w:rPr>
          <w:color w:val="000000"/>
          <w:sz w:val="24"/>
        </w:rPr>
      </w:pPr>
      <w:r>
        <w:rPr>
          <w:sz w:val="24"/>
        </w:rPr>
        <w:t>（1）</w:t>
      </w:r>
      <w:r>
        <w:rPr>
          <w:rFonts w:hint="eastAsia"/>
          <w:sz w:val="24"/>
        </w:rPr>
        <w:t>壶关县北关深井水源地</w:t>
      </w:r>
    </w:p>
    <w:p>
      <w:pPr>
        <w:spacing w:line="500" w:lineRule="exact"/>
        <w:ind w:firstLine="480" w:firstLineChars="200"/>
        <w:rPr>
          <w:sz w:val="24"/>
        </w:rPr>
      </w:pPr>
      <w:r>
        <w:rPr>
          <w:sz w:val="24"/>
        </w:rPr>
        <w:t>根据山西省人民政府下发</w:t>
      </w:r>
      <w:r>
        <w:rPr>
          <w:rFonts w:hint="eastAsia"/>
          <w:sz w:val="24"/>
        </w:rPr>
        <w:t>的</w:t>
      </w:r>
      <w:r>
        <w:rPr>
          <w:sz w:val="24"/>
        </w:rPr>
        <w:t>《关于同意县级以上城镇集中式饮用水水源保护区划分方案的批复》（晋政函〔2009〕149号）</w:t>
      </w:r>
      <w:r>
        <w:rPr>
          <w:rFonts w:hint="eastAsia"/>
          <w:sz w:val="24"/>
        </w:rPr>
        <w:t>，壶关县北关深井水源地共3眼</w:t>
      </w:r>
      <w:r>
        <w:rPr>
          <w:sz w:val="24"/>
        </w:rPr>
        <w:t>水源井</w:t>
      </w:r>
      <w:r>
        <w:rPr>
          <w:rFonts w:hint="eastAsia"/>
          <w:sz w:val="24"/>
        </w:rPr>
        <w:t>，供水对象主要为县城居民，其中1#、2#水源井位于壶关县龙泉镇北街村县城自来水公司院内，3#水源井位于县城自来水公司南面300米处，上述3眼</w:t>
      </w:r>
      <w:r>
        <w:rPr>
          <w:sz w:val="24"/>
        </w:rPr>
        <w:t>水源井</w:t>
      </w:r>
      <w:r>
        <w:rPr>
          <w:rFonts w:hint="eastAsia"/>
          <w:sz w:val="24"/>
        </w:rPr>
        <w:t>井深均为750</w:t>
      </w:r>
      <w:r>
        <w:rPr>
          <w:sz w:val="24"/>
        </w:rPr>
        <w:t>m</w:t>
      </w:r>
      <w:r>
        <w:rPr>
          <w:rFonts w:hint="eastAsia"/>
          <w:sz w:val="24"/>
        </w:rPr>
        <w:t>，水源均为岩溶承压水，均划定一级保护区范围为以各供水井为中心，半径为42m的圆形区域范围，面积为0.0125km</w:t>
      </w:r>
      <w:r>
        <w:rPr>
          <w:rFonts w:hint="eastAsia"/>
          <w:sz w:val="24"/>
          <w:vertAlign w:val="superscript"/>
        </w:rPr>
        <w:t>2</w:t>
      </w:r>
      <w:r>
        <w:rPr>
          <w:rFonts w:hint="eastAsia"/>
          <w:sz w:val="24"/>
        </w:rPr>
        <w:t>，不设二级保护区和准保护区。</w:t>
      </w:r>
    </w:p>
    <w:p>
      <w:pPr>
        <w:spacing w:line="500" w:lineRule="exact"/>
        <w:ind w:firstLine="480" w:firstLineChars="200"/>
        <w:rPr>
          <w:color w:val="000000"/>
          <w:sz w:val="24"/>
        </w:rPr>
      </w:pPr>
      <w:r>
        <w:rPr>
          <w:sz w:val="24"/>
        </w:rPr>
        <w:t>（</w:t>
      </w:r>
      <w:r>
        <w:rPr>
          <w:rFonts w:hint="eastAsia"/>
          <w:sz w:val="24"/>
        </w:rPr>
        <w:t>2</w:t>
      </w:r>
      <w:r>
        <w:rPr>
          <w:sz w:val="24"/>
        </w:rPr>
        <w:t>）</w:t>
      </w:r>
      <w:r>
        <w:rPr>
          <w:rFonts w:hint="eastAsia"/>
          <w:sz w:val="24"/>
        </w:rPr>
        <w:t>壶关县集店镇集中供水水源地</w:t>
      </w:r>
    </w:p>
    <w:p>
      <w:pPr>
        <w:spacing w:line="500" w:lineRule="exact"/>
        <w:ind w:firstLine="480" w:firstLineChars="200"/>
        <w:rPr>
          <w:sz w:val="24"/>
        </w:rPr>
      </w:pPr>
      <w:r>
        <w:rPr>
          <w:sz w:val="24"/>
        </w:rPr>
        <w:t>根据山西省人民政府下发</w:t>
      </w:r>
      <w:r>
        <w:rPr>
          <w:rFonts w:hint="eastAsia"/>
          <w:sz w:val="24"/>
        </w:rPr>
        <w:t>的</w:t>
      </w:r>
      <w:r>
        <w:rPr>
          <w:sz w:val="24"/>
        </w:rPr>
        <w:t>《关于同意县级以上城镇集中式饮用水水源保护区划分方案的批复》（晋政函〔2009〕149号）</w:t>
      </w:r>
      <w:r>
        <w:rPr>
          <w:rFonts w:hint="eastAsia"/>
          <w:sz w:val="24"/>
        </w:rPr>
        <w:t>，壶关县集店镇集中供水水源地位于壶关县集店镇集店村，供水对象主要为集店镇、龙泉镇21个行政村，26000口人及周边所有厂矿企业的生产生活用水，水源地共1眼井，井深714</w:t>
      </w:r>
      <w:r>
        <w:rPr>
          <w:sz w:val="24"/>
        </w:rPr>
        <w:t>m</w:t>
      </w:r>
      <w:r>
        <w:rPr>
          <w:rFonts w:hint="eastAsia"/>
          <w:sz w:val="24"/>
        </w:rPr>
        <w:t>，水源为奥陶系岩溶地下水，划定一级保护区范围为以开采井为中心，半径为18m的圆形区域，面积0.00102km</w:t>
      </w:r>
      <w:r>
        <w:rPr>
          <w:rFonts w:hint="eastAsia"/>
          <w:sz w:val="24"/>
          <w:vertAlign w:val="superscript"/>
        </w:rPr>
        <w:t>2</w:t>
      </w:r>
      <w:r>
        <w:rPr>
          <w:rFonts w:hint="eastAsia"/>
          <w:sz w:val="24"/>
        </w:rPr>
        <w:t>。该水源地不设二级保护区和准保护区。</w:t>
      </w:r>
    </w:p>
    <w:p>
      <w:pPr>
        <w:spacing w:line="500" w:lineRule="exact"/>
        <w:ind w:firstLine="480" w:firstLineChars="200"/>
        <w:rPr>
          <w:color w:val="000000"/>
          <w:sz w:val="24"/>
        </w:rPr>
      </w:pPr>
      <w:r>
        <w:rPr>
          <w:sz w:val="24"/>
        </w:rPr>
        <w:t>（</w:t>
      </w:r>
      <w:r>
        <w:rPr>
          <w:rFonts w:hint="eastAsia"/>
          <w:sz w:val="24"/>
        </w:rPr>
        <w:t>3</w:t>
      </w:r>
      <w:r>
        <w:rPr>
          <w:sz w:val="24"/>
        </w:rPr>
        <w:t>）</w:t>
      </w:r>
      <w:r>
        <w:rPr>
          <w:rFonts w:hint="eastAsia"/>
          <w:sz w:val="24"/>
        </w:rPr>
        <w:t>壶关县常平开发区集中供水水源地</w:t>
      </w:r>
    </w:p>
    <w:p>
      <w:pPr>
        <w:spacing w:line="500" w:lineRule="exact"/>
        <w:ind w:firstLine="480" w:firstLineChars="200"/>
        <w:rPr>
          <w:sz w:val="24"/>
        </w:rPr>
      </w:pPr>
      <w:r>
        <w:rPr>
          <w:sz w:val="24"/>
        </w:rPr>
        <w:t>根据山西省人民政府下发</w:t>
      </w:r>
      <w:r>
        <w:rPr>
          <w:rFonts w:hint="eastAsia"/>
          <w:sz w:val="24"/>
        </w:rPr>
        <w:t>的</w:t>
      </w:r>
      <w:r>
        <w:rPr>
          <w:sz w:val="24"/>
        </w:rPr>
        <w:t>《关于同意县级以上城镇集中式饮用水水源保护区划分方案的批复》（晋政函〔2009〕149号）</w:t>
      </w:r>
      <w:r>
        <w:rPr>
          <w:rFonts w:hint="eastAsia"/>
          <w:sz w:val="24"/>
        </w:rPr>
        <w:t>，壶关县常平开发区集中供水水源地位于常平经济开发区常平村北约900m的山上，供水对象主要为常平等5个行政村以及开发区政府、学校、医院及厂矿企业等13000余人生活和生产用水，共2眼井，一用一备，水源为奥陶系岩溶地下水，划定一级保护区范围为以开采井为中心，半径为24m的圆形区域，由于1#、2#水井间距离小于一级保护区半径的2倍，故此实际以圆形区域的外接多边形圈定范围为一级保护区，面积为0.00488km</w:t>
      </w:r>
      <w:r>
        <w:rPr>
          <w:rFonts w:hint="eastAsia"/>
          <w:sz w:val="24"/>
          <w:vertAlign w:val="superscript"/>
        </w:rPr>
        <w:t>2</w:t>
      </w:r>
      <w:r>
        <w:rPr>
          <w:rFonts w:hint="eastAsia"/>
          <w:sz w:val="24"/>
        </w:rPr>
        <w:t>。该水源地不设二级保护区和准保护区。</w:t>
      </w:r>
    </w:p>
    <w:p>
      <w:pPr>
        <w:pStyle w:val="2"/>
        <w:spacing w:line="500" w:lineRule="exact"/>
        <w:ind w:firstLine="480" w:firstLineChars="200"/>
        <w:rPr>
          <w:rFonts w:ascii="Times New Roman" w:hAnsi="Times New Roman"/>
        </w:rPr>
      </w:pPr>
      <w:r>
        <w:rPr>
          <w:rFonts w:hint="eastAsia" w:ascii="Times New Roman" w:hAnsi="Times New Roman"/>
        </w:rPr>
        <w:t>本项目场地区域地下水流向为由东向西流向长治盆地，而后向北到潞城区，最后再东流向浊漳河河谷辛安泉域排泄区，壶关县北关深井水源地、集店镇集中供水水源地、</w:t>
      </w:r>
      <w:r>
        <w:rPr>
          <w:rFonts w:hint="eastAsia" w:ascii="Times New Roman" w:hAnsi="Times New Roman" w:cs="Times New Roman"/>
          <w:color w:val="auto"/>
        </w:rPr>
        <w:t>常平开发区集中供水水源地均位于场地的西南方向，不属于地下水流向下游位置，且与项目场地距离分别约为9.0km、7.0km、5.0km，</w:t>
      </w:r>
      <w:r>
        <w:rPr>
          <w:rFonts w:hint="eastAsia" w:ascii="Times New Roman" w:hAnsi="Times New Roman"/>
        </w:rPr>
        <w:t>相对均较远。</w:t>
      </w:r>
    </w:p>
    <w:p>
      <w:pPr>
        <w:pStyle w:val="2"/>
        <w:spacing w:line="500" w:lineRule="exact"/>
        <w:ind w:firstLine="482" w:firstLineChars="200"/>
        <w:rPr>
          <w:rFonts w:ascii="Times New Roman" w:hAnsi="Times New Roman"/>
          <w:b/>
          <w:bCs/>
        </w:rPr>
      </w:pPr>
      <w:r>
        <w:rPr>
          <w:rFonts w:hint="eastAsia" w:ascii="Times New Roman" w:hAnsi="Times New Roman"/>
          <w:b/>
          <w:bCs/>
        </w:rPr>
        <w:t>3、周围村庄分散水源井</w:t>
      </w:r>
    </w:p>
    <w:p>
      <w:pPr>
        <w:spacing w:line="500" w:lineRule="exact"/>
        <w:ind w:firstLine="480" w:firstLineChars="200"/>
        <w:jc w:val="left"/>
        <w:rPr>
          <w:sz w:val="24"/>
        </w:rPr>
      </w:pPr>
      <w:r>
        <w:rPr>
          <w:rFonts w:hint="eastAsia"/>
          <w:sz w:val="24"/>
        </w:rPr>
        <w:t>壶关县地下水资源贫乏，本项目场地周边村庄主要利用各自乡镇集中供水水源，项目场地周边及评价范围内无具有供水意义的村庄分散式水源井。</w:t>
      </w:r>
    </w:p>
    <w:p>
      <w:pPr>
        <w:pStyle w:val="6"/>
        <w:spacing w:line="500" w:lineRule="exact"/>
      </w:pPr>
      <w:r>
        <w:t>5.</w:t>
      </w:r>
      <w:r>
        <w:rPr>
          <w:rFonts w:hint="eastAsia"/>
        </w:rPr>
        <w:t>3</w:t>
      </w:r>
      <w:r>
        <w:t>.</w:t>
      </w:r>
      <w:r>
        <w:rPr>
          <w:rFonts w:hint="eastAsia"/>
        </w:rPr>
        <w:t>5地下水环境影响预测与评价</w:t>
      </w:r>
    </w:p>
    <w:p>
      <w:pPr>
        <w:spacing w:line="500" w:lineRule="exact"/>
        <w:ind w:firstLine="482" w:firstLineChars="200"/>
        <w:jc w:val="left"/>
        <w:rPr>
          <w:b/>
          <w:bCs/>
          <w:kern w:val="0"/>
          <w:sz w:val="24"/>
        </w:rPr>
      </w:pPr>
      <w:r>
        <w:rPr>
          <w:rFonts w:hint="eastAsia"/>
          <w:b/>
          <w:bCs/>
          <w:kern w:val="0"/>
          <w:sz w:val="24"/>
        </w:rPr>
        <w:t>1</w:t>
      </w:r>
      <w:r>
        <w:rPr>
          <w:b/>
          <w:bCs/>
          <w:kern w:val="0"/>
          <w:sz w:val="24"/>
        </w:rPr>
        <w:t>、</w:t>
      </w:r>
      <w:r>
        <w:rPr>
          <w:rFonts w:hint="eastAsia"/>
          <w:b/>
          <w:bCs/>
          <w:kern w:val="0"/>
          <w:sz w:val="24"/>
        </w:rPr>
        <w:t>预测模型</w:t>
      </w:r>
    </w:p>
    <w:p>
      <w:pPr>
        <w:autoSpaceDE w:val="0"/>
        <w:autoSpaceDN w:val="0"/>
        <w:adjustRightInd w:val="0"/>
        <w:spacing w:line="500" w:lineRule="exact"/>
        <w:ind w:firstLine="480" w:firstLineChars="200"/>
        <w:jc w:val="left"/>
        <w:rPr>
          <w:sz w:val="24"/>
        </w:rPr>
      </w:pPr>
      <w:bookmarkStart w:id="131" w:name="_Toc7959"/>
      <w:bookmarkStart w:id="132" w:name="_Toc31291"/>
      <w:bookmarkStart w:id="133" w:name="_Toc23415"/>
      <w:bookmarkStart w:id="134" w:name="_Toc446422137"/>
      <w:bookmarkStart w:id="135" w:name="_Toc376203297"/>
      <w:bookmarkStart w:id="136" w:name="_Toc321397160"/>
      <w:bookmarkStart w:id="137" w:name="_Toc3480"/>
      <w:bookmarkStart w:id="138" w:name="_Toc392052498"/>
      <w:bookmarkStart w:id="139" w:name="_Toc335239631"/>
      <w:bookmarkStart w:id="140" w:name="_Toc311551036"/>
      <w:bookmarkStart w:id="141" w:name="_Toc26627"/>
      <w:bookmarkStart w:id="142" w:name="_Toc9928"/>
      <w:bookmarkStart w:id="143" w:name="_Toc20183"/>
      <w:bookmarkStart w:id="144" w:name="_Toc19279"/>
      <w:bookmarkStart w:id="145" w:name="_Toc326334935"/>
      <w:bookmarkStart w:id="146" w:name="_Toc394322296"/>
      <w:bookmarkStart w:id="147" w:name="_Toc318989993"/>
      <w:bookmarkStart w:id="148" w:name="_Toc26345"/>
      <w:bookmarkStart w:id="149" w:name="_Toc373005385"/>
      <w:bookmarkStart w:id="150" w:name="_Toc325375239"/>
      <w:r>
        <w:rPr>
          <w:sz w:val="24"/>
        </w:rPr>
        <w:t>（1）目标含水层及补径排条件</w:t>
      </w:r>
    </w:p>
    <w:p>
      <w:pPr>
        <w:autoSpaceDE w:val="0"/>
        <w:autoSpaceDN w:val="0"/>
        <w:adjustRightInd w:val="0"/>
        <w:spacing w:line="500" w:lineRule="exact"/>
        <w:ind w:firstLine="480" w:firstLineChars="200"/>
        <w:jc w:val="left"/>
        <w:rPr>
          <w:sz w:val="24"/>
        </w:rPr>
      </w:pPr>
      <w:r>
        <w:rPr>
          <w:sz w:val="24"/>
        </w:rPr>
        <w:t>模拟区目标含水层为奥陶系上马家沟组含水层，岩溶裂隙发育，富水性较好，填埋场区隐伏碳酸盐岩类岩溶水埋藏较深，岩溶水水位标高在636~640m左右，下部奥陶系峰峰组富水性较差，可视为隔水层。地下水主要以水平运动为主，含水层主要是单一结构。</w:t>
      </w:r>
    </w:p>
    <w:p>
      <w:pPr>
        <w:autoSpaceDE w:val="0"/>
        <w:autoSpaceDN w:val="0"/>
        <w:adjustRightInd w:val="0"/>
        <w:spacing w:line="500" w:lineRule="exact"/>
        <w:ind w:firstLine="480" w:firstLineChars="200"/>
        <w:jc w:val="left"/>
        <w:rPr>
          <w:sz w:val="24"/>
        </w:rPr>
      </w:pPr>
      <w:r>
        <w:rPr>
          <w:sz w:val="24"/>
        </w:rPr>
        <w:t>（2）网格剖分</w:t>
      </w:r>
    </w:p>
    <w:p>
      <w:pPr>
        <w:autoSpaceDE w:val="0"/>
        <w:autoSpaceDN w:val="0"/>
        <w:adjustRightInd w:val="0"/>
        <w:spacing w:line="500" w:lineRule="exact"/>
        <w:ind w:firstLine="480" w:firstLineChars="200"/>
        <w:jc w:val="left"/>
        <w:rPr>
          <w:sz w:val="24"/>
        </w:rPr>
      </w:pPr>
      <w:r>
        <w:rPr>
          <w:sz w:val="24"/>
        </w:rPr>
        <w:t>模拟范围位于辛安泉域地下水子系统长治子系统中，模拟区域大致为一四边形，面积约为36.25km</w:t>
      </w:r>
      <w:r>
        <w:rPr>
          <w:sz w:val="24"/>
          <w:vertAlign w:val="superscript"/>
        </w:rPr>
        <w:t>2</w:t>
      </w:r>
      <w:r>
        <w:rPr>
          <w:sz w:val="24"/>
        </w:rPr>
        <w:t>，在平面上剖分成100×95m。</w:t>
      </w:r>
    </w:p>
    <w:p>
      <w:pPr>
        <w:spacing w:line="500" w:lineRule="exact"/>
        <w:ind w:firstLine="480" w:firstLineChars="200"/>
        <w:jc w:val="left"/>
        <w:rPr>
          <w:sz w:val="24"/>
        </w:rPr>
      </w:pPr>
      <w:r>
        <w:rPr>
          <w:sz w:val="24"/>
        </w:rPr>
        <w:t>（3）含水层水力特征</w:t>
      </w:r>
    </w:p>
    <w:p>
      <w:pPr>
        <w:spacing w:line="500" w:lineRule="exact"/>
        <w:ind w:firstLine="480" w:firstLineChars="200"/>
        <w:jc w:val="left"/>
        <w:rPr>
          <w:sz w:val="24"/>
        </w:rPr>
      </w:pPr>
      <w:r>
        <w:rPr>
          <w:sz w:val="24"/>
        </w:rPr>
        <w:t>研究区奥陶系上马家沟组地下水流从空间上看是以水平运动为主，地下水系统符合质量守恒定律和能量守恒定律。一般情况下，地下水流速矢量在x，y方向有分量，故概化为二维流；参数随空间变化，体现了系统的非均质性；地下水系统的输入输出随时间、空间变化，地下水流为非稳定流。综上所述，目标含水层系统的结构及水动力学条件可概化为非均质各向同性二维非稳定流。</w:t>
      </w:r>
    </w:p>
    <w:p>
      <w:pPr>
        <w:autoSpaceDE w:val="0"/>
        <w:autoSpaceDN w:val="0"/>
        <w:adjustRightInd w:val="0"/>
        <w:spacing w:line="500" w:lineRule="exact"/>
        <w:ind w:firstLine="480" w:firstLineChars="200"/>
        <w:jc w:val="left"/>
        <w:rPr>
          <w:sz w:val="24"/>
        </w:rPr>
      </w:pPr>
      <w:r>
        <w:rPr>
          <w:sz w:val="24"/>
        </w:rPr>
        <w:t>受研究区资料限制，本次在进行地下水溶质运移模拟时，不考虑地下水中污染物的吸附、挥发和生物降解反应，模型中的各项参数均予保守性估计。主要原因为：（1）地下水中有机污染物的运移非常复杂，影响因素不仅包括对流、弥散作用，同时受到物理、化学、微生物降解等作用的影响，这些反应常常会在一定程度上造成污染物浓度的衰减。同时这些衰减作用的参数难以确定。（2）保守性估计，即假定污染质子地下水运移过程中，不与含水层介质发生作用或反应，这样的污染质通常被称为是保守型污染质，计算按保守性污染质即只对运移过程中的对流、弥散作用予以考虑，其它过程可以忽略。此方法可最大限度地估计建设项目在发生特殊工况时对地下水环境的影响。（3）保守考虑符合工程设计的理念。</w:t>
      </w:r>
    </w:p>
    <w:p>
      <w:pPr>
        <w:spacing w:line="500" w:lineRule="exact"/>
        <w:ind w:firstLine="480" w:firstLineChars="200"/>
        <w:jc w:val="left"/>
        <w:rPr>
          <w:bCs/>
          <w:sz w:val="24"/>
        </w:rPr>
      </w:pPr>
      <w:r>
        <w:rPr>
          <w:bCs/>
          <w:sz w:val="24"/>
        </w:rPr>
        <w:t>（4）数学模型</w:t>
      </w:r>
    </w:p>
    <w:p>
      <w:pPr>
        <w:spacing w:line="500" w:lineRule="exact"/>
        <w:ind w:firstLine="480" w:firstLineChars="200"/>
        <w:rPr>
          <w:bCs/>
          <w:sz w:val="24"/>
        </w:rPr>
      </w:pPr>
      <w:r>
        <w:rPr>
          <w:bCs/>
          <w:sz w:val="24"/>
        </w:rPr>
        <w:t>a</w:t>
      </w:r>
      <w:r>
        <w:rPr>
          <w:rFonts w:hint="eastAsia"/>
          <w:bCs/>
          <w:sz w:val="24"/>
        </w:rPr>
        <w:t>.</w:t>
      </w:r>
      <w:r>
        <w:rPr>
          <w:bCs/>
          <w:sz w:val="24"/>
        </w:rPr>
        <w:t>水流运移数学模型</w:t>
      </w:r>
    </w:p>
    <w:p>
      <w:pPr>
        <w:spacing w:line="500" w:lineRule="exact"/>
        <w:ind w:firstLine="480" w:firstLineChars="200"/>
        <w:rPr>
          <w:bCs/>
          <w:sz w:val="24"/>
        </w:rPr>
      </w:pPr>
      <w:r>
        <w:rPr>
          <w:bCs/>
          <w:sz w:val="24"/>
        </w:rPr>
        <w:t>本次模拟的是</w:t>
      </w:r>
      <w:r>
        <w:rPr>
          <w:sz w:val="24"/>
        </w:rPr>
        <w:t>奥陶系上马家沟组</w:t>
      </w:r>
      <w:r>
        <w:rPr>
          <w:bCs/>
          <w:sz w:val="24"/>
        </w:rPr>
        <w:t>，系统的补给项主要是大气降水，排泄项主要是蒸发和人工开采。在不考虑水的密度变化条件下和向下部含水层渗透、越流补给的情况下，概化为非均质各向同性二维非稳定流。</w:t>
      </w:r>
    </w:p>
    <w:p>
      <w:pPr>
        <w:spacing w:line="500" w:lineRule="exact"/>
        <w:jc w:val="center"/>
        <w:rPr>
          <w:bCs/>
          <w:sz w:val="24"/>
        </w:rPr>
      </w:pPr>
      <w:r>
        <w:rPr>
          <w:bCs/>
          <w:sz w:val="24"/>
        </w:rPr>
        <w:fldChar w:fldCharType="begin"/>
      </w:r>
      <w:r>
        <w:rPr>
          <w:bCs/>
          <w:sz w:val="24"/>
        </w:rPr>
        <w:instrText xml:space="preserve"> QUOTE </w:instrText>
      </w:r>
      <w:r>
        <w:rPr>
          <w:bCs/>
          <w:sz w:val="24"/>
        </w:rPr>
        <w:object>
          <v:shape id="_x0000_i1027" o:spt="75" type="#_x0000_t75" style="height:36.4pt;width:193.05pt;" o:ole="t" filled="f" o:preferrelative="t" stroked="f" coordsize="21600,21600">
            <v:path/>
            <v:fill on="f" focussize="0,0"/>
            <v:stroke on="f" joinstyle="miter"/>
            <v:imagedata r:id="rId63" o:title=""/>
            <o:lock v:ext="edit" aspectratio="t"/>
            <w10:wrap type="none"/>
            <w10:anchorlock/>
          </v:shape>
          <o:OLEObject Type="Embed" ProgID="Equation.3" ShapeID="_x0000_i1027" DrawAspect="Content" ObjectID="_1468075729" r:id="rId62">
            <o:LockedField>false</o:LockedField>
          </o:OLEObject>
        </w:object>
      </w:r>
      <w:r>
        <w:rPr>
          <w:bCs/>
          <w:sz w:val="24"/>
        </w:rPr>
        <w:object>
          <v:shape id="_x0000_i1028" o:spt="75" type="#_x0000_t75" style="height:15.8pt;width:75.95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30" r:id="rId64">
            <o:LockedField>false</o:LockedField>
          </o:OLEObject>
        </w:object>
      </w:r>
      <w:r>
        <w:rPr>
          <w:bCs/>
          <w:sz w:val="24"/>
        </w:rPr>
        <w:object>
          <v:shape id="_x0000_i1029" o:spt="75" type="#_x0000_t75" style="height:19.8pt;width:106.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31" r:id="rId66">
            <o:LockedField>false</o:LockedField>
          </o:OLEObject>
        </w:object>
      </w:r>
      <w:r>
        <w:rPr>
          <w:bCs/>
          <w:sz w:val="24"/>
        </w:rPr>
        <w:object>
          <v:shape id="_x0000_i1030" o:spt="75" type="#_x0000_t75" style="height:15.8pt;width:75.95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2" r:id="rId68">
            <o:LockedField>false</o:LockedField>
          </o:OLEObject>
        </w:object>
      </w:r>
      <w:r>
        <w:rPr>
          <w:bCs/>
          <w:sz w:val="24"/>
        </w:rPr>
        <w:object>
          <v:shape id="_x0000_i1031" o:spt="75" type="#_x0000_t75" style="height:22.15pt;width:102.0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3" r:id="rId70">
            <o:LockedField>false</o:LockedField>
          </o:OLEObject>
        </w:object>
      </w:r>
      <w:r>
        <w:rPr>
          <w:bCs/>
          <w:sz w:val="24"/>
        </w:rPr>
        <w:object>
          <v:shape id="_x0000_i1032" o:spt="75" type="#_x0000_t75" style="height:16.6pt;width:75.95pt;" o:ole="t" filled="f" o:preferrelative="t" stroked="f" coordsize="21600,21600">
            <v:path/>
            <v:fill on="f" focussize="0,0"/>
            <v:stroke on="f" joinstyle="miter"/>
            <v:imagedata r:id="rId73" o:title=""/>
            <o:lock v:ext="edit" aspectratio="t"/>
            <w10:wrap type="none"/>
            <w10:anchorlock/>
          </v:shape>
          <o:OLEObject Type="Embed" ProgID="Equation.3" ShapeID="_x0000_i1032" DrawAspect="Content" ObjectID="_1468075734" r:id="rId72">
            <o:LockedField>false</o:LockedField>
          </o:OLEObject>
        </w:object>
      </w:r>
      <w:r>
        <w:rPr>
          <w:bCs/>
          <w:sz w:val="24"/>
        </w:rPr>
        <w:object>
          <v:shape id="_x0000_i1033" o:spt="75" type="#_x0000_t75" style="height:22.15pt;width:104.45pt;" o:ole="t" filled="f" o:preferrelative="t" stroked="f" coordsize="21600,21600">
            <v:path/>
            <v:fill on="f" focussize="0,0"/>
            <v:stroke on="f" joinstyle="miter"/>
            <v:imagedata r:id="rId75" o:title=""/>
            <o:lock v:ext="edit" aspectratio="t"/>
            <w10:wrap type="none"/>
            <w10:anchorlock/>
          </v:shape>
          <o:OLEObject Type="Embed" ProgID="Equation.3" ShapeID="_x0000_i1033" DrawAspect="Content" ObjectID="_1468075735" r:id="rId74">
            <o:LockedField>false</o:LockedField>
          </o:OLEObject>
        </w:object>
      </w:r>
      <w:r>
        <w:rPr>
          <w:bCs/>
          <w:sz w:val="24"/>
        </w:rPr>
        <w:object>
          <v:shape id="_x0000_i1034" o:spt="75" type="#_x0000_t75" style="height:16.6pt;width:78.35pt;" o:ole="t" filled="f" o:preferrelative="t" stroked="f" coordsize="21600,21600">
            <v:path/>
            <v:fill on="f" focussize="0,0"/>
            <v:stroke on="f" joinstyle="miter"/>
            <v:imagedata r:id="rId77" o:title=""/>
            <o:lock v:ext="edit" aspectratio="t"/>
            <w10:wrap type="none"/>
            <w10:anchorlock/>
          </v:shape>
          <o:OLEObject Type="Embed" ProgID="Equation.3" ShapeID="_x0000_i1034" DrawAspect="Content" ObjectID="_1468075736" r:id="rId76">
            <o:LockedField>false</o:LockedField>
          </o:OLEObject>
        </w:object>
      </w:r>
      <w:r>
        <w:rPr>
          <w:bCs/>
          <w:sz w:val="24"/>
        </w:rPr>
        <w:instrText xml:space="preserve">     \* MERGEFORMAT </w:instrText>
      </w:r>
      <w:r>
        <w:rPr>
          <w:bCs/>
          <w:sz w:val="24"/>
        </w:rPr>
        <w:fldChar w:fldCharType="end"/>
      </w:r>
      <w:r>
        <w:rPr>
          <w:bCs/>
          <w:sz w:val="24"/>
        </w:rPr>
        <w:object>
          <v:shape id="_x0000_i1035" o:spt="75" type="#_x0000_t75" style="height:166.15pt;width:180.4pt;" o:ole="t" filled="f" o:preferrelative="t" stroked="f" coordsize="21600,21600">
            <v:path/>
            <v:fill on="f" focussize="0,0"/>
            <v:stroke on="f" joinstyle="miter"/>
            <v:imagedata r:id="rId79" o:title=""/>
            <o:lock v:ext="edit" aspectratio="t"/>
            <w10:wrap type="none"/>
            <w10:anchorlock/>
          </v:shape>
          <o:OLEObject Type="Embed" ProgID="Equation.DSMT4" ShapeID="_x0000_i1035" DrawAspect="Content" ObjectID="_1468075737" r:id="rId78">
            <o:LockedField>false</o:LockedField>
          </o:OLEObject>
        </w:object>
      </w:r>
      <w:r>
        <w:rPr>
          <w:bCs/>
          <w:sz w:val="24"/>
        </w:rPr>
        <w:object>
          <v:shape id="_x0000_i1036" o:spt="75" type="#_x0000_t75" style="height:140.85pt;width:106pt;" o:ole="t" filled="f" o:preferrelative="t" stroked="f" coordsize="21600,21600">
            <v:path/>
            <v:fill on="f" focussize="0,0"/>
            <v:stroke on="f" joinstyle="miter"/>
            <v:imagedata r:id="rId81" o:title=""/>
            <o:lock v:ext="edit" aspectratio="t"/>
            <w10:wrap type="none"/>
            <w10:anchorlock/>
          </v:shape>
          <o:OLEObject Type="Embed" ProgID="Equation.3" ShapeID="_x0000_i1036" DrawAspect="Content" ObjectID="_1468075738" r:id="rId80">
            <o:LockedField>false</o:LockedField>
          </o:OLEObject>
        </w:object>
      </w:r>
    </w:p>
    <w:p>
      <w:pPr>
        <w:spacing w:line="500" w:lineRule="exact"/>
        <w:ind w:firstLine="480" w:firstLineChars="200"/>
        <w:rPr>
          <w:bCs/>
          <w:sz w:val="24"/>
        </w:rPr>
      </w:pPr>
      <w:r>
        <w:rPr>
          <w:bCs/>
          <w:sz w:val="24"/>
        </w:rPr>
        <w:t>式中：Ω—地下水渗流区域；</w:t>
      </w:r>
    </w:p>
    <w:p>
      <w:pPr>
        <w:spacing w:line="500" w:lineRule="exact"/>
        <w:ind w:firstLine="1200" w:firstLineChars="500"/>
        <w:rPr>
          <w:bCs/>
          <w:sz w:val="24"/>
        </w:rPr>
      </w:pPr>
      <w:r>
        <w:rPr>
          <w:bCs/>
          <w:sz w:val="24"/>
        </w:rPr>
        <w:t>K—沿x，y坐标轴方向的渗透系数（m/d）；</w:t>
      </w:r>
    </w:p>
    <w:p>
      <w:pPr>
        <w:spacing w:line="500" w:lineRule="exact"/>
        <w:ind w:firstLine="1200" w:firstLineChars="500"/>
        <w:rPr>
          <w:bCs/>
          <w:sz w:val="24"/>
        </w:rPr>
      </w:pPr>
      <w:r>
        <w:rPr>
          <w:bCs/>
          <w:sz w:val="24"/>
        </w:rPr>
        <w:t>h—点（x，y）在t时刻水头值（m）；</w:t>
      </w:r>
    </w:p>
    <w:p>
      <w:pPr>
        <w:spacing w:line="500" w:lineRule="exact"/>
        <w:ind w:firstLine="1200" w:firstLineChars="500"/>
        <w:rPr>
          <w:bCs/>
          <w:sz w:val="24"/>
        </w:rPr>
      </w:pPr>
      <w:r>
        <w:rPr>
          <w:bCs/>
          <w:sz w:val="24"/>
        </w:rPr>
        <w:t>h</w:t>
      </w:r>
      <w:r>
        <w:rPr>
          <w:bCs/>
          <w:sz w:val="24"/>
          <w:vertAlign w:val="subscript"/>
        </w:rPr>
        <w:t>0</w:t>
      </w:r>
      <w:r>
        <w:rPr>
          <w:bCs/>
          <w:sz w:val="24"/>
        </w:rPr>
        <w:t>—含水层的初始水头（m）；</w:t>
      </w:r>
    </w:p>
    <w:p>
      <w:pPr>
        <w:spacing w:line="500" w:lineRule="exact"/>
        <w:ind w:firstLine="1200" w:firstLineChars="500"/>
        <w:rPr>
          <w:bCs/>
          <w:sz w:val="24"/>
        </w:rPr>
      </w:pPr>
      <w:r>
        <w:rPr>
          <w:bCs/>
          <w:sz w:val="24"/>
        </w:rPr>
        <w:t>μ—含水层给水度（L/m）；</w:t>
      </w:r>
    </w:p>
    <w:p>
      <w:pPr>
        <w:spacing w:line="500" w:lineRule="exact"/>
        <w:ind w:firstLine="1200" w:firstLineChars="500"/>
        <w:rPr>
          <w:bCs/>
          <w:sz w:val="24"/>
        </w:rPr>
      </w:pPr>
      <w:r>
        <w:rPr>
          <w:bCs/>
          <w:sz w:val="24"/>
        </w:rPr>
        <w:t>W—源汇项（m/d）；</w:t>
      </w:r>
    </w:p>
    <w:p>
      <w:pPr>
        <w:spacing w:line="500" w:lineRule="exact"/>
        <w:ind w:firstLine="1200" w:firstLineChars="500"/>
        <w:rPr>
          <w:bCs/>
          <w:sz w:val="24"/>
        </w:rPr>
      </w:pPr>
      <w:r>
        <w:rPr>
          <w:sz w:val="24"/>
        </w:rPr>
        <w:fldChar w:fldCharType="begin"/>
      </w:r>
      <w:r>
        <w:rPr>
          <w:sz w:val="24"/>
        </w:rPr>
        <w:instrText xml:space="preserve"> QUOTE </w:instrText>
      </w:r>
      <w:r>
        <w:rPr>
          <w:position w:val="-6"/>
          <w:sz w:val="24"/>
        </w:rPr>
        <w:drawing>
          <wp:inline distT="0" distB="0" distL="114300" distR="114300">
            <wp:extent cx="85725" cy="180975"/>
            <wp:effectExtent l="0" t="0" r="9525" b="9525"/>
            <wp:docPr id="1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pic:cNvPicPr>
                      <a:picLocks noChangeAspect="1"/>
                    </pic:cNvPicPr>
                  </pic:nvPicPr>
                  <pic:blipFill>
                    <a:blip r:embed="rId82" cstate="print"/>
                    <a:stretch>
                      <a:fillRect/>
                    </a:stretch>
                  </pic:blipFill>
                  <pic:spPr>
                    <a:xfrm>
                      <a:off x="0" y="0"/>
                      <a:ext cx="85725" cy="180975"/>
                    </a:xfrm>
                    <a:prstGeom prst="rect">
                      <a:avLst/>
                    </a:prstGeom>
                    <a:noFill/>
                    <a:ln w="9525">
                      <a:noFill/>
                    </a:ln>
                  </pic:spPr>
                </pic:pic>
              </a:graphicData>
            </a:graphic>
          </wp:inline>
        </w:drawing>
      </w:r>
      <w:r>
        <w:rPr>
          <w:sz w:val="24"/>
        </w:rPr>
        <w:instrText xml:space="preserve">  \* MERGEFORMAT </w:instrText>
      </w:r>
      <w:r>
        <w:rPr>
          <w:sz w:val="24"/>
        </w:rPr>
        <w:fldChar w:fldCharType="separate"/>
      </w:r>
      <w:r>
        <w:rPr>
          <w:position w:val="-6"/>
          <w:sz w:val="24"/>
        </w:rPr>
        <w:drawing>
          <wp:inline distT="0" distB="0" distL="114300" distR="114300">
            <wp:extent cx="85725" cy="180975"/>
            <wp:effectExtent l="0" t="0" r="9525" b="9525"/>
            <wp:docPr id="1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4"/>
                    <pic:cNvPicPr>
                      <a:picLocks noChangeAspect="1"/>
                    </pic:cNvPicPr>
                  </pic:nvPicPr>
                  <pic:blipFill>
                    <a:blip r:embed="rId82" cstate="print"/>
                    <a:stretch>
                      <a:fillRect/>
                    </a:stretch>
                  </pic:blipFill>
                  <pic:spPr>
                    <a:xfrm>
                      <a:off x="0" y="0"/>
                      <a:ext cx="85725" cy="180975"/>
                    </a:xfrm>
                    <a:prstGeom prst="rect">
                      <a:avLst/>
                    </a:prstGeom>
                    <a:noFill/>
                    <a:ln w="9525">
                      <a:noFill/>
                    </a:ln>
                  </pic:spPr>
                </pic:pic>
              </a:graphicData>
            </a:graphic>
          </wp:inline>
        </w:drawing>
      </w:r>
      <w:r>
        <w:rPr>
          <w:sz w:val="24"/>
        </w:rPr>
        <w:fldChar w:fldCharType="end"/>
      </w:r>
      <w:r>
        <w:rPr>
          <w:bCs/>
          <w:sz w:val="24"/>
        </w:rPr>
        <w:t>—边界的外法线方向；</w:t>
      </w:r>
    </w:p>
    <w:p>
      <w:pPr>
        <w:spacing w:line="500" w:lineRule="exact"/>
        <w:ind w:firstLine="1200" w:firstLineChars="500"/>
        <w:rPr>
          <w:bCs/>
          <w:sz w:val="24"/>
        </w:rPr>
      </w:pPr>
      <w:r>
        <w:rPr>
          <w:bCs/>
          <w:sz w:val="24"/>
        </w:rPr>
        <w:t>K</w:t>
      </w:r>
      <w:r>
        <w:rPr>
          <w:bCs/>
          <w:sz w:val="24"/>
          <w:vertAlign w:val="subscript"/>
        </w:rPr>
        <w:t>n</w:t>
      </w:r>
      <w:r>
        <w:rPr>
          <w:bCs/>
          <w:sz w:val="24"/>
        </w:rPr>
        <w:t>—边界法线方向的渗透系数（m/d）；</w:t>
      </w:r>
    </w:p>
    <w:p>
      <w:pPr>
        <w:spacing w:line="500" w:lineRule="exact"/>
        <w:ind w:firstLine="1200" w:firstLineChars="500"/>
        <w:rPr>
          <w:bCs/>
          <w:sz w:val="24"/>
        </w:rPr>
      </w:pPr>
      <w:r>
        <w:rPr>
          <w:bCs/>
          <w:sz w:val="24"/>
        </w:rPr>
        <w:t>q—渗流区二类边界上的单位面积流量（m</w:t>
      </w:r>
      <w:r>
        <w:rPr>
          <w:bCs/>
          <w:sz w:val="24"/>
          <w:vertAlign w:val="superscript"/>
        </w:rPr>
        <w:t>3</w:t>
      </w:r>
      <w:r>
        <w:rPr>
          <w:bCs/>
          <w:sz w:val="24"/>
        </w:rPr>
        <w:t>/d）；</w:t>
      </w:r>
    </w:p>
    <w:p>
      <w:pPr>
        <w:spacing w:line="500" w:lineRule="exact"/>
        <w:ind w:firstLine="1200" w:firstLineChars="500"/>
        <w:rPr>
          <w:bCs/>
          <w:sz w:val="24"/>
        </w:rPr>
      </w:pPr>
      <w:r>
        <w:rPr>
          <w:bCs/>
          <w:sz w:val="24"/>
        </w:rPr>
        <w:t>D</w:t>
      </w:r>
      <w:r>
        <w:rPr>
          <w:bCs/>
          <w:sz w:val="24"/>
          <w:vertAlign w:val="subscript"/>
        </w:rPr>
        <w:t>2</w:t>
      </w:r>
      <w:r>
        <w:rPr>
          <w:bCs/>
          <w:sz w:val="24"/>
        </w:rPr>
        <w:t>—第二类定流量边界；</w:t>
      </w:r>
    </w:p>
    <w:p>
      <w:pPr>
        <w:spacing w:line="500" w:lineRule="exact"/>
        <w:ind w:firstLine="1200" w:firstLineChars="500"/>
        <w:rPr>
          <w:bCs/>
          <w:sz w:val="24"/>
        </w:rPr>
      </w:pPr>
      <w:r>
        <w:rPr>
          <w:bCs/>
          <w:sz w:val="24"/>
        </w:rPr>
        <w:t>D</w:t>
      </w:r>
      <w:r>
        <w:rPr>
          <w:bCs/>
          <w:sz w:val="24"/>
          <w:vertAlign w:val="subscript"/>
        </w:rPr>
        <w:t>3</w:t>
      </w:r>
      <w:r>
        <w:rPr>
          <w:bCs/>
          <w:sz w:val="24"/>
        </w:rPr>
        <w:t>—第二类隔水边界。</w:t>
      </w:r>
    </w:p>
    <w:p>
      <w:pPr>
        <w:spacing w:line="500" w:lineRule="exact"/>
        <w:ind w:firstLine="480" w:firstLineChars="200"/>
        <w:rPr>
          <w:bCs/>
          <w:sz w:val="24"/>
        </w:rPr>
      </w:pPr>
      <w:r>
        <w:rPr>
          <w:bCs/>
          <w:sz w:val="24"/>
        </w:rPr>
        <w:t>b</w:t>
      </w:r>
      <w:r>
        <w:rPr>
          <w:rFonts w:hint="eastAsia"/>
          <w:bCs/>
          <w:sz w:val="24"/>
        </w:rPr>
        <w:t>.</w:t>
      </w:r>
      <w:r>
        <w:rPr>
          <w:bCs/>
          <w:sz w:val="24"/>
        </w:rPr>
        <w:t>溶质运移数值模型</w:t>
      </w:r>
    </w:p>
    <w:p>
      <w:pPr>
        <w:spacing w:line="500" w:lineRule="exact"/>
        <w:ind w:firstLine="480" w:firstLineChars="200"/>
        <w:rPr>
          <w:bCs/>
          <w:sz w:val="24"/>
        </w:rPr>
      </w:pPr>
      <w:r>
        <w:rPr>
          <w:bCs/>
          <w:sz w:val="24"/>
        </w:rPr>
        <w:t>本次建立的地下水溶质运移模型是在二维水流影响基础下的二维弥散问题，水流主方向和坐标轴重合，溶液密度不变，只考虑线性平衡等温吸附作用而不考虑化学反应，溶解相和吸附相的速率相等。在此前提下，溶质运移的二维水动力弥散方程的数学模型如下：</w:t>
      </w:r>
    </w:p>
    <w:p>
      <w:pPr>
        <w:spacing w:line="360" w:lineRule="auto"/>
        <w:jc w:val="center"/>
        <w:rPr>
          <w:bCs/>
          <w:sz w:val="24"/>
        </w:rPr>
      </w:pPr>
      <w:r>
        <w:rPr>
          <w:bCs/>
          <w:sz w:val="24"/>
        </w:rPr>
        <w:fldChar w:fldCharType="begin"/>
      </w:r>
      <w:r>
        <w:rPr>
          <w:bCs/>
          <w:sz w:val="24"/>
        </w:rPr>
        <w:instrText xml:space="preserve"> QUOTE </w:instrText>
      </w:r>
      <w:r>
        <w:rPr>
          <w:bCs/>
          <w:sz w:val="24"/>
        </w:rPr>
        <w:drawing>
          <wp:inline distT="0" distB="0" distL="114300" distR="114300">
            <wp:extent cx="3914140" cy="1076325"/>
            <wp:effectExtent l="0" t="0" r="10160" b="9525"/>
            <wp:docPr id="1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5"/>
                    <pic:cNvPicPr>
                      <a:picLocks noChangeAspect="1"/>
                    </pic:cNvPicPr>
                  </pic:nvPicPr>
                  <pic:blipFill>
                    <a:blip r:embed="rId83" cstate="print"/>
                    <a:stretch>
                      <a:fillRect/>
                    </a:stretch>
                  </pic:blipFill>
                  <pic:spPr>
                    <a:xfrm>
                      <a:off x="0" y="0"/>
                      <a:ext cx="3914140" cy="1076325"/>
                    </a:xfrm>
                    <a:prstGeom prst="rect">
                      <a:avLst/>
                    </a:prstGeom>
                    <a:noFill/>
                    <a:ln w="9525">
                      <a:noFill/>
                    </a:ln>
                  </pic:spPr>
                </pic:pic>
              </a:graphicData>
            </a:graphic>
          </wp:inline>
        </w:drawing>
      </w:r>
      <w:r>
        <w:rPr>
          <w:bCs/>
          <w:sz w:val="24"/>
        </w:rPr>
        <w:instrText xml:space="preserve">  \* MERGEFORMAT </w:instrText>
      </w:r>
      <w:r>
        <w:rPr>
          <w:bCs/>
          <w:sz w:val="24"/>
        </w:rPr>
        <w:fldChar w:fldCharType="separate"/>
      </w:r>
      <w:r>
        <w:rPr>
          <w:bCs/>
          <w:sz w:val="24"/>
        </w:rPr>
        <w:drawing>
          <wp:inline distT="0" distB="0" distL="114300" distR="114300">
            <wp:extent cx="3914140" cy="1076325"/>
            <wp:effectExtent l="0" t="0" r="10160" b="9525"/>
            <wp:docPr id="1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6"/>
                    <pic:cNvPicPr>
                      <a:picLocks noChangeAspect="1"/>
                    </pic:cNvPicPr>
                  </pic:nvPicPr>
                  <pic:blipFill>
                    <a:blip r:embed="rId83" cstate="print"/>
                    <a:stretch>
                      <a:fillRect/>
                    </a:stretch>
                  </pic:blipFill>
                  <pic:spPr>
                    <a:xfrm>
                      <a:off x="0" y="0"/>
                      <a:ext cx="3914140" cy="1076325"/>
                    </a:xfrm>
                    <a:prstGeom prst="rect">
                      <a:avLst/>
                    </a:prstGeom>
                    <a:noFill/>
                    <a:ln w="9525">
                      <a:noFill/>
                    </a:ln>
                  </pic:spPr>
                </pic:pic>
              </a:graphicData>
            </a:graphic>
          </wp:inline>
        </w:drawing>
      </w:r>
      <w:r>
        <w:rPr>
          <w:bCs/>
          <w:sz w:val="24"/>
        </w:rPr>
        <w:fldChar w:fldCharType="end"/>
      </w:r>
    </w:p>
    <w:p>
      <w:pPr>
        <w:spacing w:line="500" w:lineRule="exact"/>
        <w:ind w:firstLine="480" w:firstLineChars="200"/>
        <w:rPr>
          <w:bCs/>
          <w:sz w:val="24"/>
        </w:rPr>
      </w:pPr>
      <w:r>
        <w:rPr>
          <w:bCs/>
          <w:sz w:val="24"/>
        </w:rPr>
        <w:t>式中：C—地下水中组分的溶解相浓度，（ML</w:t>
      </w:r>
      <w:r>
        <w:rPr>
          <w:bCs/>
          <w:sz w:val="24"/>
          <w:vertAlign w:val="superscript"/>
        </w:rPr>
        <w:t>-3</w:t>
      </w:r>
      <w:r>
        <w:rPr>
          <w:bCs/>
          <w:sz w:val="24"/>
        </w:rPr>
        <w:t>）；</w:t>
      </w:r>
    </w:p>
    <w:p>
      <w:pPr>
        <w:spacing w:line="500" w:lineRule="exact"/>
        <w:ind w:firstLine="1200" w:firstLineChars="500"/>
        <w:rPr>
          <w:bCs/>
          <w:sz w:val="24"/>
        </w:rPr>
      </w:pPr>
      <w:r>
        <w:rPr>
          <w:bCs/>
          <w:sz w:val="24"/>
        </w:rPr>
        <w:t>u</w:t>
      </w:r>
      <w:r>
        <w:rPr>
          <w:bCs/>
          <w:sz w:val="24"/>
          <w:vertAlign w:val="subscript"/>
        </w:rPr>
        <w:t>xx</w:t>
      </w:r>
      <w:r>
        <w:rPr>
          <w:bCs/>
          <w:sz w:val="24"/>
        </w:rPr>
        <w:t>、u</w:t>
      </w:r>
      <w:r>
        <w:rPr>
          <w:bCs/>
          <w:sz w:val="24"/>
          <w:vertAlign w:val="subscript"/>
        </w:rPr>
        <w:t>yy</w:t>
      </w:r>
      <w:r>
        <w:rPr>
          <w:bCs/>
          <w:sz w:val="24"/>
        </w:rPr>
        <w:t>—x、y方向的实际水流速度，（LT</w:t>
      </w:r>
      <w:r>
        <w:rPr>
          <w:bCs/>
          <w:sz w:val="24"/>
          <w:vertAlign w:val="superscript"/>
        </w:rPr>
        <w:t>-1</w:t>
      </w:r>
      <w:r>
        <w:rPr>
          <w:bCs/>
          <w:sz w:val="24"/>
        </w:rPr>
        <w:t>）；</w:t>
      </w:r>
    </w:p>
    <w:p>
      <w:pPr>
        <w:spacing w:line="500" w:lineRule="exact"/>
        <w:ind w:firstLine="1200" w:firstLineChars="500"/>
        <w:rPr>
          <w:bCs/>
          <w:sz w:val="24"/>
        </w:rPr>
      </w:pPr>
      <w:r>
        <w:rPr>
          <w:bCs/>
          <w:sz w:val="24"/>
        </w:rPr>
        <w:t>t—时间，（T）；</w:t>
      </w:r>
    </w:p>
    <w:p>
      <w:pPr>
        <w:spacing w:line="500" w:lineRule="exact"/>
        <w:ind w:firstLine="1200" w:firstLineChars="500"/>
        <w:rPr>
          <w:bCs/>
          <w:sz w:val="24"/>
        </w:rPr>
      </w:pPr>
      <w:r>
        <w:rPr>
          <w:bCs/>
          <w:sz w:val="24"/>
        </w:rPr>
        <w:t>D</w:t>
      </w:r>
      <w:r>
        <w:rPr>
          <w:bCs/>
          <w:sz w:val="24"/>
          <w:vertAlign w:val="subscript"/>
        </w:rPr>
        <w:t>xx</w:t>
      </w:r>
      <w:r>
        <w:rPr>
          <w:bCs/>
          <w:sz w:val="24"/>
        </w:rPr>
        <w:t>、D</w:t>
      </w:r>
      <w:r>
        <w:rPr>
          <w:bCs/>
          <w:sz w:val="24"/>
          <w:vertAlign w:val="subscript"/>
        </w:rPr>
        <w:t>yy</w:t>
      </w:r>
      <w:r>
        <w:rPr>
          <w:bCs/>
          <w:sz w:val="24"/>
        </w:rPr>
        <w:t>—x、y方向的水动力弥散系数张量，（L</w:t>
      </w:r>
      <w:r>
        <w:rPr>
          <w:bCs/>
          <w:sz w:val="24"/>
          <w:vertAlign w:val="superscript"/>
        </w:rPr>
        <w:t>2</w:t>
      </w:r>
      <w:r>
        <w:rPr>
          <w:bCs/>
          <w:sz w:val="24"/>
        </w:rPr>
        <w:t>T</w:t>
      </w:r>
      <w:r>
        <w:rPr>
          <w:bCs/>
          <w:sz w:val="24"/>
          <w:vertAlign w:val="superscript"/>
        </w:rPr>
        <w:t>-1</w:t>
      </w:r>
      <w:r>
        <w:rPr>
          <w:bCs/>
          <w:sz w:val="24"/>
        </w:rPr>
        <w:t>）；</w:t>
      </w:r>
    </w:p>
    <w:p>
      <w:pPr>
        <w:spacing w:line="500" w:lineRule="exact"/>
        <w:ind w:firstLine="1200" w:firstLineChars="500"/>
        <w:rPr>
          <w:bCs/>
          <w:sz w:val="24"/>
        </w:rPr>
      </w:pPr>
      <w:r>
        <w:rPr>
          <w:bCs/>
          <w:sz w:val="24"/>
        </w:rPr>
        <w:t>Ω—溶质渗流区域；</w:t>
      </w:r>
    </w:p>
    <w:p>
      <w:pPr>
        <w:spacing w:line="500" w:lineRule="exact"/>
        <w:ind w:firstLine="1200" w:firstLineChars="500"/>
        <w:rPr>
          <w:bCs/>
          <w:sz w:val="24"/>
        </w:rPr>
      </w:pPr>
      <w:r>
        <w:rPr>
          <w:bCs/>
          <w:sz w:val="24"/>
        </w:rPr>
        <w:t>f—吸附作用产生的溶质增量，（MT</w:t>
      </w:r>
      <w:r>
        <w:rPr>
          <w:bCs/>
          <w:sz w:val="24"/>
          <w:vertAlign w:val="superscript"/>
        </w:rPr>
        <w:t>-1</w:t>
      </w:r>
      <w:r>
        <w:rPr>
          <w:bCs/>
          <w:sz w:val="24"/>
        </w:rPr>
        <w:t>）；</w:t>
      </w:r>
    </w:p>
    <w:p>
      <w:pPr>
        <w:spacing w:line="500" w:lineRule="exact"/>
        <w:ind w:firstLine="1200" w:firstLineChars="500"/>
        <w:rPr>
          <w:bCs/>
          <w:sz w:val="24"/>
        </w:rPr>
      </w:pPr>
      <w:r>
        <w:rPr>
          <w:bCs/>
          <w:sz w:val="24"/>
        </w:rPr>
        <w:fldChar w:fldCharType="begin"/>
      </w:r>
      <w:r>
        <w:rPr>
          <w:bCs/>
          <w:sz w:val="24"/>
        </w:rPr>
        <w:instrText xml:space="preserve"> QUOTE </w:instrText>
      </w:r>
      <w:r>
        <w:rPr>
          <w:bCs/>
          <w:sz w:val="24"/>
        </w:rPr>
        <w:drawing>
          <wp:inline distT="0" distB="0" distL="114300" distR="114300">
            <wp:extent cx="133350" cy="180975"/>
            <wp:effectExtent l="0" t="0" r="0" b="9525"/>
            <wp:docPr id="1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7"/>
                    <pic:cNvPicPr>
                      <a:picLocks noChangeAspect="1"/>
                    </pic:cNvPicPr>
                  </pic:nvPicPr>
                  <pic:blipFill>
                    <a:blip r:embed="rId84" cstate="print"/>
                    <a:stretch>
                      <a:fillRect/>
                    </a:stretch>
                  </pic:blipFill>
                  <pic:spPr>
                    <a:xfrm>
                      <a:off x="0" y="0"/>
                      <a:ext cx="133350" cy="180975"/>
                    </a:xfrm>
                    <a:prstGeom prst="rect">
                      <a:avLst/>
                    </a:prstGeom>
                    <a:noFill/>
                    <a:ln w="9525">
                      <a:noFill/>
                    </a:ln>
                  </pic:spPr>
                </pic:pic>
              </a:graphicData>
            </a:graphic>
          </wp:inline>
        </w:drawing>
      </w:r>
      <w:r>
        <w:rPr>
          <w:bCs/>
          <w:sz w:val="24"/>
        </w:rPr>
        <w:instrText xml:space="preserve">  \* MERGEFORMAT </w:instrText>
      </w:r>
      <w:r>
        <w:rPr>
          <w:bCs/>
          <w:sz w:val="24"/>
        </w:rPr>
        <w:fldChar w:fldCharType="separate"/>
      </w:r>
      <w:r>
        <w:rPr>
          <w:bCs/>
          <w:sz w:val="24"/>
        </w:rPr>
        <w:drawing>
          <wp:inline distT="0" distB="0" distL="114300" distR="114300">
            <wp:extent cx="133350" cy="180975"/>
            <wp:effectExtent l="0" t="0" r="0" b="9525"/>
            <wp:docPr id="1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8"/>
                    <pic:cNvPicPr>
                      <a:picLocks noChangeAspect="1"/>
                    </pic:cNvPicPr>
                  </pic:nvPicPr>
                  <pic:blipFill>
                    <a:blip r:embed="rId84" cstate="print"/>
                    <a:stretch>
                      <a:fillRect/>
                    </a:stretch>
                  </pic:blipFill>
                  <pic:spPr>
                    <a:xfrm>
                      <a:off x="0" y="0"/>
                      <a:ext cx="133350" cy="180975"/>
                    </a:xfrm>
                    <a:prstGeom prst="rect">
                      <a:avLst/>
                    </a:prstGeom>
                    <a:noFill/>
                    <a:ln w="9525">
                      <a:noFill/>
                    </a:ln>
                  </pic:spPr>
                </pic:pic>
              </a:graphicData>
            </a:graphic>
          </wp:inline>
        </w:drawing>
      </w:r>
      <w:r>
        <w:rPr>
          <w:bCs/>
          <w:sz w:val="24"/>
        </w:rPr>
        <w:fldChar w:fldCharType="end"/>
      </w:r>
      <w:r>
        <w:rPr>
          <w:bCs/>
          <w:sz w:val="24"/>
        </w:rPr>
        <w:t>—第二类边界；</w:t>
      </w:r>
    </w:p>
    <w:p>
      <w:pPr>
        <w:spacing w:line="500" w:lineRule="exact"/>
        <w:ind w:firstLine="1200" w:firstLineChars="500"/>
        <w:rPr>
          <w:bCs/>
          <w:sz w:val="24"/>
        </w:rPr>
      </w:pPr>
      <w:r>
        <w:rPr>
          <w:bCs/>
          <w:sz w:val="24"/>
        </w:rPr>
        <w:fldChar w:fldCharType="begin"/>
      </w:r>
      <w:r>
        <w:rPr>
          <w:bCs/>
          <w:sz w:val="24"/>
        </w:rPr>
        <w:instrText xml:space="preserve"> QUOTE </w:instrText>
      </w:r>
      <w:r>
        <w:rPr>
          <w:bCs/>
          <w:sz w:val="24"/>
        </w:rPr>
        <w:drawing>
          <wp:inline distT="0" distB="0" distL="114300" distR="114300">
            <wp:extent cx="104775" cy="180975"/>
            <wp:effectExtent l="0" t="0" r="9525" b="9525"/>
            <wp:docPr id="1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
                    <pic:cNvPicPr>
                      <a:picLocks noChangeAspect="1"/>
                    </pic:cNvPicPr>
                  </pic:nvPicPr>
                  <pic:blipFill>
                    <a:blip r:embed="rId85" cstate="print"/>
                    <a:stretch>
                      <a:fillRect/>
                    </a:stretch>
                  </pic:blipFill>
                  <pic:spPr>
                    <a:xfrm>
                      <a:off x="0" y="0"/>
                      <a:ext cx="104775" cy="180975"/>
                    </a:xfrm>
                    <a:prstGeom prst="rect">
                      <a:avLst/>
                    </a:prstGeom>
                    <a:noFill/>
                    <a:ln w="9525">
                      <a:noFill/>
                    </a:ln>
                  </pic:spPr>
                </pic:pic>
              </a:graphicData>
            </a:graphic>
          </wp:inline>
        </w:drawing>
      </w:r>
      <w:r>
        <w:rPr>
          <w:bCs/>
          <w:sz w:val="24"/>
        </w:rPr>
        <w:instrText xml:space="preserve">  \* MERGEFORMAT </w:instrText>
      </w:r>
      <w:r>
        <w:rPr>
          <w:bCs/>
          <w:sz w:val="24"/>
        </w:rPr>
        <w:fldChar w:fldCharType="separate"/>
      </w:r>
      <w:r>
        <w:rPr>
          <w:bCs/>
          <w:sz w:val="24"/>
        </w:rPr>
        <w:drawing>
          <wp:inline distT="0" distB="0" distL="114300" distR="114300">
            <wp:extent cx="104775" cy="180975"/>
            <wp:effectExtent l="0" t="0" r="9525" b="9525"/>
            <wp:docPr id="1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0"/>
                    <pic:cNvPicPr>
                      <a:picLocks noChangeAspect="1"/>
                    </pic:cNvPicPr>
                  </pic:nvPicPr>
                  <pic:blipFill>
                    <a:blip r:embed="rId85" cstate="print"/>
                    <a:stretch>
                      <a:fillRect/>
                    </a:stretch>
                  </pic:blipFill>
                  <pic:spPr>
                    <a:xfrm>
                      <a:off x="0" y="0"/>
                      <a:ext cx="104775" cy="180975"/>
                    </a:xfrm>
                    <a:prstGeom prst="rect">
                      <a:avLst/>
                    </a:prstGeom>
                    <a:noFill/>
                    <a:ln w="9525">
                      <a:noFill/>
                    </a:ln>
                  </pic:spPr>
                </pic:pic>
              </a:graphicData>
            </a:graphic>
          </wp:inline>
        </w:drawing>
      </w:r>
      <w:r>
        <w:rPr>
          <w:bCs/>
          <w:sz w:val="24"/>
        </w:rPr>
        <w:fldChar w:fldCharType="end"/>
      </w:r>
      <w:r>
        <w:rPr>
          <w:bCs/>
          <w:sz w:val="24"/>
        </w:rPr>
        <w:t>—边界溶质通量，（MT</w:t>
      </w:r>
      <w:r>
        <w:rPr>
          <w:bCs/>
          <w:sz w:val="24"/>
          <w:vertAlign w:val="superscript"/>
        </w:rPr>
        <w:t>-1</w:t>
      </w:r>
      <w:r>
        <w:rPr>
          <w:bCs/>
          <w:sz w:val="24"/>
        </w:rPr>
        <w:t>）；</w:t>
      </w:r>
    </w:p>
    <w:p>
      <w:pPr>
        <w:spacing w:line="500" w:lineRule="exact"/>
        <w:ind w:firstLine="1200" w:firstLineChars="500"/>
        <w:rPr>
          <w:bCs/>
          <w:sz w:val="24"/>
        </w:rPr>
      </w:pPr>
      <w:r>
        <w:rPr>
          <w:bCs/>
          <w:sz w:val="24"/>
        </w:rPr>
        <w:fldChar w:fldCharType="begin"/>
      </w:r>
      <w:r>
        <w:rPr>
          <w:bCs/>
          <w:sz w:val="24"/>
        </w:rPr>
        <w:instrText xml:space="preserve"> QUOTE </w:instrText>
      </w:r>
      <w:r>
        <w:rPr>
          <w:bCs/>
          <w:sz w:val="24"/>
        </w:rPr>
        <w:drawing>
          <wp:inline distT="0" distB="0" distL="114300" distR="114300">
            <wp:extent cx="85725" cy="180975"/>
            <wp:effectExtent l="0" t="0" r="9525" b="9525"/>
            <wp:docPr id="1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1"/>
                    <pic:cNvPicPr>
                      <a:picLocks noChangeAspect="1"/>
                    </pic:cNvPicPr>
                  </pic:nvPicPr>
                  <pic:blipFill>
                    <a:blip r:embed="rId86" cstate="print"/>
                    <a:stretch>
                      <a:fillRect/>
                    </a:stretch>
                  </pic:blipFill>
                  <pic:spPr>
                    <a:xfrm>
                      <a:off x="0" y="0"/>
                      <a:ext cx="85725" cy="180975"/>
                    </a:xfrm>
                    <a:prstGeom prst="rect">
                      <a:avLst/>
                    </a:prstGeom>
                    <a:noFill/>
                    <a:ln w="9525">
                      <a:noFill/>
                    </a:ln>
                  </pic:spPr>
                </pic:pic>
              </a:graphicData>
            </a:graphic>
          </wp:inline>
        </w:drawing>
      </w:r>
      <w:r>
        <w:rPr>
          <w:bCs/>
          <w:sz w:val="24"/>
        </w:rPr>
        <w:instrText xml:space="preserve">  \* MERGEFORMAT </w:instrText>
      </w:r>
      <w:r>
        <w:rPr>
          <w:bCs/>
          <w:sz w:val="24"/>
        </w:rPr>
        <w:fldChar w:fldCharType="separate"/>
      </w:r>
      <w:r>
        <w:rPr>
          <w:bCs/>
          <w:sz w:val="24"/>
        </w:rPr>
        <w:drawing>
          <wp:inline distT="0" distB="0" distL="114300" distR="114300">
            <wp:extent cx="85725" cy="180975"/>
            <wp:effectExtent l="0" t="0" r="9525" b="9525"/>
            <wp:docPr id="1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2"/>
                    <pic:cNvPicPr>
                      <a:picLocks noChangeAspect="1"/>
                    </pic:cNvPicPr>
                  </pic:nvPicPr>
                  <pic:blipFill>
                    <a:blip r:embed="rId86" cstate="print"/>
                    <a:stretch>
                      <a:fillRect/>
                    </a:stretch>
                  </pic:blipFill>
                  <pic:spPr>
                    <a:xfrm>
                      <a:off x="0" y="0"/>
                      <a:ext cx="85725" cy="180975"/>
                    </a:xfrm>
                    <a:prstGeom prst="rect">
                      <a:avLst/>
                    </a:prstGeom>
                    <a:noFill/>
                    <a:ln w="9525">
                      <a:noFill/>
                    </a:ln>
                  </pic:spPr>
                </pic:pic>
              </a:graphicData>
            </a:graphic>
          </wp:inline>
        </w:drawing>
      </w:r>
      <w:r>
        <w:rPr>
          <w:bCs/>
          <w:sz w:val="24"/>
        </w:rPr>
        <w:fldChar w:fldCharType="end"/>
      </w:r>
      <w:r>
        <w:rPr>
          <w:bCs/>
          <w:sz w:val="24"/>
        </w:rPr>
        <w:t>—渗流速度，（LT</w:t>
      </w:r>
      <w:r>
        <w:rPr>
          <w:bCs/>
          <w:sz w:val="24"/>
          <w:vertAlign w:val="superscript"/>
        </w:rPr>
        <w:t>-1</w:t>
      </w:r>
      <w:r>
        <w:rPr>
          <w:bCs/>
          <w:sz w:val="24"/>
        </w:rPr>
        <w:t>）；</w:t>
      </w:r>
    </w:p>
    <w:p>
      <w:pPr>
        <w:spacing w:line="500" w:lineRule="exact"/>
        <w:ind w:firstLine="1200" w:firstLineChars="500"/>
        <w:rPr>
          <w:bCs/>
          <w:sz w:val="24"/>
        </w:rPr>
      </w:pPr>
      <w:r>
        <w:rPr>
          <w:bCs/>
          <w:sz w:val="24"/>
        </w:rPr>
        <w:t>c</w:t>
      </w:r>
      <w:r>
        <w:rPr>
          <w:bCs/>
          <w:sz w:val="24"/>
          <w:vertAlign w:val="subscript"/>
        </w:rPr>
        <w:t>0</w:t>
      </w:r>
      <w:r>
        <w:rPr>
          <w:bCs/>
          <w:sz w:val="24"/>
        </w:rPr>
        <w:t>—初始浓度，（ML</w:t>
      </w:r>
      <w:r>
        <w:rPr>
          <w:bCs/>
          <w:sz w:val="24"/>
          <w:vertAlign w:val="superscript"/>
        </w:rPr>
        <w:t>-3</w:t>
      </w:r>
      <w:r>
        <w:rPr>
          <w:bCs/>
          <w:sz w:val="24"/>
        </w:rPr>
        <w:t>）；</w:t>
      </w:r>
    </w:p>
    <w:p>
      <w:pPr>
        <w:spacing w:line="500" w:lineRule="exact"/>
        <w:ind w:firstLine="1200" w:firstLineChars="500"/>
        <w:rPr>
          <w:bCs/>
          <w:sz w:val="24"/>
        </w:rPr>
      </w:pPr>
      <w:r>
        <w:rPr>
          <w:bCs/>
          <w:sz w:val="24"/>
        </w:rPr>
        <w:fldChar w:fldCharType="begin"/>
      </w:r>
      <w:r>
        <w:rPr>
          <w:bCs/>
          <w:sz w:val="24"/>
        </w:rPr>
        <w:instrText xml:space="preserve"> QUOTE </w:instrText>
      </w:r>
      <w:r>
        <w:rPr>
          <w:bCs/>
          <w:sz w:val="24"/>
        </w:rPr>
        <w:drawing>
          <wp:inline distT="0" distB="0" distL="114300" distR="114300">
            <wp:extent cx="85725" cy="180975"/>
            <wp:effectExtent l="0" t="0" r="9525" b="9525"/>
            <wp:docPr id="1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3"/>
                    <pic:cNvPicPr>
                      <a:picLocks noChangeAspect="1"/>
                    </pic:cNvPicPr>
                  </pic:nvPicPr>
                  <pic:blipFill>
                    <a:blip r:embed="rId82" cstate="print"/>
                    <a:stretch>
                      <a:fillRect/>
                    </a:stretch>
                  </pic:blipFill>
                  <pic:spPr>
                    <a:xfrm>
                      <a:off x="0" y="0"/>
                      <a:ext cx="85725" cy="180975"/>
                    </a:xfrm>
                    <a:prstGeom prst="rect">
                      <a:avLst/>
                    </a:prstGeom>
                    <a:noFill/>
                    <a:ln w="9525">
                      <a:noFill/>
                    </a:ln>
                  </pic:spPr>
                </pic:pic>
              </a:graphicData>
            </a:graphic>
          </wp:inline>
        </w:drawing>
      </w:r>
      <w:r>
        <w:rPr>
          <w:bCs/>
          <w:sz w:val="24"/>
        </w:rPr>
        <w:instrText xml:space="preserve">  \* MERGEFORMAT </w:instrText>
      </w:r>
      <w:r>
        <w:rPr>
          <w:bCs/>
          <w:sz w:val="24"/>
        </w:rPr>
        <w:fldChar w:fldCharType="separate"/>
      </w:r>
      <w:r>
        <w:rPr>
          <w:bCs/>
          <w:sz w:val="24"/>
        </w:rPr>
        <w:drawing>
          <wp:inline distT="0" distB="0" distL="114300" distR="114300">
            <wp:extent cx="85725" cy="180975"/>
            <wp:effectExtent l="0" t="0" r="9525" b="9525"/>
            <wp:docPr id="1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4"/>
                    <pic:cNvPicPr>
                      <a:picLocks noChangeAspect="1"/>
                    </pic:cNvPicPr>
                  </pic:nvPicPr>
                  <pic:blipFill>
                    <a:blip r:embed="rId82" cstate="print"/>
                    <a:stretch>
                      <a:fillRect/>
                    </a:stretch>
                  </pic:blipFill>
                  <pic:spPr>
                    <a:xfrm>
                      <a:off x="0" y="0"/>
                      <a:ext cx="85725" cy="180975"/>
                    </a:xfrm>
                    <a:prstGeom prst="rect">
                      <a:avLst/>
                    </a:prstGeom>
                    <a:noFill/>
                    <a:ln w="9525">
                      <a:noFill/>
                    </a:ln>
                  </pic:spPr>
                </pic:pic>
              </a:graphicData>
            </a:graphic>
          </wp:inline>
        </w:drawing>
      </w:r>
      <w:r>
        <w:rPr>
          <w:bCs/>
          <w:sz w:val="24"/>
        </w:rPr>
        <w:fldChar w:fldCharType="end"/>
      </w:r>
      <w:r>
        <w:rPr>
          <w:bCs/>
          <w:sz w:val="24"/>
        </w:rPr>
        <w:t>—第二类边界外法线方向；</w:t>
      </w:r>
    </w:p>
    <w:p>
      <w:pPr>
        <w:spacing w:line="500" w:lineRule="exact"/>
        <w:ind w:firstLine="1200" w:firstLineChars="500"/>
        <w:rPr>
          <w:bCs/>
          <w:sz w:val="24"/>
        </w:rPr>
      </w:pPr>
      <w:r>
        <w:rPr>
          <w:bCs/>
          <w:sz w:val="24"/>
        </w:rPr>
        <w:t>gradc—浓度梯度。</w:t>
      </w:r>
    </w:p>
    <w:p>
      <w:pPr>
        <w:autoSpaceDE w:val="0"/>
        <w:autoSpaceDN w:val="0"/>
        <w:adjustRightInd w:val="0"/>
        <w:spacing w:line="500" w:lineRule="exact"/>
        <w:ind w:firstLine="480" w:firstLineChars="200"/>
        <w:rPr>
          <w:sz w:val="24"/>
        </w:rPr>
      </w:pPr>
      <w:r>
        <w:rPr>
          <w:sz w:val="24"/>
        </w:rPr>
        <w:t>地下水水流数学模型和溶质运移数学模型联合求解即可得到污染质时空的运移特征。</w:t>
      </w:r>
    </w:p>
    <w:p>
      <w:pPr>
        <w:autoSpaceDE w:val="0"/>
        <w:autoSpaceDN w:val="0"/>
        <w:adjustRightInd w:val="0"/>
        <w:spacing w:line="500" w:lineRule="exact"/>
        <w:ind w:firstLine="480" w:firstLineChars="200"/>
        <w:rPr>
          <w:sz w:val="24"/>
        </w:rPr>
      </w:pPr>
      <w:r>
        <w:rPr>
          <w:sz w:val="24"/>
        </w:rPr>
        <w:t>（5）边界条件</w:t>
      </w:r>
    </w:p>
    <w:p>
      <w:pPr>
        <w:autoSpaceDE w:val="0"/>
        <w:autoSpaceDN w:val="0"/>
        <w:adjustRightInd w:val="0"/>
        <w:spacing w:line="500" w:lineRule="exact"/>
        <w:ind w:firstLine="480" w:firstLineChars="200"/>
        <w:rPr>
          <w:sz w:val="24"/>
        </w:rPr>
      </w:pPr>
      <w:r>
        <w:rPr>
          <w:sz w:val="24"/>
        </w:rPr>
        <w:t>a</w:t>
      </w:r>
      <w:r>
        <w:rPr>
          <w:rFonts w:hint="eastAsia"/>
          <w:sz w:val="24"/>
        </w:rPr>
        <w:t>.</w:t>
      </w:r>
      <w:r>
        <w:rPr>
          <w:sz w:val="24"/>
        </w:rPr>
        <w:t>顶、底部边界</w:t>
      </w:r>
    </w:p>
    <w:p>
      <w:pPr>
        <w:autoSpaceDE w:val="0"/>
        <w:autoSpaceDN w:val="0"/>
        <w:adjustRightInd w:val="0"/>
        <w:spacing w:line="500" w:lineRule="exact"/>
        <w:ind w:firstLine="480" w:firstLineChars="200"/>
        <w:rPr>
          <w:sz w:val="24"/>
        </w:rPr>
      </w:pPr>
      <w:r>
        <w:rPr>
          <w:sz w:val="24"/>
        </w:rPr>
        <w:t>目标含水层自由水面为系统的上边界，通过该边界在裸露区与系统外发生垂向水量交换，如接受大气降水入渗补给等，根据已有的研究成果，取降雨入渗系数为0.2。下部奥陶系峰峰组富水性较差，可视为隔水边界。</w:t>
      </w:r>
    </w:p>
    <w:p>
      <w:pPr>
        <w:autoSpaceDE w:val="0"/>
        <w:autoSpaceDN w:val="0"/>
        <w:adjustRightInd w:val="0"/>
        <w:spacing w:line="500" w:lineRule="exact"/>
        <w:ind w:firstLine="480" w:firstLineChars="200"/>
        <w:rPr>
          <w:sz w:val="24"/>
        </w:rPr>
      </w:pPr>
      <w:r>
        <w:rPr>
          <w:sz w:val="24"/>
        </w:rPr>
        <w:t>b</w:t>
      </w:r>
      <w:r>
        <w:rPr>
          <w:rFonts w:hint="eastAsia"/>
          <w:sz w:val="24"/>
        </w:rPr>
        <w:t>.</w:t>
      </w:r>
      <w:r>
        <w:rPr>
          <w:sz w:val="24"/>
        </w:rPr>
        <w:t>侧向边界</w:t>
      </w:r>
    </w:p>
    <w:p>
      <w:pPr>
        <w:autoSpaceDE w:val="0"/>
        <w:autoSpaceDN w:val="0"/>
        <w:adjustRightInd w:val="0"/>
        <w:spacing w:line="500" w:lineRule="exact"/>
        <w:ind w:firstLine="480" w:firstLineChars="200"/>
        <w:rPr>
          <w:sz w:val="24"/>
        </w:rPr>
      </w:pPr>
      <w:r>
        <w:rPr>
          <w:bCs/>
          <w:sz w:val="24"/>
        </w:rPr>
        <w:t>南部边界</w:t>
      </w:r>
      <w:r>
        <w:rPr>
          <w:sz w:val="24"/>
        </w:rPr>
        <w:t>平行于640m等水位线</w:t>
      </w:r>
      <w:r>
        <w:rPr>
          <w:bCs/>
          <w:sz w:val="24"/>
        </w:rPr>
        <w:t>，概化为补给边界；北部边界</w:t>
      </w:r>
      <w:r>
        <w:rPr>
          <w:sz w:val="24"/>
        </w:rPr>
        <w:t>平行于636m等水位线</w:t>
      </w:r>
      <w:r>
        <w:rPr>
          <w:bCs/>
          <w:sz w:val="24"/>
        </w:rPr>
        <w:t>，概化为排泄边界；西部、东部边界垂直地下水等水位线，概化为隔水边界。</w:t>
      </w:r>
    </w:p>
    <w:p>
      <w:pPr>
        <w:autoSpaceDE w:val="0"/>
        <w:autoSpaceDN w:val="0"/>
        <w:adjustRightInd w:val="0"/>
        <w:spacing w:line="500" w:lineRule="exact"/>
        <w:ind w:firstLine="480" w:firstLineChars="200"/>
        <w:rPr>
          <w:sz w:val="24"/>
        </w:rPr>
      </w:pPr>
      <w:r>
        <w:rPr>
          <w:sz w:val="24"/>
        </w:rPr>
        <w:t>侧向补给及排泄项由下式计算：</w:t>
      </w:r>
    </w:p>
    <w:p>
      <w:pPr>
        <w:autoSpaceDE w:val="0"/>
        <w:autoSpaceDN w:val="0"/>
        <w:adjustRightInd w:val="0"/>
        <w:spacing w:line="500" w:lineRule="exact"/>
        <w:jc w:val="center"/>
        <w:rPr>
          <w:sz w:val="24"/>
        </w:rPr>
      </w:pPr>
      <w:r>
        <w:rPr>
          <w:sz w:val="24"/>
        </w:rPr>
        <w:t>Q=K×D×M×I</w:t>
      </w:r>
    </w:p>
    <w:p>
      <w:pPr>
        <w:spacing w:line="500" w:lineRule="exact"/>
        <w:ind w:firstLine="480" w:firstLineChars="200"/>
        <w:rPr>
          <w:sz w:val="24"/>
        </w:rPr>
      </w:pPr>
      <w:r>
        <w:rPr>
          <w:sz w:val="24"/>
        </w:rPr>
        <w:t>式中：Q—侧向补给/排泄量（m</w:t>
      </w:r>
      <w:r>
        <w:rPr>
          <w:sz w:val="24"/>
          <w:vertAlign w:val="superscript"/>
        </w:rPr>
        <w:t>3</w:t>
      </w:r>
      <w:r>
        <w:rPr>
          <w:sz w:val="24"/>
        </w:rPr>
        <w:t>/d）；</w:t>
      </w:r>
    </w:p>
    <w:p>
      <w:pPr>
        <w:spacing w:line="500" w:lineRule="exact"/>
        <w:ind w:left="460" w:leftChars="219"/>
        <w:rPr>
          <w:sz w:val="24"/>
        </w:rPr>
      </w:pPr>
      <w:r>
        <w:rPr>
          <w:sz w:val="24"/>
        </w:rPr>
        <w:t xml:space="preserve">      K—渗透系数（m/d），取5.29×10</w:t>
      </w:r>
      <w:r>
        <w:rPr>
          <w:sz w:val="24"/>
          <w:vertAlign w:val="superscript"/>
        </w:rPr>
        <w:t>-4</w:t>
      </w:r>
      <w:r>
        <w:rPr>
          <w:sz w:val="24"/>
        </w:rPr>
        <w:t>cm/s；</w:t>
      </w:r>
    </w:p>
    <w:p>
      <w:pPr>
        <w:spacing w:line="500" w:lineRule="exact"/>
        <w:ind w:firstLine="460" w:firstLineChars="192"/>
        <w:rPr>
          <w:sz w:val="24"/>
        </w:rPr>
      </w:pPr>
      <w:r>
        <w:rPr>
          <w:sz w:val="24"/>
        </w:rPr>
        <w:t xml:space="preserve">      D—剖面宽度（m）；</w:t>
      </w:r>
    </w:p>
    <w:p>
      <w:pPr>
        <w:spacing w:line="500" w:lineRule="exact"/>
        <w:ind w:firstLine="460" w:firstLineChars="192"/>
        <w:rPr>
          <w:sz w:val="24"/>
        </w:rPr>
      </w:pPr>
      <w:r>
        <w:rPr>
          <w:sz w:val="24"/>
        </w:rPr>
        <w:t xml:space="preserve">      M—含水层厚度（m），取285m。</w:t>
      </w:r>
    </w:p>
    <w:p>
      <w:pPr>
        <w:autoSpaceDE w:val="0"/>
        <w:autoSpaceDN w:val="0"/>
        <w:adjustRightInd w:val="0"/>
        <w:spacing w:line="500" w:lineRule="exact"/>
        <w:ind w:firstLine="480" w:firstLineChars="200"/>
        <w:jc w:val="left"/>
        <w:rPr>
          <w:kern w:val="0"/>
          <w:sz w:val="24"/>
        </w:rPr>
      </w:pPr>
      <w:r>
        <w:rPr>
          <w:sz w:val="24"/>
        </w:rPr>
        <w:t xml:space="preserve">      I—垂直于剖面的水力坡度（%）。</w:t>
      </w:r>
    </w:p>
    <w:p>
      <w:pPr>
        <w:autoSpaceDE w:val="0"/>
        <w:autoSpaceDN w:val="0"/>
        <w:adjustRightInd w:val="0"/>
        <w:spacing w:line="360" w:lineRule="auto"/>
        <w:jc w:val="center"/>
        <w:rPr>
          <w:b/>
          <w:sz w:val="24"/>
        </w:rPr>
      </w:pPr>
      <w:r>
        <w:rPr>
          <w:b/>
          <w:sz w:val="24"/>
        </w:rPr>
        <w:drawing>
          <wp:inline distT="0" distB="0" distL="114300" distR="114300">
            <wp:extent cx="4699000" cy="5255895"/>
            <wp:effectExtent l="0" t="0" r="6350" b="1905"/>
            <wp:docPr id="141" name="图片 35" descr="bianj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5" descr="bianjie"/>
                    <pic:cNvPicPr>
                      <a:picLocks noChangeAspect="1"/>
                    </pic:cNvPicPr>
                  </pic:nvPicPr>
                  <pic:blipFill>
                    <a:blip r:embed="rId87" cstate="print"/>
                    <a:stretch>
                      <a:fillRect/>
                    </a:stretch>
                  </pic:blipFill>
                  <pic:spPr>
                    <a:xfrm>
                      <a:off x="0" y="0"/>
                      <a:ext cx="4699000" cy="5255895"/>
                    </a:xfrm>
                    <a:prstGeom prst="rect">
                      <a:avLst/>
                    </a:prstGeom>
                    <a:noFill/>
                    <a:ln w="9525">
                      <a:noFill/>
                    </a:ln>
                  </pic:spPr>
                </pic:pic>
              </a:graphicData>
            </a:graphic>
          </wp:inline>
        </w:drawing>
      </w:r>
    </w:p>
    <w:p>
      <w:pPr>
        <w:autoSpaceDE w:val="0"/>
        <w:autoSpaceDN w:val="0"/>
        <w:adjustRightInd w:val="0"/>
        <w:spacing w:line="360" w:lineRule="auto"/>
        <w:jc w:val="center"/>
        <w:rPr>
          <w:b/>
          <w:szCs w:val="21"/>
        </w:rPr>
      </w:pPr>
      <w:r>
        <w:rPr>
          <w:b/>
          <w:szCs w:val="21"/>
        </w:rPr>
        <w:t xml:space="preserve"> 模拟区域平面剖分示意图</w:t>
      </w:r>
    </w:p>
    <w:p>
      <w:pPr>
        <w:spacing w:line="500" w:lineRule="exact"/>
        <w:ind w:firstLine="480" w:firstLineChars="200"/>
        <w:rPr>
          <w:sz w:val="24"/>
        </w:rPr>
      </w:pPr>
      <w:r>
        <w:rPr>
          <w:sz w:val="24"/>
        </w:rPr>
        <w:t>（6）源汇项处理</w:t>
      </w:r>
    </w:p>
    <w:p>
      <w:pPr>
        <w:autoSpaceDE w:val="0"/>
        <w:autoSpaceDN w:val="0"/>
        <w:adjustRightInd w:val="0"/>
        <w:spacing w:line="500" w:lineRule="exact"/>
        <w:ind w:firstLine="480" w:firstLineChars="200"/>
        <w:rPr>
          <w:sz w:val="24"/>
        </w:rPr>
      </w:pPr>
      <w:r>
        <w:rPr>
          <w:sz w:val="24"/>
        </w:rPr>
        <w:t>a</w:t>
      </w:r>
      <w:r>
        <w:rPr>
          <w:rFonts w:hint="eastAsia"/>
          <w:sz w:val="24"/>
        </w:rPr>
        <w:t>.</w:t>
      </w:r>
      <w:r>
        <w:rPr>
          <w:sz w:val="24"/>
        </w:rPr>
        <w:t>降雨入渗</w:t>
      </w:r>
    </w:p>
    <w:p>
      <w:pPr>
        <w:spacing w:line="500" w:lineRule="exact"/>
        <w:ind w:firstLine="480" w:firstLineChars="200"/>
        <w:rPr>
          <w:sz w:val="24"/>
        </w:rPr>
      </w:pPr>
      <w:r>
        <w:rPr>
          <w:sz w:val="24"/>
        </w:rPr>
        <w:t>大气降水入渗补给是目标含水层的主要补给来源之一，其入渗量与降水量、包气带岩性和厚度有关。降水入渗量计算公式为：</w:t>
      </w:r>
    </w:p>
    <w:p>
      <w:pPr>
        <w:spacing w:line="500" w:lineRule="exact"/>
        <w:jc w:val="center"/>
        <w:rPr>
          <w:sz w:val="24"/>
        </w:rPr>
      </w:pPr>
      <w:r>
        <w:rPr>
          <w:sz w:val="24"/>
        </w:rPr>
        <w:t>Q</w:t>
      </w:r>
      <w:r>
        <w:rPr>
          <w:sz w:val="24"/>
          <w:vertAlign w:val="subscript"/>
        </w:rPr>
        <w:t>降</w:t>
      </w:r>
      <w:r>
        <w:rPr>
          <w:sz w:val="24"/>
        </w:rPr>
        <w:t>=0.1∑α</w:t>
      </w:r>
      <w:r>
        <w:rPr>
          <w:sz w:val="24"/>
          <w:vertAlign w:val="subscript"/>
        </w:rPr>
        <w:t>i</w:t>
      </w:r>
      <w:r>
        <w:rPr>
          <w:sz w:val="24"/>
        </w:rPr>
        <w:t>P</w:t>
      </w:r>
      <w:r>
        <w:rPr>
          <w:sz w:val="24"/>
          <w:vertAlign w:val="subscript"/>
        </w:rPr>
        <w:t>i</w:t>
      </w:r>
      <w:r>
        <w:rPr>
          <w:sz w:val="24"/>
        </w:rPr>
        <w:t>A</w:t>
      </w:r>
      <w:r>
        <w:rPr>
          <w:sz w:val="24"/>
          <w:vertAlign w:val="subscript"/>
        </w:rPr>
        <w:t>i</w:t>
      </w:r>
    </w:p>
    <w:p>
      <w:pPr>
        <w:spacing w:line="500" w:lineRule="exact"/>
        <w:ind w:firstLine="480" w:firstLineChars="200"/>
        <w:rPr>
          <w:sz w:val="24"/>
        </w:rPr>
      </w:pPr>
      <w:r>
        <w:rPr>
          <w:sz w:val="24"/>
        </w:rPr>
        <w:t>式中：Q</w:t>
      </w:r>
      <w:r>
        <w:rPr>
          <w:sz w:val="24"/>
          <w:vertAlign w:val="subscript"/>
        </w:rPr>
        <w:t>降</w:t>
      </w:r>
      <w:r>
        <w:rPr>
          <w:sz w:val="24"/>
        </w:rPr>
        <w:t>—多年平均降水入渗补给（万m</w:t>
      </w:r>
      <w:r>
        <w:rPr>
          <w:sz w:val="24"/>
          <w:vertAlign w:val="superscript"/>
        </w:rPr>
        <w:t>3</w:t>
      </w:r>
      <w:r>
        <w:rPr>
          <w:sz w:val="24"/>
        </w:rPr>
        <w:t>/年）</w:t>
      </w:r>
    </w:p>
    <w:p>
      <w:pPr>
        <w:spacing w:line="500" w:lineRule="exact"/>
        <w:ind w:firstLine="480" w:firstLineChars="200"/>
        <w:rPr>
          <w:sz w:val="24"/>
        </w:rPr>
      </w:pPr>
      <w:r>
        <w:rPr>
          <w:sz w:val="24"/>
        </w:rPr>
        <w:t xml:space="preserve">      P—多年平均降雨量（mm/年） </w:t>
      </w:r>
    </w:p>
    <w:p>
      <w:pPr>
        <w:spacing w:line="500" w:lineRule="exact"/>
        <w:ind w:firstLine="480" w:firstLineChars="200"/>
        <w:rPr>
          <w:sz w:val="24"/>
        </w:rPr>
      </w:pPr>
      <w:r>
        <w:rPr>
          <w:sz w:val="24"/>
        </w:rPr>
        <w:t xml:space="preserve">      α—降水入渗系数</w:t>
      </w:r>
    </w:p>
    <w:p>
      <w:pPr>
        <w:spacing w:line="500" w:lineRule="exact"/>
        <w:ind w:firstLine="480" w:firstLineChars="200"/>
        <w:rPr>
          <w:sz w:val="24"/>
        </w:rPr>
      </w:pPr>
      <w:r>
        <w:rPr>
          <w:sz w:val="24"/>
        </w:rPr>
        <w:t xml:space="preserve">      A—计算区面积（km</w:t>
      </w:r>
      <w:r>
        <w:rPr>
          <w:sz w:val="24"/>
          <w:vertAlign w:val="superscript"/>
        </w:rPr>
        <w:t>2</w:t>
      </w:r>
      <w:r>
        <w:rPr>
          <w:sz w:val="24"/>
        </w:rPr>
        <w:t>）</w:t>
      </w:r>
    </w:p>
    <w:p>
      <w:pPr>
        <w:spacing w:line="480" w:lineRule="exact"/>
        <w:ind w:firstLine="480" w:firstLineChars="200"/>
        <w:rPr>
          <w:sz w:val="24"/>
        </w:rPr>
      </w:pPr>
      <w:r>
        <w:rPr>
          <w:sz w:val="24"/>
        </w:rPr>
        <w:t>MODFLOW水流模型中补给项的赋值单位为mm/yr，因可简化为q=1000∑α</w:t>
      </w:r>
      <w:r>
        <w:rPr>
          <w:sz w:val="24"/>
          <w:vertAlign w:val="subscript"/>
        </w:rPr>
        <w:t>i</w:t>
      </w:r>
      <w:r>
        <w:rPr>
          <w:sz w:val="24"/>
        </w:rPr>
        <w:t>P</w:t>
      </w:r>
      <w:r>
        <w:rPr>
          <w:sz w:val="24"/>
          <w:vertAlign w:val="subscript"/>
        </w:rPr>
        <w:t>i</w:t>
      </w:r>
      <w:r>
        <w:rPr>
          <w:sz w:val="24"/>
        </w:rPr>
        <w:t>/A，其中q为单位面积内多年平均降水入渗补给（mm/年）。P采用壶关县多年平均降雨量574.5mm。在模型计算大气降水入渗补给量时，采用RECHARGE（补给）模块来处理，将该补给量作用于活动单元。根据模拟区出露地层分布情况，降雨入渗系数取0.20。</w:t>
      </w:r>
    </w:p>
    <w:p>
      <w:pPr>
        <w:spacing w:line="480" w:lineRule="exact"/>
        <w:ind w:firstLine="480"/>
        <w:rPr>
          <w:sz w:val="24"/>
        </w:rPr>
      </w:pPr>
      <w:r>
        <w:rPr>
          <w:sz w:val="24"/>
        </w:rPr>
        <w:t>b</w:t>
      </w:r>
      <w:r>
        <w:rPr>
          <w:rFonts w:hint="eastAsia"/>
          <w:sz w:val="24"/>
        </w:rPr>
        <w:t>.</w:t>
      </w:r>
      <w:r>
        <w:rPr>
          <w:sz w:val="24"/>
        </w:rPr>
        <w:t>潜水蒸发排泄</w:t>
      </w:r>
    </w:p>
    <w:p>
      <w:pPr>
        <w:spacing w:line="480" w:lineRule="exact"/>
        <w:ind w:firstLine="460" w:firstLineChars="192"/>
        <w:rPr>
          <w:sz w:val="24"/>
        </w:rPr>
      </w:pPr>
      <w:r>
        <w:rPr>
          <w:sz w:val="24"/>
        </w:rPr>
        <w:t>蒸发排泄是模拟区地下水的主要排泄方式之一，根据壶关县气象局近二十多年的气象资料统计，年平均蒸发量2097.8mm/yr，根据地形地貌及气候特点，蒸发系数的取值采用以下公式计算各单元蒸发量：</w:t>
      </w:r>
    </w:p>
    <w:p>
      <w:pPr>
        <w:spacing w:line="480" w:lineRule="exact"/>
        <w:jc w:val="center"/>
        <w:rPr>
          <w:sz w:val="24"/>
        </w:rPr>
      </w:pPr>
      <w:r>
        <w:rPr>
          <w:sz w:val="24"/>
        </w:rPr>
        <w:t>E=E</w:t>
      </w:r>
      <w:r>
        <w:rPr>
          <w:sz w:val="24"/>
          <w:vertAlign w:val="subscript"/>
        </w:rPr>
        <w:t>0</w:t>
      </w:r>
      <w:r>
        <w:rPr>
          <w:sz w:val="24"/>
        </w:rPr>
        <w:t>×α</w:t>
      </w:r>
    </w:p>
    <w:p>
      <w:pPr>
        <w:spacing w:line="480" w:lineRule="exact"/>
        <w:jc w:val="center"/>
        <w:rPr>
          <w:sz w:val="24"/>
        </w:rPr>
      </w:pPr>
      <w:r>
        <w:rPr>
          <w:sz w:val="24"/>
        </w:rPr>
        <w:t>Q</w:t>
      </w:r>
      <w:r>
        <w:rPr>
          <w:sz w:val="24"/>
          <w:vertAlign w:val="subscript"/>
        </w:rPr>
        <w:t>蒸</w:t>
      </w:r>
      <w:r>
        <w:rPr>
          <w:sz w:val="24"/>
        </w:rPr>
        <w:t>=E（1-S/△s）</w:t>
      </w:r>
      <w:r>
        <w:rPr>
          <w:sz w:val="24"/>
          <w:vertAlign w:val="superscript"/>
        </w:rPr>
        <w:t>n</w:t>
      </w:r>
      <w:r>
        <w:rPr>
          <w:sz w:val="24"/>
        </w:rPr>
        <w:t>A  （S&lt;△s）</w:t>
      </w:r>
    </w:p>
    <w:p>
      <w:pPr>
        <w:spacing w:line="480" w:lineRule="exact"/>
        <w:rPr>
          <w:sz w:val="24"/>
        </w:rPr>
      </w:pPr>
      <w:r>
        <w:rPr>
          <w:sz w:val="24"/>
        </w:rPr>
        <w:t>式中：Q</w:t>
      </w:r>
      <w:r>
        <w:rPr>
          <w:sz w:val="24"/>
          <w:vertAlign w:val="subscript"/>
        </w:rPr>
        <w:t>蒸</w:t>
      </w:r>
      <w:r>
        <w:rPr>
          <w:sz w:val="24"/>
        </w:rPr>
        <w:t>—模拟区蒸发排泄量（m</w:t>
      </w:r>
      <w:r>
        <w:rPr>
          <w:sz w:val="24"/>
          <w:vertAlign w:val="superscript"/>
        </w:rPr>
        <w:t>3</w:t>
      </w:r>
      <w:r>
        <w:rPr>
          <w:sz w:val="24"/>
        </w:rPr>
        <w:t>/d）；</w:t>
      </w:r>
    </w:p>
    <w:p>
      <w:pPr>
        <w:spacing w:line="480" w:lineRule="exact"/>
        <w:ind w:firstLine="460" w:firstLineChars="192"/>
        <w:rPr>
          <w:sz w:val="24"/>
        </w:rPr>
      </w:pPr>
      <w:r>
        <w:rPr>
          <w:sz w:val="24"/>
        </w:rPr>
        <w:t xml:space="preserve">  E</w:t>
      </w:r>
      <w:r>
        <w:rPr>
          <w:sz w:val="24"/>
          <w:vertAlign w:val="subscript"/>
        </w:rPr>
        <w:t>0</w:t>
      </w:r>
      <w:r>
        <w:rPr>
          <w:sz w:val="24"/>
        </w:rPr>
        <w:t>—多年平均蒸发量（mm/yr）；</w:t>
      </w:r>
    </w:p>
    <w:p>
      <w:pPr>
        <w:spacing w:line="480" w:lineRule="exact"/>
        <w:ind w:firstLine="460" w:firstLineChars="192"/>
        <w:rPr>
          <w:sz w:val="24"/>
        </w:rPr>
      </w:pPr>
      <w:r>
        <w:rPr>
          <w:sz w:val="24"/>
        </w:rPr>
        <w:t xml:space="preserve">  E—大水面蒸发度（mm/yr）；</w:t>
      </w:r>
    </w:p>
    <w:p>
      <w:pPr>
        <w:spacing w:line="480" w:lineRule="exact"/>
        <w:ind w:firstLine="460" w:firstLineChars="192"/>
        <w:rPr>
          <w:sz w:val="24"/>
        </w:rPr>
      </w:pPr>
      <w:r>
        <w:rPr>
          <w:sz w:val="24"/>
        </w:rPr>
        <w:t xml:space="preserve">  s—水位平均埋深（m）；</w:t>
      </w:r>
    </w:p>
    <w:p>
      <w:pPr>
        <w:spacing w:line="480" w:lineRule="exact"/>
        <w:ind w:firstLine="460" w:firstLineChars="192"/>
        <w:rPr>
          <w:sz w:val="24"/>
        </w:rPr>
      </w:pPr>
      <w:r>
        <w:rPr>
          <w:sz w:val="24"/>
        </w:rPr>
        <w:t xml:space="preserve">  △s—极限蒸发深度（m）；</w:t>
      </w:r>
    </w:p>
    <w:p>
      <w:pPr>
        <w:spacing w:line="480" w:lineRule="exact"/>
        <w:ind w:firstLine="460" w:firstLineChars="192"/>
        <w:rPr>
          <w:sz w:val="24"/>
        </w:rPr>
      </w:pPr>
      <w:r>
        <w:rPr>
          <w:sz w:val="24"/>
        </w:rPr>
        <w:t xml:space="preserve">  A—计算区面积（km</w:t>
      </w:r>
      <w:r>
        <w:rPr>
          <w:sz w:val="24"/>
          <w:vertAlign w:val="superscript"/>
        </w:rPr>
        <w:t>2</w:t>
      </w:r>
      <w:r>
        <w:rPr>
          <w:sz w:val="24"/>
        </w:rPr>
        <w:t>）；</w:t>
      </w:r>
    </w:p>
    <w:p>
      <w:pPr>
        <w:spacing w:line="480" w:lineRule="exact"/>
        <w:ind w:firstLine="460" w:firstLineChars="192"/>
        <w:rPr>
          <w:sz w:val="24"/>
        </w:rPr>
      </w:pPr>
      <w:r>
        <w:rPr>
          <w:sz w:val="24"/>
        </w:rPr>
        <w:t xml:space="preserve">  n—本次计算取1；</w:t>
      </w:r>
    </w:p>
    <w:p>
      <w:pPr>
        <w:spacing w:line="480" w:lineRule="exact"/>
        <w:ind w:firstLine="460" w:firstLineChars="192"/>
        <w:rPr>
          <w:sz w:val="24"/>
        </w:rPr>
      </w:pPr>
      <w:r>
        <w:rPr>
          <w:sz w:val="24"/>
        </w:rPr>
        <w:t xml:space="preserve">  α—蒸发系数，取0.22。</w:t>
      </w:r>
    </w:p>
    <w:p>
      <w:pPr>
        <w:spacing w:line="480" w:lineRule="exact"/>
        <w:ind w:firstLine="480" w:firstLineChars="200"/>
        <w:rPr>
          <w:sz w:val="24"/>
        </w:rPr>
      </w:pPr>
      <w:r>
        <w:rPr>
          <w:sz w:val="24"/>
        </w:rPr>
        <w:t>（7）水文地质参数分区</w:t>
      </w:r>
    </w:p>
    <w:p>
      <w:pPr>
        <w:spacing w:line="480" w:lineRule="exact"/>
        <w:ind w:firstLine="480" w:firstLineChars="200"/>
        <w:jc w:val="left"/>
        <w:rPr>
          <w:sz w:val="24"/>
        </w:rPr>
      </w:pPr>
      <w:r>
        <w:rPr>
          <w:sz w:val="24"/>
        </w:rPr>
        <w:t>参与地下水均衡计算的水文地质参数主要有含水层的渗透系数K、给水度μ。根据收集模拟区的资料以及已有的水文地质调查报告，渗透系数取5.29×10</w:t>
      </w:r>
      <w:r>
        <w:rPr>
          <w:sz w:val="24"/>
          <w:vertAlign w:val="superscript"/>
        </w:rPr>
        <w:t>-4</w:t>
      </w:r>
      <w:r>
        <w:rPr>
          <w:sz w:val="24"/>
        </w:rPr>
        <w:t>cm/s，给水度取0.15。</w:t>
      </w:r>
    </w:p>
    <w:p>
      <w:pPr>
        <w:spacing w:line="480" w:lineRule="exact"/>
        <w:ind w:firstLine="480" w:firstLineChars="200"/>
        <w:rPr>
          <w:sz w:val="24"/>
        </w:rPr>
      </w:pPr>
      <w:r>
        <w:rPr>
          <w:sz w:val="24"/>
        </w:rPr>
        <w:t>（8）模型识别</w:t>
      </w:r>
    </w:p>
    <w:p>
      <w:pPr>
        <w:spacing w:line="480" w:lineRule="exact"/>
        <w:ind w:firstLine="480" w:firstLineChars="200"/>
        <w:jc w:val="left"/>
        <w:rPr>
          <w:sz w:val="24"/>
        </w:rPr>
      </w:pPr>
      <w:r>
        <w:rPr>
          <w:sz w:val="24"/>
        </w:rPr>
        <w:t>根据2016年辛安泉域枯水期和丰水期的水位进行识别和拟合，将水文地质参数、边界条件、水头初始条件作为模型调参的初始值，运行计算模型，将实测水位和计算水位进行拟合分析，如果计算水位与实测水位相差很大，则根据参数变化范围和实际水位差值，重新给定一组参数，再迭代计算，直至二者拟合较好为止</w:t>
      </w:r>
      <w:r>
        <w:rPr>
          <w:rFonts w:hint="eastAsia"/>
          <w:sz w:val="24"/>
        </w:rPr>
        <w:t>。</w:t>
      </w:r>
    </w:p>
    <w:p>
      <w:pPr>
        <w:pStyle w:val="14"/>
        <w:spacing w:after="0" w:line="360" w:lineRule="auto"/>
        <w:ind w:left="0" w:leftChars="0"/>
        <w:jc w:val="center"/>
        <w:rPr>
          <w:b/>
          <w:color w:val="0000FF"/>
          <w:szCs w:val="24"/>
        </w:rPr>
      </w:pPr>
      <w:r>
        <w:rPr>
          <w:b/>
          <w:color w:val="0000FF"/>
          <w:szCs w:val="24"/>
        </w:rPr>
        <w:drawing>
          <wp:inline distT="0" distB="0" distL="114300" distR="114300">
            <wp:extent cx="4666615" cy="5219700"/>
            <wp:effectExtent l="0" t="0" r="635" b="0"/>
            <wp:docPr id="142" name="图片 36" descr="拟0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 descr="拟0合"/>
                    <pic:cNvPicPr>
                      <a:picLocks noChangeAspect="1"/>
                    </pic:cNvPicPr>
                  </pic:nvPicPr>
                  <pic:blipFill>
                    <a:blip r:embed="rId88" cstate="print"/>
                    <a:stretch>
                      <a:fillRect/>
                    </a:stretch>
                  </pic:blipFill>
                  <pic:spPr>
                    <a:xfrm>
                      <a:off x="0" y="0"/>
                      <a:ext cx="4666615" cy="5219700"/>
                    </a:xfrm>
                    <a:prstGeom prst="rect">
                      <a:avLst/>
                    </a:prstGeom>
                    <a:noFill/>
                    <a:ln w="9525">
                      <a:noFill/>
                    </a:ln>
                  </pic:spPr>
                </pic:pic>
              </a:graphicData>
            </a:graphic>
          </wp:inline>
        </w:drawing>
      </w:r>
    </w:p>
    <w:p>
      <w:pPr>
        <w:autoSpaceDE w:val="0"/>
        <w:autoSpaceDN w:val="0"/>
        <w:adjustRightInd w:val="0"/>
        <w:spacing w:line="360" w:lineRule="auto"/>
        <w:jc w:val="center"/>
        <w:rPr>
          <w:b/>
          <w:szCs w:val="21"/>
        </w:rPr>
      </w:pPr>
      <w:r>
        <w:rPr>
          <w:b/>
          <w:szCs w:val="21"/>
        </w:rPr>
        <w:t>奥灰水位拟合图</w:t>
      </w:r>
    </w:p>
    <w:p>
      <w:pPr>
        <w:spacing w:line="500" w:lineRule="exact"/>
        <w:ind w:firstLine="480" w:firstLineChars="200"/>
        <w:jc w:val="left"/>
        <w:rPr>
          <w:sz w:val="24"/>
        </w:rPr>
      </w:pPr>
      <w:r>
        <w:rPr>
          <w:sz w:val="24"/>
        </w:rPr>
        <w:t>通过调参计算，得水文地质参数</w:t>
      </w:r>
      <w:r>
        <w:rPr>
          <w:rFonts w:hint="eastAsia"/>
          <w:sz w:val="24"/>
        </w:rPr>
        <w:t>（详见表5.3-1）</w:t>
      </w:r>
      <w:r>
        <w:rPr>
          <w:sz w:val="24"/>
        </w:rPr>
        <w:t>，实际水位和计算水位等值线的水位拟合小于0.5m的绝对误差占已知水位的80%以上，拟合结果较好，表明所建的数学模型、水文地质条件的概化、边界条件的确定都与模拟区域实际情况吻合较好，因此，校正后的模型可以满足预测地下水溶质迁移的要求。</w:t>
      </w:r>
    </w:p>
    <w:p>
      <w:pPr>
        <w:spacing w:line="500" w:lineRule="exact"/>
        <w:jc w:val="center"/>
        <w:rPr>
          <w:b/>
          <w:sz w:val="24"/>
        </w:rPr>
      </w:pPr>
      <w:r>
        <w:rPr>
          <w:b/>
          <w:sz w:val="24"/>
        </w:rPr>
        <w:t>表</w:t>
      </w:r>
      <w:r>
        <w:rPr>
          <w:rFonts w:hint="eastAsia"/>
          <w:b/>
          <w:sz w:val="24"/>
        </w:rPr>
        <w:t>5.3-1  识别后的水文地质参数分区表</w:t>
      </w:r>
    </w:p>
    <w:tbl>
      <w:tblPr>
        <w:tblStyle w:val="29"/>
        <w:tblW w:w="502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2408"/>
        <w:gridCol w:w="1693"/>
        <w:gridCol w:w="2130"/>
        <w:gridCol w:w="21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2" w:hRule="exact"/>
          <w:jc w:val="center"/>
        </w:trPr>
        <w:tc>
          <w:tcPr>
            <w:tcW w:w="2402" w:type="dxa"/>
            <w:tcBorders>
              <w:tl2br w:val="nil"/>
              <w:tr2bl w:val="nil"/>
            </w:tcBorders>
            <w:vAlign w:val="center"/>
          </w:tcPr>
          <w:p>
            <w:pPr>
              <w:autoSpaceDN w:val="0"/>
              <w:jc w:val="center"/>
              <w:textAlignment w:val="center"/>
              <w:rPr>
                <w:szCs w:val="21"/>
              </w:rPr>
            </w:pPr>
            <w: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8255</wp:posOffset>
                      </wp:positionV>
                      <wp:extent cx="1524000" cy="408305"/>
                      <wp:effectExtent l="1270" t="4445" r="17780" b="6350"/>
                      <wp:wrapNone/>
                      <wp:docPr id="24" name="直接连接符 24"/>
                      <wp:cNvGraphicFramePr/>
                      <a:graphic xmlns:a="http://schemas.openxmlformats.org/drawingml/2006/main">
                        <a:graphicData uri="http://schemas.microsoft.com/office/word/2010/wordprocessingShape">
                          <wps:wsp>
                            <wps:cNvCnPr/>
                            <wps:spPr>
                              <a:xfrm>
                                <a:off x="1131570" y="8983345"/>
                                <a:ext cx="1524000" cy="4083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7pt;margin-top:0.65pt;height:32.15pt;width:120pt;z-index:251669504;mso-width-relative:page;mso-height-relative:page;" filled="f" stroked="t" coordsize="21600,21600" o:gfxdata="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9eE11QAAAAcBAAAPAAAAAAAAAAEAIAAAACIAAABkcnMvZG93bnJldi54bWxQ&#10;SwECFAAUAAAACACHTuJAEKlP/PoBAADSAwAADgAAAAAAAAABACAAAAAkAQAAZHJzL2Uyb0RvYy54&#10;bWxQSwUGAAAAAAYABgBZAQAAkAUAAAAA&#10;">
                      <v:fill on="f" focussize="0,0"/>
                      <v:stroke weight="0.5pt" color="#000000" miterlimit="8" joinstyle="miter"/>
                      <v:imagedata o:title=""/>
                      <o:lock v:ext="edit" aspectratio="f"/>
                    </v:line>
                  </w:pict>
                </mc:Fallback>
              </mc:AlternateContent>
            </w:r>
            <w:r>
              <w:rPr>
                <w:szCs w:val="21"/>
              </w:rPr>
              <w:t xml:space="preserve">         水文地质参数</w:t>
            </w:r>
          </w:p>
          <w:p>
            <w:pPr>
              <w:autoSpaceDN w:val="0"/>
              <w:textAlignment w:val="center"/>
              <w:rPr>
                <w:szCs w:val="21"/>
              </w:rPr>
            </w:pPr>
            <w:r>
              <w:rPr>
                <w:szCs w:val="21"/>
              </w:rPr>
              <w:t>分区</w:t>
            </w:r>
          </w:p>
        </w:tc>
        <w:tc>
          <w:tcPr>
            <w:tcW w:w="1689" w:type="dxa"/>
            <w:tcBorders>
              <w:tl2br w:val="nil"/>
              <w:tr2bl w:val="nil"/>
            </w:tcBorders>
            <w:vAlign w:val="center"/>
          </w:tcPr>
          <w:p>
            <w:pPr>
              <w:autoSpaceDN w:val="0"/>
              <w:jc w:val="center"/>
              <w:textAlignment w:val="center"/>
              <w:rPr>
                <w:szCs w:val="21"/>
              </w:rPr>
            </w:pPr>
            <w:r>
              <w:t>K</w:t>
            </w:r>
            <w:r>
              <w:rPr>
                <w:vertAlign w:val="subscript"/>
              </w:rPr>
              <w:t>x</w:t>
            </w:r>
            <w:r>
              <w:t>（m/d)</w:t>
            </w:r>
          </w:p>
        </w:tc>
        <w:tc>
          <w:tcPr>
            <w:tcW w:w="2125" w:type="dxa"/>
            <w:tcBorders>
              <w:tl2br w:val="nil"/>
              <w:tr2bl w:val="nil"/>
            </w:tcBorders>
            <w:vAlign w:val="center"/>
          </w:tcPr>
          <w:p>
            <w:pPr>
              <w:autoSpaceDN w:val="0"/>
              <w:jc w:val="center"/>
              <w:textAlignment w:val="center"/>
              <w:rPr>
                <w:color w:val="000000"/>
                <w:kern w:val="0"/>
                <w:szCs w:val="21"/>
              </w:rPr>
            </w:pPr>
            <w:r>
              <w:t>K</w:t>
            </w:r>
            <w:r>
              <w:rPr>
                <w:vertAlign w:val="subscript"/>
              </w:rPr>
              <w:t>y</w:t>
            </w:r>
            <w:r>
              <w:t>（m/d)</w:t>
            </w:r>
          </w:p>
        </w:tc>
        <w:tc>
          <w:tcPr>
            <w:tcW w:w="2127" w:type="dxa"/>
            <w:tcBorders>
              <w:tl2br w:val="nil"/>
              <w:tr2bl w:val="nil"/>
            </w:tcBorders>
            <w:vAlign w:val="center"/>
          </w:tcPr>
          <w:p>
            <w:pPr>
              <w:autoSpaceDN w:val="0"/>
              <w:jc w:val="center"/>
              <w:textAlignment w:val="center"/>
              <w:rPr>
                <w:color w:val="000000"/>
                <w:kern w:val="0"/>
                <w:szCs w:val="21"/>
              </w:rPr>
            </w:pPr>
            <w:r>
              <w:t>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2402" w:type="dxa"/>
            <w:tcBorders>
              <w:tl2br w:val="nil"/>
              <w:tr2bl w:val="nil"/>
            </w:tcBorders>
            <w:vAlign w:val="center"/>
          </w:tcPr>
          <w:p>
            <w:pPr>
              <w:autoSpaceDN w:val="0"/>
              <w:jc w:val="center"/>
              <w:textAlignment w:val="center"/>
              <w:rPr>
                <w:szCs w:val="21"/>
              </w:rPr>
            </w:pPr>
            <w:r>
              <w:t>1</w:t>
            </w:r>
          </w:p>
        </w:tc>
        <w:tc>
          <w:tcPr>
            <w:tcW w:w="1689" w:type="dxa"/>
            <w:tcBorders>
              <w:tl2br w:val="nil"/>
              <w:tr2bl w:val="nil"/>
            </w:tcBorders>
            <w:vAlign w:val="center"/>
          </w:tcPr>
          <w:p>
            <w:pPr>
              <w:autoSpaceDN w:val="0"/>
              <w:jc w:val="center"/>
              <w:textAlignment w:val="center"/>
              <w:rPr>
                <w:szCs w:val="21"/>
              </w:rPr>
            </w:pPr>
            <w:r>
              <w:t>0.457</w:t>
            </w:r>
          </w:p>
        </w:tc>
        <w:tc>
          <w:tcPr>
            <w:tcW w:w="2125" w:type="dxa"/>
            <w:tcBorders>
              <w:tl2br w:val="nil"/>
              <w:tr2bl w:val="nil"/>
            </w:tcBorders>
            <w:vAlign w:val="center"/>
          </w:tcPr>
          <w:p>
            <w:pPr>
              <w:autoSpaceDN w:val="0"/>
              <w:jc w:val="center"/>
              <w:textAlignment w:val="center"/>
              <w:rPr>
                <w:color w:val="000000"/>
                <w:kern w:val="0"/>
                <w:szCs w:val="21"/>
              </w:rPr>
            </w:pPr>
            <w:r>
              <w:t>0.457</w:t>
            </w:r>
          </w:p>
        </w:tc>
        <w:tc>
          <w:tcPr>
            <w:tcW w:w="2127" w:type="dxa"/>
            <w:tcBorders>
              <w:tl2br w:val="nil"/>
              <w:tr2bl w:val="nil"/>
            </w:tcBorders>
            <w:vAlign w:val="center"/>
          </w:tcPr>
          <w:p>
            <w:pPr>
              <w:autoSpaceDN w:val="0"/>
              <w:jc w:val="center"/>
              <w:textAlignment w:val="center"/>
              <w:rPr>
                <w:color w:val="000000"/>
                <w:kern w:val="0"/>
                <w:szCs w:val="21"/>
              </w:rPr>
            </w:pPr>
            <w:r>
              <w:t>0.15</w:t>
            </w:r>
          </w:p>
        </w:tc>
      </w:tr>
    </w:tbl>
    <w:p>
      <w:pPr>
        <w:spacing w:line="480" w:lineRule="exact"/>
        <w:ind w:firstLine="482" w:firstLineChars="200"/>
        <w:rPr>
          <w:b/>
          <w:bCs/>
          <w:sz w:val="24"/>
        </w:rPr>
      </w:pPr>
      <w:r>
        <w:rPr>
          <w:rFonts w:hint="eastAsia"/>
          <w:b/>
          <w:bCs/>
          <w:sz w:val="24"/>
        </w:rPr>
        <w:t>2</w:t>
      </w:r>
      <w:r>
        <w:rPr>
          <w:b/>
          <w:bCs/>
          <w:sz w:val="24"/>
        </w:rPr>
        <w:t>、预测</w:t>
      </w:r>
      <w:r>
        <w:rPr>
          <w:rFonts w:hint="eastAsia"/>
          <w:b/>
          <w:bCs/>
          <w:sz w:val="24"/>
        </w:rPr>
        <w:t>评价</w:t>
      </w:r>
    </w:p>
    <w:p>
      <w:pPr>
        <w:spacing w:line="480" w:lineRule="exact"/>
        <w:ind w:firstLine="480" w:firstLineChars="200"/>
        <w:rPr>
          <w:sz w:val="24"/>
        </w:rPr>
      </w:pPr>
      <w:r>
        <w:rPr>
          <w:sz w:val="24"/>
        </w:rPr>
        <w:t>（1）正常工况下地下水环境影响评价</w:t>
      </w:r>
    </w:p>
    <w:p>
      <w:pPr>
        <w:spacing w:line="480" w:lineRule="exact"/>
        <w:ind w:firstLine="480" w:firstLineChars="200"/>
        <w:rPr>
          <w:sz w:val="24"/>
        </w:rPr>
      </w:pPr>
      <w:r>
        <w:rPr>
          <w:sz w:val="24"/>
        </w:rPr>
        <w:t>本</w:t>
      </w:r>
      <w:r>
        <w:rPr>
          <w:rFonts w:hint="eastAsia"/>
          <w:sz w:val="24"/>
        </w:rPr>
        <w:t>项目中</w:t>
      </w:r>
      <w:r>
        <w:rPr>
          <w:sz w:val="24"/>
        </w:rPr>
        <w:t>正常工况指的是按照设计</w:t>
      </w:r>
      <w:r>
        <w:rPr>
          <w:rFonts w:hint="eastAsia"/>
          <w:sz w:val="24"/>
        </w:rPr>
        <w:t>及环评要求，严格落实防渗、渗滤液导排处理等相关环保设施，并满足相关标准要求。</w:t>
      </w:r>
    </w:p>
    <w:p>
      <w:pPr>
        <w:spacing w:line="480" w:lineRule="exact"/>
        <w:ind w:firstLine="480" w:firstLineChars="200"/>
        <w:rPr>
          <w:sz w:val="24"/>
        </w:rPr>
      </w:pPr>
      <w:r>
        <w:rPr>
          <w:sz w:val="24"/>
        </w:rPr>
        <w:t>正常工况下，</w:t>
      </w:r>
      <w:r>
        <w:rPr>
          <w:rFonts w:hint="eastAsia"/>
          <w:sz w:val="24"/>
        </w:rPr>
        <w:t>项目场内</w:t>
      </w:r>
      <w:r>
        <w:rPr>
          <w:rFonts w:hint="eastAsia"/>
          <w:bCs/>
          <w:kern w:val="0"/>
          <w:sz w:val="24"/>
        </w:rPr>
        <w:t>渗滤液及职工生活、洗车废水均</w:t>
      </w:r>
      <w:r>
        <w:rPr>
          <w:rFonts w:hint="eastAsia"/>
          <w:sz w:val="24"/>
        </w:rPr>
        <w:t>进入调节池和渗滤液处理车间进行处理，</w:t>
      </w:r>
      <w:r>
        <w:rPr>
          <w:rFonts w:hint="eastAsia"/>
          <w:bCs/>
          <w:kern w:val="0"/>
          <w:sz w:val="24"/>
        </w:rPr>
        <w:t>达标后全部回用场地及县城道路洒水及绿化等，无外排废水，正常工况下不会对地下水环境产生污染影响。</w:t>
      </w:r>
    </w:p>
    <w:p>
      <w:pPr>
        <w:spacing w:line="480" w:lineRule="exact"/>
        <w:ind w:firstLine="480" w:firstLineChars="200"/>
        <w:rPr>
          <w:sz w:val="24"/>
        </w:rPr>
      </w:pPr>
      <w:r>
        <w:rPr>
          <w:sz w:val="24"/>
        </w:rPr>
        <w:t>（2）非正常工况下地下水环境影响评价</w:t>
      </w:r>
    </w:p>
    <w:p>
      <w:pPr>
        <w:spacing w:line="480" w:lineRule="exact"/>
        <w:ind w:firstLine="480" w:firstLineChars="200"/>
        <w:rPr>
          <w:sz w:val="24"/>
        </w:rPr>
      </w:pPr>
      <w:r>
        <w:rPr>
          <w:sz w:val="24"/>
        </w:rPr>
        <w:t>a</w:t>
      </w:r>
      <w:r>
        <w:rPr>
          <w:rFonts w:hint="eastAsia"/>
          <w:sz w:val="24"/>
        </w:rPr>
        <w:t>.</w:t>
      </w:r>
      <w:r>
        <w:rPr>
          <w:sz w:val="24"/>
        </w:rPr>
        <w:t>预测情景设定</w:t>
      </w:r>
    </w:p>
    <w:p>
      <w:pPr>
        <w:spacing w:line="480" w:lineRule="exact"/>
        <w:ind w:firstLine="480" w:firstLineChars="200"/>
        <w:rPr>
          <w:sz w:val="24"/>
        </w:rPr>
      </w:pPr>
      <w:r>
        <w:rPr>
          <w:sz w:val="24"/>
        </w:rPr>
        <w:t>通过对工程建设内容的分析，本工程对地下水环境产生明显影响的主要因素是填埋场底部防渗膜破裂。</w:t>
      </w:r>
    </w:p>
    <w:p>
      <w:pPr>
        <w:spacing w:line="480" w:lineRule="exact"/>
        <w:ind w:firstLine="480" w:firstLineChars="200"/>
        <w:rPr>
          <w:sz w:val="24"/>
        </w:rPr>
      </w:pPr>
      <w:r>
        <w:rPr>
          <w:sz w:val="24"/>
        </w:rPr>
        <w:t>非正常工况下，防渗膜破裂后，</w:t>
      </w:r>
      <w:r>
        <w:rPr>
          <w:rFonts w:hint="eastAsia"/>
          <w:sz w:val="24"/>
        </w:rPr>
        <w:t>垃圾渗滤液</w:t>
      </w:r>
      <w:r>
        <w:rPr>
          <w:sz w:val="24"/>
        </w:rPr>
        <w:t>发生渗漏，直接进入包气带，向下渗透进入奥灰含水层。</w:t>
      </w:r>
    </w:p>
    <w:p>
      <w:pPr>
        <w:spacing w:line="480" w:lineRule="exact"/>
        <w:ind w:firstLine="480" w:firstLineChars="200"/>
        <w:rPr>
          <w:sz w:val="24"/>
        </w:rPr>
      </w:pPr>
      <w:r>
        <w:rPr>
          <w:sz w:val="24"/>
        </w:rPr>
        <w:t>b</w:t>
      </w:r>
      <w:r>
        <w:rPr>
          <w:rFonts w:hint="eastAsia"/>
          <w:sz w:val="24"/>
        </w:rPr>
        <w:t>.</w:t>
      </w:r>
      <w:r>
        <w:rPr>
          <w:sz w:val="24"/>
        </w:rPr>
        <w:t>预测源强</w:t>
      </w:r>
    </w:p>
    <w:p>
      <w:pPr>
        <w:spacing w:line="480" w:lineRule="exact"/>
        <w:ind w:firstLine="480" w:firstLineChars="200"/>
        <w:rPr>
          <w:sz w:val="24"/>
        </w:rPr>
      </w:pPr>
      <w:r>
        <w:rPr>
          <w:rFonts w:hint="eastAsia"/>
          <w:sz w:val="24"/>
        </w:rPr>
        <w:t>本项目</w:t>
      </w:r>
      <w:r>
        <w:rPr>
          <w:sz w:val="24"/>
        </w:rPr>
        <w:t>垃圾渗滤液</w:t>
      </w:r>
      <w:r>
        <w:rPr>
          <w:rFonts w:hint="eastAsia"/>
          <w:sz w:val="24"/>
        </w:rPr>
        <w:t>主要污染物源强参照监测单位2022年9月6日、7日对渗滤液处理设施进口水样的监测结果，具体如下。</w:t>
      </w:r>
    </w:p>
    <w:p>
      <w:pPr>
        <w:spacing w:line="500" w:lineRule="exact"/>
        <w:jc w:val="center"/>
        <w:rPr>
          <w:b/>
          <w:sz w:val="24"/>
        </w:rPr>
      </w:pPr>
      <w:r>
        <w:rPr>
          <w:b/>
          <w:sz w:val="24"/>
        </w:rPr>
        <w:t>表</w:t>
      </w:r>
      <w:r>
        <w:rPr>
          <w:rFonts w:hint="eastAsia"/>
          <w:b/>
          <w:sz w:val="24"/>
        </w:rPr>
        <w:t>5.3-2渗滤液主要污染物与GB/T14848-2017对比分析表</w:t>
      </w:r>
    </w:p>
    <w:tbl>
      <w:tblPr>
        <w:tblStyle w:val="29"/>
        <w:tblW w:w="501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508"/>
        <w:gridCol w:w="979"/>
        <w:gridCol w:w="1642"/>
        <w:gridCol w:w="1795"/>
        <w:gridCol w:w="1495"/>
        <w:gridCol w:w="9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6" w:hRule="exact"/>
          <w:tblHeader/>
          <w:jc w:val="center"/>
        </w:trPr>
        <w:tc>
          <w:tcPr>
            <w:tcW w:w="1491" w:type="pct"/>
            <w:gridSpan w:val="2"/>
            <w:vMerge w:val="restart"/>
            <w:tcBorders>
              <w:tl2br w:val="nil"/>
              <w:tr2bl w:val="nil"/>
            </w:tcBorders>
            <w:vAlign w:val="center"/>
          </w:tcPr>
          <w:p>
            <w:pPr>
              <w:pStyle w:val="3"/>
              <w:adjustRightInd w:val="0"/>
              <w:spacing w:before="24" w:after="24" w:line="240" w:lineRule="atLeast"/>
              <w:ind w:left="1260" w:leftChars="600" w:firstLine="420" w:firstLineChars="200"/>
              <w:jc w:val="both"/>
              <w:rPr>
                <w:b/>
                <w:szCs w:val="21"/>
              </w:rPr>
            </w:pPr>
            <w: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-2540</wp:posOffset>
                      </wp:positionV>
                      <wp:extent cx="1562735" cy="608965"/>
                      <wp:effectExtent l="1905" t="4445" r="16510" b="15240"/>
                      <wp:wrapNone/>
                      <wp:docPr id="2" name="直接连接符 14"/>
                      <wp:cNvGraphicFramePr/>
                      <a:graphic xmlns:a="http://schemas.openxmlformats.org/drawingml/2006/main">
                        <a:graphicData uri="http://schemas.microsoft.com/office/word/2010/wordprocessingShape">
                          <wps:wsp>
                            <wps:cNvCnPr/>
                            <wps:spPr>
                              <a:xfrm>
                                <a:off x="499745" y="4631055"/>
                                <a:ext cx="1562735" cy="60896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14" o:spid="_x0000_s1026" o:spt="20" style="position:absolute;left:0pt;margin-left:0.45pt;margin-top:-0.2pt;height:47.95pt;width:123.05pt;z-index:251670528;mso-width-relative:page;mso-height-relative:page;" filled="f" stroked="t" coordsize="21600,21600" o:gfxdata="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azipvUAAAABQEAAA8AAAAAAAAAAQAgAAAAIgAAAGRycy9kb3ducmV2LnhtbFBL&#10;AQIUABQAAAAIAIdO4kAxpFhy+gEAANADAAAOAAAAAAAAAAEAIAAAACMBAABkcnMvZTJvRG9jLnht&#10;bFBLBQYAAAAABgAGAFkBAACPBQAAAAA=&#10;">
                      <v:fill on="f" focussize="0,0"/>
                      <v:stroke weight="0.5pt" color="#000000" miterlimit="8" joinstyle="miter"/>
                      <v:imagedata o:title=""/>
                      <o:lock v:ext="edit" aspectratio="f"/>
                    </v:line>
                  </w:pict>
                </mc:Fallback>
              </mc:AlternateContent>
            </w:r>
            <w:r>
              <w:rPr>
                <w:b/>
                <w:szCs w:val="21"/>
              </w:rPr>
              <w:t>项目</w:t>
            </w:r>
          </w:p>
          <w:p>
            <w:pPr>
              <w:pStyle w:val="3"/>
              <w:adjustRightInd w:val="0"/>
              <w:spacing w:before="24" w:after="24" w:line="240" w:lineRule="atLeast"/>
              <w:ind w:firstLine="340"/>
              <w:jc w:val="both"/>
              <w:rPr>
                <w:b/>
                <w:szCs w:val="21"/>
              </w:rPr>
            </w:pPr>
          </w:p>
          <w:p>
            <w:pPr>
              <w:pStyle w:val="3"/>
              <w:adjustRightInd w:val="0"/>
              <w:spacing w:before="24" w:after="24" w:line="240" w:lineRule="atLeast"/>
              <w:ind w:firstLine="340"/>
              <w:jc w:val="both"/>
              <w:rPr>
                <w:bCs w:val="0"/>
                <w:szCs w:val="21"/>
              </w:rPr>
            </w:pPr>
            <w:r>
              <w:rPr>
                <w:b/>
                <w:szCs w:val="21"/>
              </w:rPr>
              <w:t>结果</w:t>
            </w:r>
          </w:p>
        </w:tc>
        <w:tc>
          <w:tcPr>
            <w:tcW w:w="984" w:type="pct"/>
            <w:vMerge w:val="restart"/>
            <w:tcBorders>
              <w:tl2br w:val="nil"/>
              <w:tr2bl w:val="nil"/>
            </w:tcBorders>
            <w:vAlign w:val="center"/>
          </w:tcPr>
          <w:p>
            <w:pPr>
              <w:spacing w:line="240" w:lineRule="exact"/>
              <w:jc w:val="center"/>
              <w:rPr>
                <w:b/>
                <w:szCs w:val="21"/>
              </w:rPr>
            </w:pPr>
            <w:r>
              <w:rPr>
                <w:rFonts w:hint="eastAsia"/>
                <w:b/>
                <w:bCs/>
                <w:szCs w:val="21"/>
              </w:rPr>
              <w:t>渗滤液处理设施进口</w:t>
            </w:r>
          </w:p>
        </w:tc>
        <w:tc>
          <w:tcPr>
            <w:tcW w:w="1972" w:type="pct"/>
            <w:gridSpan w:val="2"/>
            <w:tcBorders>
              <w:tl2br w:val="nil"/>
              <w:tr2bl w:val="nil"/>
            </w:tcBorders>
            <w:vAlign w:val="center"/>
          </w:tcPr>
          <w:p>
            <w:pPr>
              <w:pStyle w:val="3"/>
              <w:adjustRightInd w:val="0"/>
              <w:spacing w:before="24" w:after="24" w:line="240" w:lineRule="atLeast"/>
              <w:rPr>
                <w:b/>
                <w:szCs w:val="21"/>
              </w:rPr>
            </w:pPr>
            <w:r>
              <w:rPr>
                <w:b/>
                <w:szCs w:val="21"/>
              </w:rPr>
              <w:t>《地下水质量标准》</w:t>
            </w:r>
            <w:r>
              <w:rPr>
                <w:rFonts w:hint="eastAsia"/>
                <w:b/>
                <w:szCs w:val="21"/>
              </w:rPr>
              <w:t>（</w:t>
            </w:r>
            <w:r>
              <w:rPr>
                <w:b/>
                <w:szCs w:val="21"/>
              </w:rPr>
              <w:t>GB/T14848-2017</w:t>
            </w:r>
            <w:r>
              <w:rPr>
                <w:rFonts w:hint="eastAsia"/>
                <w:b/>
                <w:szCs w:val="21"/>
              </w:rPr>
              <w:t>）</w:t>
            </w:r>
            <w:r>
              <w:rPr>
                <w:b/>
                <w:szCs w:val="21"/>
              </w:rPr>
              <w:t>中Ⅲ类标准</w:t>
            </w:r>
          </w:p>
        </w:tc>
        <w:tc>
          <w:tcPr>
            <w:tcW w:w="553" w:type="pct"/>
            <w:vMerge w:val="restart"/>
            <w:tcBorders>
              <w:tl2br w:val="nil"/>
              <w:tr2bl w:val="nil"/>
            </w:tcBorders>
            <w:vAlign w:val="center"/>
          </w:tcPr>
          <w:p>
            <w:pPr>
              <w:pStyle w:val="3"/>
              <w:adjustRightInd w:val="0"/>
              <w:spacing w:before="24" w:after="24" w:line="240" w:lineRule="atLeast"/>
              <w:rPr>
                <w:b/>
                <w:szCs w:val="21"/>
              </w:rPr>
            </w:pPr>
            <w:r>
              <w:rPr>
                <w:rFonts w:hint="eastAsia"/>
                <w:b/>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tblHeader/>
          <w:jc w:val="center"/>
        </w:trPr>
        <w:tc>
          <w:tcPr>
            <w:tcW w:w="1491" w:type="pct"/>
            <w:gridSpan w:val="2"/>
            <w:vMerge w:val="continue"/>
            <w:tcBorders>
              <w:tl2br w:val="nil"/>
              <w:tr2bl w:val="nil"/>
            </w:tcBorders>
            <w:vAlign w:val="center"/>
          </w:tcPr>
          <w:p>
            <w:pPr>
              <w:pStyle w:val="3"/>
              <w:adjustRightInd w:val="0"/>
              <w:spacing w:before="24" w:after="24" w:line="240" w:lineRule="atLeast"/>
              <w:ind w:firstLine="400"/>
              <w:jc w:val="both"/>
              <w:rPr>
                <w:bCs w:val="0"/>
                <w:szCs w:val="21"/>
              </w:rPr>
            </w:pPr>
          </w:p>
        </w:tc>
        <w:tc>
          <w:tcPr>
            <w:tcW w:w="984" w:type="pct"/>
            <w:vMerge w:val="continue"/>
            <w:tcBorders>
              <w:tl2br w:val="nil"/>
              <w:tr2bl w:val="nil"/>
            </w:tcBorders>
            <w:vAlign w:val="center"/>
          </w:tcPr>
          <w:p>
            <w:pPr>
              <w:spacing w:line="240" w:lineRule="exact"/>
              <w:jc w:val="center"/>
              <w:rPr>
                <w:b/>
                <w:szCs w:val="21"/>
              </w:rPr>
            </w:pPr>
          </w:p>
        </w:tc>
        <w:tc>
          <w:tcPr>
            <w:tcW w:w="1076" w:type="pct"/>
            <w:tcBorders>
              <w:tl2br w:val="nil"/>
              <w:tr2bl w:val="nil"/>
            </w:tcBorders>
            <w:vAlign w:val="center"/>
          </w:tcPr>
          <w:p>
            <w:pPr>
              <w:spacing w:line="240" w:lineRule="exact"/>
              <w:jc w:val="center"/>
              <w:rPr>
                <w:b/>
                <w:szCs w:val="21"/>
              </w:rPr>
            </w:pPr>
            <w:r>
              <w:rPr>
                <w:b/>
                <w:bCs/>
                <w:szCs w:val="21"/>
              </w:rPr>
              <w:t>标准值</w:t>
            </w:r>
          </w:p>
        </w:tc>
        <w:tc>
          <w:tcPr>
            <w:tcW w:w="896" w:type="pct"/>
            <w:tcBorders>
              <w:tl2br w:val="nil"/>
              <w:tr2bl w:val="nil"/>
            </w:tcBorders>
            <w:vAlign w:val="center"/>
          </w:tcPr>
          <w:p>
            <w:pPr>
              <w:spacing w:line="240" w:lineRule="exact"/>
              <w:jc w:val="center"/>
              <w:rPr>
                <w:b/>
                <w:szCs w:val="21"/>
              </w:rPr>
            </w:pPr>
            <w:r>
              <w:rPr>
                <w:b/>
                <w:bCs/>
                <w:color w:val="000000"/>
                <w:spacing w:val="-6"/>
                <w:szCs w:val="21"/>
              </w:rPr>
              <w:t>Pi</w:t>
            </w:r>
          </w:p>
        </w:tc>
        <w:tc>
          <w:tcPr>
            <w:tcW w:w="553" w:type="pct"/>
            <w:vMerge w:val="continue"/>
            <w:tcBorders>
              <w:tl2br w:val="nil"/>
              <w:tr2bl w:val="nil"/>
            </w:tcBorders>
            <w:vAlign w:val="center"/>
          </w:tcPr>
          <w:p>
            <w:pPr>
              <w:spacing w:line="240" w:lineRule="exact"/>
              <w:jc w:val="center"/>
              <w:rPr>
                <w:b/>
                <w:bCs/>
                <w:color w:val="000000"/>
                <w:spacing w:val="-6"/>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tabs>
                <w:tab w:val="left" w:pos="640"/>
              </w:tabs>
              <w:adjustRightInd w:val="0"/>
              <w:spacing w:line="240" w:lineRule="exact"/>
              <w:jc w:val="center"/>
              <w:rPr>
                <w:szCs w:val="21"/>
              </w:rPr>
            </w:pPr>
            <w:r>
              <w:rPr>
                <w:szCs w:val="21"/>
              </w:rPr>
              <w:t>COD</w:t>
            </w:r>
            <w:r>
              <w:rPr>
                <w:szCs w:val="21"/>
                <w:vertAlign w:val="subscript"/>
              </w:rPr>
              <w:t>cr</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897</w:t>
            </w:r>
            <w:r>
              <w:rPr>
                <w:bCs w:val="0"/>
                <w:szCs w:val="21"/>
              </w:rPr>
              <w:t>~</w:t>
            </w:r>
            <w:r>
              <w:rPr>
                <w:rFonts w:hint="eastAsia"/>
                <w:bCs w:val="0"/>
                <w:szCs w:val="21"/>
              </w:rPr>
              <w:t>984</w:t>
            </w:r>
          </w:p>
        </w:tc>
        <w:tc>
          <w:tcPr>
            <w:tcW w:w="107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restart"/>
            <w:tcBorders>
              <w:tl2br w:val="nil"/>
              <w:tr2bl w:val="nil"/>
            </w:tcBorders>
            <w:vAlign w:val="center"/>
          </w:tcPr>
          <w:p>
            <w:pPr>
              <w:pStyle w:val="3"/>
              <w:adjustRightInd w:val="0"/>
              <w:spacing w:before="24" w:after="24" w:line="240" w:lineRule="atLeast"/>
              <w:rPr>
                <w:bCs w:val="0"/>
                <w:szCs w:val="21"/>
              </w:rPr>
            </w:pPr>
            <w:r>
              <w:rPr>
                <w:rFonts w:hint="eastAsia"/>
                <w:bCs w:val="0"/>
              </w:rPr>
              <w:t>各因子检测值按较大值进行取值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bCs w:val="0"/>
                <w:color w:val="auto"/>
                <w:szCs w:val="21"/>
              </w:rPr>
              <w:t>BOD</w:t>
            </w:r>
            <w:r>
              <w:rPr>
                <w:bCs w:val="0"/>
                <w:color w:val="auto"/>
                <w:szCs w:val="21"/>
                <w:vertAlign w:val="subscript"/>
              </w:rPr>
              <w:t>5</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451</w:t>
            </w:r>
            <w:r>
              <w:rPr>
                <w:bCs w:val="0"/>
                <w:szCs w:val="21"/>
              </w:rPr>
              <w:t>~</w:t>
            </w:r>
            <w:r>
              <w:rPr>
                <w:rFonts w:hint="eastAsia"/>
                <w:bCs w:val="0"/>
                <w:szCs w:val="21"/>
              </w:rPr>
              <w:t>471</w:t>
            </w:r>
          </w:p>
        </w:tc>
        <w:tc>
          <w:tcPr>
            <w:tcW w:w="107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color w:val="auto"/>
                <w:szCs w:val="21"/>
              </w:rPr>
            </w:pPr>
            <w:r>
              <w:rPr>
                <w:bCs w:val="0"/>
                <w:color w:val="auto"/>
                <w:szCs w:val="21"/>
              </w:rPr>
              <w:t>氨氮</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369</w:t>
            </w:r>
            <w:r>
              <w:rPr>
                <w:bCs w:val="0"/>
                <w:szCs w:val="21"/>
              </w:rPr>
              <w:t>~</w:t>
            </w:r>
            <w:r>
              <w:rPr>
                <w:rFonts w:hint="eastAsia"/>
                <w:bCs w:val="0"/>
                <w:szCs w:val="21"/>
              </w:rPr>
              <w:t>411</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0.50</w:t>
            </w:r>
          </w:p>
        </w:tc>
        <w:tc>
          <w:tcPr>
            <w:tcW w:w="896" w:type="pct"/>
            <w:tcBorders>
              <w:tl2br w:val="nil"/>
              <w:tr2bl w:val="nil"/>
            </w:tcBorders>
            <w:vAlign w:val="center"/>
          </w:tcPr>
          <w:p>
            <w:pPr>
              <w:pStyle w:val="3"/>
              <w:adjustRightInd w:val="0"/>
              <w:spacing w:before="24" w:after="24" w:line="240" w:lineRule="atLeast"/>
              <w:rPr>
                <w:bCs w:val="0"/>
                <w:szCs w:val="21"/>
              </w:rPr>
            </w:pPr>
            <w:r>
              <w:rPr>
                <w:rFonts w:hint="eastAsia"/>
                <w:b/>
                <w:i/>
                <w:iCs/>
                <w:szCs w:val="21"/>
              </w:rPr>
              <w:t>822</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bCs w:val="0"/>
                <w:szCs w:val="21"/>
              </w:rPr>
              <w:t>总氮</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456</w:t>
            </w:r>
            <w:r>
              <w:rPr>
                <w:bCs w:val="0"/>
                <w:szCs w:val="21"/>
              </w:rPr>
              <w:t>~</w:t>
            </w:r>
            <w:r>
              <w:rPr>
                <w:rFonts w:hint="eastAsia"/>
                <w:bCs w:val="0"/>
                <w:szCs w:val="21"/>
              </w:rPr>
              <w:t>501</w:t>
            </w:r>
          </w:p>
        </w:tc>
        <w:tc>
          <w:tcPr>
            <w:tcW w:w="107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bCs w:val="0"/>
                <w:szCs w:val="21"/>
              </w:rPr>
              <w:t>SS</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57</w:t>
            </w:r>
            <w:r>
              <w:rPr>
                <w:bCs w:val="0"/>
                <w:szCs w:val="21"/>
              </w:rPr>
              <w:t>~</w:t>
            </w:r>
            <w:r>
              <w:rPr>
                <w:rFonts w:hint="eastAsia"/>
                <w:bCs w:val="0"/>
                <w:szCs w:val="21"/>
              </w:rPr>
              <w:t>71</w:t>
            </w:r>
          </w:p>
        </w:tc>
        <w:tc>
          <w:tcPr>
            <w:tcW w:w="107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总磷</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7.92</w:t>
            </w:r>
            <w:r>
              <w:rPr>
                <w:bCs w:val="0"/>
                <w:szCs w:val="21"/>
              </w:rPr>
              <w:t>~</w:t>
            </w:r>
            <w:r>
              <w:rPr>
                <w:rFonts w:hint="eastAsia"/>
                <w:bCs w:val="0"/>
                <w:szCs w:val="21"/>
              </w:rPr>
              <w:t>8.63</w:t>
            </w:r>
          </w:p>
        </w:tc>
        <w:tc>
          <w:tcPr>
            <w:tcW w:w="107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总汞</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0.001</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总镉</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0.005</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总铬</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0.009</w:t>
            </w:r>
            <w:r>
              <w:rPr>
                <w:bCs w:val="0"/>
                <w:szCs w:val="21"/>
              </w:rPr>
              <w:t>~</w:t>
            </w:r>
            <w:r>
              <w:rPr>
                <w:rFonts w:hint="eastAsia"/>
                <w:bCs w:val="0"/>
                <w:szCs w:val="21"/>
              </w:rPr>
              <w:t>0.012</w:t>
            </w:r>
          </w:p>
        </w:tc>
        <w:tc>
          <w:tcPr>
            <w:tcW w:w="107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六价铬</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0.007</w:t>
            </w:r>
            <w:r>
              <w:rPr>
                <w:bCs w:val="0"/>
                <w:szCs w:val="21"/>
              </w:rPr>
              <w:t>~</w:t>
            </w:r>
            <w:r>
              <w:rPr>
                <w:rFonts w:hint="eastAsia"/>
                <w:bCs w:val="0"/>
                <w:szCs w:val="21"/>
              </w:rPr>
              <w:t>0.011</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0.05</w:t>
            </w:r>
          </w:p>
        </w:tc>
        <w:tc>
          <w:tcPr>
            <w:tcW w:w="89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0.22</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总砷</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0.004</w:t>
            </w:r>
            <w:r>
              <w:rPr>
                <w:bCs w:val="0"/>
                <w:szCs w:val="21"/>
              </w:rPr>
              <w:t>~</w:t>
            </w:r>
            <w:r>
              <w:rPr>
                <w:rFonts w:hint="eastAsia"/>
                <w:bCs w:val="0"/>
                <w:szCs w:val="21"/>
              </w:rPr>
              <w:t>0.007</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0.01</w:t>
            </w:r>
          </w:p>
        </w:tc>
        <w:tc>
          <w:tcPr>
            <w:tcW w:w="89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0.7</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auto"/>
              <w:rPr>
                <w:bCs w:val="0"/>
                <w:szCs w:val="21"/>
              </w:rPr>
            </w:pPr>
            <w:r>
              <w:rPr>
                <w:rFonts w:hint="eastAsia"/>
                <w:bCs w:val="0"/>
                <w:szCs w:val="21"/>
              </w:rPr>
              <w:t>总铅</w:t>
            </w:r>
          </w:p>
        </w:tc>
        <w:tc>
          <w:tcPr>
            <w:tcW w:w="587" w:type="pct"/>
            <w:tcBorders>
              <w:tl2br w:val="nil"/>
              <w:tr2bl w:val="nil"/>
            </w:tcBorders>
            <w:vAlign w:val="center"/>
          </w:tcPr>
          <w:p>
            <w:pPr>
              <w:pStyle w:val="3"/>
              <w:adjustRightInd w:val="0"/>
              <w:spacing w:before="24" w:after="24" w:line="240" w:lineRule="atLeast"/>
              <w:rPr>
                <w:bCs w:val="0"/>
                <w:szCs w:val="21"/>
              </w:rPr>
            </w:pPr>
            <w:r>
              <w:rPr>
                <w:bCs w:val="0"/>
                <w:szCs w:val="21"/>
              </w:rPr>
              <w:t>mg/L</w:t>
            </w:r>
          </w:p>
        </w:tc>
        <w:tc>
          <w:tcPr>
            <w:tcW w:w="984" w:type="pct"/>
            <w:tcBorders>
              <w:tl2br w:val="nil"/>
              <w:tr2bl w:val="nil"/>
            </w:tcBorders>
            <w:vAlign w:val="center"/>
          </w:tcPr>
          <w:p>
            <w:pPr>
              <w:pStyle w:val="3"/>
              <w:adjustRightInd w:val="0"/>
              <w:spacing w:before="24" w:after="24" w:line="240" w:lineRule="atLeast"/>
              <w:rPr>
                <w:bCs w:val="0"/>
                <w:szCs w:val="21"/>
              </w:rPr>
            </w:pPr>
            <w:r>
              <w:rPr>
                <w:color w:val="auto"/>
                <w:kern w:val="2"/>
                <w:szCs w:val="21"/>
              </w:rPr>
              <w:t>ND</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0.01</w:t>
            </w:r>
          </w:p>
        </w:tc>
        <w:tc>
          <w:tcPr>
            <w:tcW w:w="896" w:type="pct"/>
            <w:tcBorders>
              <w:tl2br w:val="nil"/>
              <w:tr2bl w:val="nil"/>
            </w:tcBorders>
            <w:vAlign w:val="center"/>
          </w:tcPr>
          <w:p>
            <w:pPr>
              <w:pStyle w:val="3"/>
              <w:adjustRightInd w:val="0"/>
              <w:spacing w:before="24" w:after="24" w:line="240" w:lineRule="atLeast"/>
              <w:rPr>
                <w:bCs w:val="0"/>
                <w:szCs w:val="21"/>
              </w:rPr>
            </w:pPr>
            <w:r>
              <w:rPr>
                <w:bCs w:val="0"/>
                <w:szCs w:val="21"/>
              </w:rPr>
              <w:t>/</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exact"/>
          <w:jc w:val="center"/>
        </w:trPr>
        <w:tc>
          <w:tcPr>
            <w:tcW w:w="904" w:type="pct"/>
            <w:tcBorders>
              <w:tl2br w:val="nil"/>
              <w:tr2bl w:val="nil"/>
            </w:tcBorders>
            <w:vAlign w:val="center"/>
          </w:tcPr>
          <w:p>
            <w:pPr>
              <w:pStyle w:val="3"/>
              <w:adjustRightInd w:val="0"/>
              <w:spacing w:before="24" w:after="24" w:line="240" w:lineRule="exact"/>
              <w:rPr>
                <w:bCs w:val="0"/>
                <w:szCs w:val="21"/>
              </w:rPr>
            </w:pPr>
            <w:r>
              <w:rPr>
                <w:rFonts w:hint="eastAsia"/>
              </w:rPr>
              <w:t>溶解性总固体</w:t>
            </w:r>
          </w:p>
        </w:tc>
        <w:tc>
          <w:tcPr>
            <w:tcW w:w="587" w:type="pct"/>
            <w:tcBorders>
              <w:tl2br w:val="nil"/>
              <w:tr2bl w:val="nil"/>
            </w:tcBorders>
            <w:vAlign w:val="center"/>
          </w:tcPr>
          <w:p>
            <w:pPr>
              <w:pStyle w:val="3"/>
              <w:adjustRightInd w:val="0"/>
              <w:spacing w:before="24" w:after="24" w:line="240" w:lineRule="exact"/>
              <w:rPr>
                <w:bCs w:val="0"/>
                <w:szCs w:val="21"/>
              </w:rPr>
            </w:pPr>
            <w:r>
              <w:rPr>
                <w:rFonts w:hint="eastAsia"/>
                <w:szCs w:val="21"/>
              </w:rPr>
              <w:t>mg/L</w:t>
            </w:r>
          </w:p>
        </w:tc>
        <w:tc>
          <w:tcPr>
            <w:tcW w:w="984" w:type="pct"/>
            <w:tcBorders>
              <w:tl2br w:val="nil"/>
              <w:tr2bl w:val="nil"/>
            </w:tcBorders>
            <w:vAlign w:val="center"/>
          </w:tcPr>
          <w:p>
            <w:pPr>
              <w:pStyle w:val="3"/>
              <w:adjustRightInd w:val="0"/>
              <w:spacing w:before="24" w:after="24" w:line="240" w:lineRule="exact"/>
              <w:rPr>
                <w:bCs w:val="0"/>
                <w:szCs w:val="21"/>
              </w:rPr>
            </w:pPr>
            <w:r>
              <w:rPr>
                <w:rFonts w:hint="eastAsia"/>
                <w:bCs w:val="0"/>
                <w:szCs w:val="21"/>
              </w:rPr>
              <w:t>255</w:t>
            </w:r>
            <w:r>
              <w:rPr>
                <w:bCs w:val="0"/>
                <w:szCs w:val="21"/>
              </w:rPr>
              <w:t>~</w:t>
            </w:r>
            <w:r>
              <w:rPr>
                <w:rFonts w:hint="eastAsia"/>
                <w:bCs w:val="0"/>
                <w:szCs w:val="21"/>
              </w:rPr>
              <w:t>962</w:t>
            </w:r>
          </w:p>
        </w:tc>
        <w:tc>
          <w:tcPr>
            <w:tcW w:w="107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1000</w:t>
            </w:r>
          </w:p>
        </w:tc>
        <w:tc>
          <w:tcPr>
            <w:tcW w:w="896" w:type="pct"/>
            <w:tcBorders>
              <w:tl2br w:val="nil"/>
              <w:tr2bl w:val="nil"/>
            </w:tcBorders>
            <w:vAlign w:val="center"/>
          </w:tcPr>
          <w:p>
            <w:pPr>
              <w:pStyle w:val="3"/>
              <w:adjustRightInd w:val="0"/>
              <w:spacing w:before="24" w:after="24" w:line="240" w:lineRule="atLeast"/>
              <w:rPr>
                <w:bCs w:val="0"/>
                <w:szCs w:val="21"/>
              </w:rPr>
            </w:pPr>
            <w:r>
              <w:rPr>
                <w:rFonts w:hint="eastAsia"/>
                <w:bCs w:val="0"/>
                <w:szCs w:val="21"/>
              </w:rPr>
              <w:t>0.962</w:t>
            </w:r>
          </w:p>
        </w:tc>
        <w:tc>
          <w:tcPr>
            <w:tcW w:w="553" w:type="pct"/>
            <w:vMerge w:val="continue"/>
            <w:tcBorders>
              <w:tl2br w:val="nil"/>
              <w:tr2bl w:val="nil"/>
            </w:tcBorders>
            <w:vAlign w:val="center"/>
          </w:tcPr>
          <w:p>
            <w:pPr>
              <w:pStyle w:val="3"/>
              <w:adjustRightInd w:val="0"/>
              <w:spacing w:before="24" w:after="24" w:line="240" w:lineRule="atLeast"/>
              <w:rPr>
                <w:bCs w:val="0"/>
                <w:szCs w:val="21"/>
              </w:rPr>
            </w:pPr>
          </w:p>
        </w:tc>
      </w:tr>
    </w:tbl>
    <w:p>
      <w:pPr>
        <w:spacing w:line="480" w:lineRule="exact"/>
        <w:ind w:firstLine="480" w:firstLineChars="200"/>
        <w:rPr>
          <w:sz w:val="24"/>
        </w:rPr>
      </w:pPr>
      <w:r>
        <w:rPr>
          <w:sz w:val="24"/>
        </w:rPr>
        <w:t>由上表</w:t>
      </w:r>
      <w:r>
        <w:rPr>
          <w:rFonts w:hint="eastAsia"/>
          <w:sz w:val="24"/>
        </w:rPr>
        <w:t>分析</w:t>
      </w:r>
      <w:r>
        <w:rPr>
          <w:sz w:val="24"/>
        </w:rPr>
        <w:t>，</w:t>
      </w:r>
      <w:r>
        <w:rPr>
          <w:rFonts w:hint="eastAsia"/>
          <w:sz w:val="24"/>
        </w:rPr>
        <w:t>本次</w:t>
      </w:r>
      <w:r>
        <w:rPr>
          <w:sz w:val="24"/>
        </w:rPr>
        <w:t>评价选取NH</w:t>
      </w:r>
      <w:r>
        <w:rPr>
          <w:sz w:val="24"/>
          <w:vertAlign w:val="subscript"/>
        </w:rPr>
        <w:t>3</w:t>
      </w:r>
      <w:r>
        <w:rPr>
          <w:sz w:val="24"/>
        </w:rPr>
        <w:t>-N作为预测因子</w:t>
      </w:r>
      <w:r>
        <w:rPr>
          <w:rFonts w:hint="eastAsia"/>
          <w:sz w:val="24"/>
        </w:rPr>
        <w:t>，</w:t>
      </w:r>
      <w:r>
        <w:rPr>
          <w:sz w:val="24"/>
        </w:rPr>
        <w:t>假设防渗膜出现破裂，在填埋场底部出现面积5%的裂缝，NH</w:t>
      </w:r>
      <w:r>
        <w:rPr>
          <w:sz w:val="24"/>
          <w:vertAlign w:val="subscript"/>
        </w:rPr>
        <w:t>3</w:t>
      </w:r>
      <w:r>
        <w:rPr>
          <w:sz w:val="24"/>
        </w:rPr>
        <w:t>-N</w:t>
      </w:r>
      <w:r>
        <w:rPr>
          <w:rFonts w:hint="eastAsia"/>
          <w:sz w:val="24"/>
        </w:rPr>
        <w:t>浓度按411mg/L计，</w:t>
      </w:r>
      <w:r>
        <w:rPr>
          <w:sz w:val="24"/>
        </w:rPr>
        <w:t>污染物在包气带中已达到饱和状态，渗漏后进入奥灰含水层。</w:t>
      </w:r>
    </w:p>
    <w:p>
      <w:pPr>
        <w:spacing w:line="500" w:lineRule="exact"/>
        <w:ind w:firstLine="480" w:firstLineChars="200"/>
        <w:rPr>
          <w:sz w:val="24"/>
        </w:rPr>
      </w:pPr>
      <w:r>
        <w:rPr>
          <w:sz w:val="24"/>
        </w:rPr>
        <w:t>c</w:t>
      </w:r>
      <w:r>
        <w:rPr>
          <w:rFonts w:hint="eastAsia"/>
          <w:sz w:val="24"/>
        </w:rPr>
        <w:t>.</w:t>
      </w:r>
      <w:r>
        <w:rPr>
          <w:sz w:val="24"/>
        </w:rPr>
        <w:t>预测时段</w:t>
      </w:r>
    </w:p>
    <w:p>
      <w:pPr>
        <w:snapToGrid w:val="0"/>
        <w:spacing w:line="500" w:lineRule="exact"/>
        <w:ind w:firstLine="480" w:firstLineChars="200"/>
        <w:rPr>
          <w:sz w:val="24"/>
        </w:rPr>
      </w:pPr>
      <w:r>
        <w:rPr>
          <w:sz w:val="24"/>
        </w:rPr>
        <w:t>根据导则要求，对本项目运营期和服务期满后进行地下水水质预测，预测时段选取100天、1000天及服务年限14年。</w:t>
      </w:r>
    </w:p>
    <w:p>
      <w:pPr>
        <w:snapToGrid w:val="0"/>
        <w:spacing w:line="500" w:lineRule="exact"/>
        <w:ind w:firstLine="480" w:firstLineChars="200"/>
        <w:rPr>
          <w:sz w:val="24"/>
        </w:rPr>
      </w:pPr>
      <w:r>
        <w:rPr>
          <w:sz w:val="24"/>
        </w:rPr>
        <w:t>d</w:t>
      </w:r>
      <w:r>
        <w:rPr>
          <w:rFonts w:hint="eastAsia"/>
          <w:sz w:val="24"/>
        </w:rPr>
        <w:t>.</w:t>
      </w:r>
      <w:r>
        <w:rPr>
          <w:sz w:val="24"/>
        </w:rPr>
        <w:t>预测结果</w:t>
      </w:r>
    </w:p>
    <w:p>
      <w:pPr>
        <w:snapToGrid w:val="0"/>
        <w:spacing w:line="500" w:lineRule="exact"/>
        <w:ind w:firstLine="480" w:firstLineChars="200"/>
        <w:rPr>
          <w:sz w:val="24"/>
        </w:rPr>
      </w:pPr>
      <w:r>
        <w:rPr>
          <w:kern w:val="0"/>
          <w:sz w:val="24"/>
        </w:rPr>
        <w:t>本次模拟根据情景设定的主要污染源分布位置，预测在防渗膜出现破损情景下，水相污染物在地下水中迁移过程，进一步分析污染物影响范围。</w:t>
      </w:r>
      <w:r>
        <w:rPr>
          <w:sz w:val="24"/>
        </w:rPr>
        <w:t>NH</w:t>
      </w:r>
      <w:r>
        <w:rPr>
          <w:sz w:val="24"/>
          <w:vertAlign w:val="subscript"/>
        </w:rPr>
        <w:t>3</w:t>
      </w:r>
      <w:r>
        <w:rPr>
          <w:sz w:val="24"/>
        </w:rPr>
        <w:t>-N</w:t>
      </w:r>
      <w:r>
        <w:rPr>
          <w:kern w:val="0"/>
          <w:sz w:val="24"/>
        </w:rPr>
        <w:t>标准限值参照《地下水质量标准》（GB/T 14848-</w:t>
      </w:r>
      <w:r>
        <w:rPr>
          <w:rFonts w:hint="eastAsia"/>
          <w:kern w:val="0"/>
          <w:sz w:val="24"/>
        </w:rPr>
        <w:t>2017</w:t>
      </w:r>
      <w:r>
        <w:rPr>
          <w:kern w:val="0"/>
          <w:sz w:val="24"/>
        </w:rPr>
        <w:t>）III类标准，当预测结果小于标准限值0.</w:t>
      </w:r>
      <w:r>
        <w:rPr>
          <w:rFonts w:hint="eastAsia"/>
          <w:kern w:val="0"/>
          <w:sz w:val="24"/>
        </w:rPr>
        <w:t>5</w:t>
      </w:r>
      <w:r>
        <w:rPr>
          <w:kern w:val="0"/>
          <w:sz w:val="24"/>
        </w:rPr>
        <w:t>mg/L时则视同对地下水环境没有影响。</w:t>
      </w:r>
    </w:p>
    <w:p>
      <w:pPr>
        <w:spacing w:line="500" w:lineRule="exact"/>
        <w:ind w:firstLine="480" w:firstLineChars="200"/>
        <w:rPr>
          <w:color w:val="000000" w:themeColor="text1"/>
          <w:kern w:val="0"/>
          <w:sz w:val="24"/>
          <w14:textFill>
            <w14:solidFill>
              <w14:schemeClr w14:val="tx1"/>
            </w14:solidFill>
          </w14:textFill>
        </w:rPr>
      </w:pPr>
      <w:r>
        <w:rPr>
          <w:kern w:val="0"/>
          <w:sz w:val="24"/>
        </w:rPr>
        <w:t>非正常工况下，</w:t>
      </w:r>
      <w:r>
        <w:rPr>
          <w:rFonts w:hint="eastAsia"/>
          <w:kern w:val="0"/>
          <w:sz w:val="24"/>
        </w:rPr>
        <w:t>项目库区</w:t>
      </w:r>
      <w:r>
        <w:rPr>
          <w:kern w:val="0"/>
          <w:sz w:val="24"/>
        </w:rPr>
        <w:t>防渗膜破裂</w:t>
      </w:r>
      <w:r>
        <w:rPr>
          <w:sz w:val="24"/>
        </w:rPr>
        <w:t>NH</w:t>
      </w:r>
      <w:r>
        <w:rPr>
          <w:sz w:val="24"/>
          <w:vertAlign w:val="subscript"/>
        </w:rPr>
        <w:t>3</w:t>
      </w:r>
      <w:r>
        <w:rPr>
          <w:sz w:val="24"/>
        </w:rPr>
        <w:t>-N</w:t>
      </w:r>
      <w:r>
        <w:rPr>
          <w:kern w:val="0"/>
          <w:sz w:val="24"/>
        </w:rPr>
        <w:t>渗漏对地下水污染预测结果</w:t>
      </w:r>
      <w:r>
        <w:rPr>
          <w:rFonts w:hint="eastAsia"/>
          <w:kern w:val="0"/>
          <w:sz w:val="24"/>
        </w:rPr>
        <w:t>详</w:t>
      </w:r>
      <w:r>
        <w:rPr>
          <w:rFonts w:hint="eastAsia"/>
          <w:color w:val="000000" w:themeColor="text1"/>
          <w:kern w:val="0"/>
          <w:sz w:val="24"/>
          <w14:textFill>
            <w14:solidFill>
              <w14:schemeClr w14:val="tx1"/>
            </w14:solidFill>
          </w14:textFill>
        </w:rPr>
        <w:t>见下表和图。</w:t>
      </w:r>
    </w:p>
    <w:p>
      <w:pPr>
        <w:snapToGrid w:val="0"/>
        <w:spacing w:line="500" w:lineRule="atLeast"/>
        <w:jc w:val="center"/>
        <w:rPr>
          <w:b/>
          <w:spacing w:val="4"/>
          <w:sz w:val="24"/>
        </w:rPr>
      </w:pPr>
      <w:r>
        <w:rPr>
          <w:rFonts w:hint="eastAsia"/>
          <w:b/>
          <w:spacing w:val="4"/>
          <w:sz w:val="24"/>
        </w:rPr>
        <w:t>表5.3-3  非正常工况下库区渗滤液渗漏NH</w:t>
      </w:r>
      <w:r>
        <w:rPr>
          <w:rFonts w:hint="eastAsia"/>
          <w:b/>
          <w:spacing w:val="4"/>
          <w:sz w:val="24"/>
          <w:vertAlign w:val="subscript"/>
        </w:rPr>
        <w:t>3</w:t>
      </w:r>
      <w:r>
        <w:rPr>
          <w:rFonts w:hint="eastAsia"/>
          <w:b/>
          <w:spacing w:val="4"/>
          <w:sz w:val="24"/>
        </w:rPr>
        <w:t>-N对奥灰含水层影响范围</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04"/>
        <w:gridCol w:w="1056"/>
        <w:gridCol w:w="1056"/>
        <w:gridCol w:w="1056"/>
        <w:gridCol w:w="1056"/>
        <w:gridCol w:w="1056"/>
        <w:gridCol w:w="18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exact"/>
          <w:jc w:val="center"/>
        </w:trPr>
        <w:tc>
          <w:tcPr>
            <w:tcW w:w="1404" w:type="dxa"/>
            <w:tcBorders>
              <w:tl2br w:val="nil"/>
              <w:tr2bl w:val="nil"/>
            </w:tcBorders>
            <w:vAlign w:val="center"/>
          </w:tcPr>
          <w:p>
            <w:pPr>
              <w:snapToGrid w:val="0"/>
              <w:spacing w:line="240" w:lineRule="exact"/>
              <w:jc w:val="center"/>
              <w:rPr>
                <w:b/>
                <w:bCs/>
                <w:szCs w:val="21"/>
              </w:rPr>
            </w:pPr>
            <w:r>
              <w:rPr>
                <w:kern w:val="0"/>
              </w:rPr>
              <w:t>预测时段</w:t>
            </w:r>
          </w:p>
        </w:tc>
        <w:tc>
          <w:tcPr>
            <w:tcW w:w="1056" w:type="dxa"/>
            <w:tcBorders>
              <w:tl2br w:val="nil"/>
              <w:tr2bl w:val="nil"/>
            </w:tcBorders>
            <w:vAlign w:val="center"/>
          </w:tcPr>
          <w:p>
            <w:pPr>
              <w:autoSpaceDN w:val="0"/>
              <w:spacing w:line="240" w:lineRule="exact"/>
              <w:jc w:val="center"/>
              <w:textAlignment w:val="center"/>
            </w:pPr>
            <w:r>
              <w:t>下游</w:t>
            </w:r>
          </w:p>
          <w:p>
            <w:pPr>
              <w:autoSpaceDN w:val="0"/>
              <w:spacing w:line="240" w:lineRule="exact"/>
              <w:jc w:val="center"/>
              <w:textAlignment w:val="center"/>
              <w:rPr>
                <w:szCs w:val="21"/>
              </w:rPr>
            </w:pPr>
            <w:r>
              <w:t>（m）</w:t>
            </w:r>
          </w:p>
        </w:tc>
        <w:tc>
          <w:tcPr>
            <w:tcW w:w="1056" w:type="dxa"/>
            <w:tcBorders>
              <w:tl2br w:val="nil"/>
              <w:tr2bl w:val="nil"/>
            </w:tcBorders>
            <w:vAlign w:val="center"/>
          </w:tcPr>
          <w:p>
            <w:pPr>
              <w:spacing w:line="240" w:lineRule="exact"/>
              <w:jc w:val="center"/>
            </w:pPr>
            <w:r>
              <w:t>上游</w:t>
            </w:r>
          </w:p>
          <w:p>
            <w:pPr>
              <w:spacing w:line="240" w:lineRule="exact"/>
              <w:jc w:val="center"/>
              <w:rPr>
                <w:szCs w:val="21"/>
              </w:rPr>
            </w:pPr>
            <w:r>
              <w:t>（m）</w:t>
            </w:r>
          </w:p>
        </w:tc>
        <w:tc>
          <w:tcPr>
            <w:tcW w:w="1056" w:type="dxa"/>
            <w:tcBorders>
              <w:tl2br w:val="nil"/>
              <w:tr2bl w:val="nil"/>
            </w:tcBorders>
            <w:vAlign w:val="center"/>
          </w:tcPr>
          <w:p>
            <w:pPr>
              <w:spacing w:line="240" w:lineRule="exact"/>
              <w:jc w:val="center"/>
            </w:pPr>
            <w:r>
              <w:t>左侧</w:t>
            </w:r>
          </w:p>
          <w:p>
            <w:pPr>
              <w:spacing w:line="240" w:lineRule="exact"/>
              <w:jc w:val="center"/>
              <w:rPr>
                <w:szCs w:val="21"/>
              </w:rPr>
            </w:pPr>
            <w:r>
              <w:t>（m）</w:t>
            </w:r>
          </w:p>
        </w:tc>
        <w:tc>
          <w:tcPr>
            <w:tcW w:w="1056" w:type="dxa"/>
            <w:tcBorders>
              <w:tl2br w:val="nil"/>
              <w:tr2bl w:val="nil"/>
            </w:tcBorders>
            <w:vAlign w:val="center"/>
          </w:tcPr>
          <w:p>
            <w:pPr>
              <w:spacing w:line="240" w:lineRule="exact"/>
              <w:jc w:val="center"/>
            </w:pPr>
            <w:r>
              <w:t>右侧</w:t>
            </w:r>
          </w:p>
          <w:p>
            <w:pPr>
              <w:spacing w:line="240" w:lineRule="exact"/>
              <w:jc w:val="center"/>
              <w:rPr>
                <w:szCs w:val="21"/>
              </w:rPr>
            </w:pPr>
            <w:r>
              <w:t>（m）</w:t>
            </w:r>
          </w:p>
        </w:tc>
        <w:tc>
          <w:tcPr>
            <w:tcW w:w="1056" w:type="dxa"/>
            <w:tcBorders>
              <w:tl2br w:val="nil"/>
              <w:tr2bl w:val="nil"/>
            </w:tcBorders>
            <w:vAlign w:val="center"/>
          </w:tcPr>
          <w:p>
            <w:pPr>
              <w:spacing w:line="240" w:lineRule="exact"/>
              <w:jc w:val="center"/>
              <w:rPr>
                <w:kern w:val="0"/>
              </w:rPr>
            </w:pPr>
            <w:r>
              <w:rPr>
                <w:kern w:val="0"/>
              </w:rPr>
              <w:t>影响范围</w:t>
            </w:r>
          </w:p>
          <w:p>
            <w:pPr>
              <w:spacing w:line="240" w:lineRule="exact"/>
              <w:jc w:val="center"/>
              <w:rPr>
                <w:szCs w:val="21"/>
              </w:rPr>
            </w:pPr>
            <w:r>
              <w:rPr>
                <w:kern w:val="0"/>
              </w:rPr>
              <w:t>（m</w:t>
            </w:r>
            <w:r>
              <w:rPr>
                <w:kern w:val="0"/>
                <w:vertAlign w:val="superscript"/>
              </w:rPr>
              <w:t>2</w:t>
            </w:r>
            <w:r>
              <w:rPr>
                <w:kern w:val="0"/>
              </w:rPr>
              <w:t>）</w:t>
            </w:r>
          </w:p>
        </w:tc>
        <w:tc>
          <w:tcPr>
            <w:tcW w:w="1835" w:type="dxa"/>
            <w:tcBorders>
              <w:tl2br w:val="nil"/>
              <w:tr2bl w:val="nil"/>
            </w:tcBorders>
            <w:vAlign w:val="center"/>
          </w:tcPr>
          <w:p>
            <w:pPr>
              <w:spacing w:line="240" w:lineRule="exact"/>
              <w:jc w:val="center"/>
              <w:rPr>
                <w:szCs w:val="21"/>
              </w:rPr>
            </w:pPr>
            <w:r>
              <w:rPr>
                <w:rFonts w:hint="eastAsia"/>
                <w:kern w:val="0"/>
              </w:rPr>
              <w:t>预测影响范围内有无</w:t>
            </w:r>
            <w:r>
              <w:rPr>
                <w:kern w:val="0"/>
              </w:rPr>
              <w:t>村庄水井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404" w:type="dxa"/>
            <w:tcBorders>
              <w:tl2br w:val="nil"/>
              <w:tr2bl w:val="nil"/>
            </w:tcBorders>
            <w:vAlign w:val="center"/>
          </w:tcPr>
          <w:p>
            <w:pPr>
              <w:snapToGrid w:val="0"/>
              <w:spacing w:line="240" w:lineRule="exact"/>
              <w:jc w:val="center"/>
              <w:rPr>
                <w:b/>
                <w:bCs/>
                <w:szCs w:val="21"/>
              </w:rPr>
            </w:pPr>
            <w:r>
              <w:rPr>
                <w:kern w:val="0"/>
              </w:rPr>
              <w:t>100天</w:t>
            </w:r>
          </w:p>
        </w:tc>
        <w:tc>
          <w:tcPr>
            <w:tcW w:w="1056" w:type="dxa"/>
            <w:tcBorders>
              <w:tl2br w:val="nil"/>
              <w:tr2bl w:val="nil"/>
            </w:tcBorders>
            <w:vAlign w:val="center"/>
          </w:tcPr>
          <w:p>
            <w:pPr>
              <w:spacing w:line="240" w:lineRule="exact"/>
              <w:jc w:val="center"/>
              <w:rPr>
                <w:szCs w:val="21"/>
              </w:rPr>
            </w:pPr>
            <w:r>
              <w:t>108</w:t>
            </w:r>
          </w:p>
        </w:tc>
        <w:tc>
          <w:tcPr>
            <w:tcW w:w="1056" w:type="dxa"/>
            <w:tcBorders>
              <w:tl2br w:val="nil"/>
              <w:tr2bl w:val="nil"/>
            </w:tcBorders>
            <w:vAlign w:val="center"/>
          </w:tcPr>
          <w:p>
            <w:pPr>
              <w:spacing w:line="240" w:lineRule="exact"/>
              <w:jc w:val="center"/>
              <w:rPr>
                <w:szCs w:val="21"/>
              </w:rPr>
            </w:pPr>
            <w:r>
              <w:t>21</w:t>
            </w:r>
          </w:p>
        </w:tc>
        <w:tc>
          <w:tcPr>
            <w:tcW w:w="1056" w:type="dxa"/>
            <w:tcBorders>
              <w:tl2br w:val="nil"/>
              <w:tr2bl w:val="nil"/>
            </w:tcBorders>
            <w:vAlign w:val="center"/>
          </w:tcPr>
          <w:p>
            <w:pPr>
              <w:snapToGrid w:val="0"/>
              <w:spacing w:line="240" w:lineRule="exact"/>
              <w:jc w:val="center"/>
              <w:rPr>
                <w:szCs w:val="21"/>
              </w:rPr>
            </w:pPr>
            <w:r>
              <w:t>47</w:t>
            </w:r>
          </w:p>
        </w:tc>
        <w:tc>
          <w:tcPr>
            <w:tcW w:w="1056" w:type="dxa"/>
            <w:tcBorders>
              <w:tl2br w:val="nil"/>
              <w:tr2bl w:val="nil"/>
            </w:tcBorders>
            <w:vAlign w:val="center"/>
          </w:tcPr>
          <w:p>
            <w:pPr>
              <w:snapToGrid w:val="0"/>
              <w:spacing w:line="240" w:lineRule="exact"/>
              <w:jc w:val="center"/>
              <w:rPr>
                <w:szCs w:val="21"/>
              </w:rPr>
            </w:pPr>
            <w:r>
              <w:t>44</w:t>
            </w:r>
          </w:p>
        </w:tc>
        <w:tc>
          <w:tcPr>
            <w:tcW w:w="1056" w:type="dxa"/>
            <w:tcBorders>
              <w:tl2br w:val="nil"/>
              <w:tr2bl w:val="nil"/>
            </w:tcBorders>
            <w:vAlign w:val="center"/>
          </w:tcPr>
          <w:p>
            <w:pPr>
              <w:spacing w:line="240" w:lineRule="exact"/>
              <w:jc w:val="center"/>
              <w:rPr>
                <w:szCs w:val="21"/>
              </w:rPr>
            </w:pPr>
            <w:r>
              <w:t>6622</w:t>
            </w:r>
          </w:p>
        </w:tc>
        <w:tc>
          <w:tcPr>
            <w:tcW w:w="1835" w:type="dxa"/>
            <w:tcBorders>
              <w:tl2br w:val="nil"/>
              <w:tr2bl w:val="nil"/>
            </w:tcBorders>
            <w:vAlign w:val="center"/>
          </w:tcPr>
          <w:p>
            <w:pPr>
              <w:spacing w:line="240" w:lineRule="exact"/>
              <w:jc w:val="center"/>
              <w:rPr>
                <w:szCs w:val="21"/>
              </w:rPr>
            </w:pPr>
            <w: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404" w:type="dxa"/>
            <w:tcBorders>
              <w:tl2br w:val="nil"/>
              <w:tr2bl w:val="nil"/>
            </w:tcBorders>
            <w:vAlign w:val="center"/>
          </w:tcPr>
          <w:p>
            <w:pPr>
              <w:snapToGrid w:val="0"/>
              <w:spacing w:line="240" w:lineRule="exact"/>
              <w:jc w:val="center"/>
              <w:rPr>
                <w:rFonts w:eastAsiaTheme="minorEastAsia"/>
                <w:b/>
                <w:bCs/>
                <w:color w:val="000000"/>
                <w:kern w:val="0"/>
                <w:szCs w:val="21"/>
              </w:rPr>
            </w:pPr>
            <w:r>
              <w:rPr>
                <w:kern w:val="0"/>
              </w:rPr>
              <w:t>1000天</w:t>
            </w:r>
          </w:p>
        </w:tc>
        <w:tc>
          <w:tcPr>
            <w:tcW w:w="1056" w:type="dxa"/>
            <w:tcBorders>
              <w:tl2br w:val="nil"/>
              <w:tr2bl w:val="nil"/>
            </w:tcBorders>
            <w:vAlign w:val="center"/>
          </w:tcPr>
          <w:p>
            <w:pPr>
              <w:spacing w:line="240" w:lineRule="exact"/>
              <w:jc w:val="center"/>
              <w:rPr>
                <w:rFonts w:eastAsiaTheme="minorEastAsia"/>
                <w:color w:val="000000"/>
                <w:kern w:val="0"/>
                <w:szCs w:val="21"/>
              </w:rPr>
            </w:pPr>
            <w:r>
              <w:t>287</w:t>
            </w:r>
          </w:p>
        </w:tc>
        <w:tc>
          <w:tcPr>
            <w:tcW w:w="1056" w:type="dxa"/>
            <w:tcBorders>
              <w:tl2br w:val="nil"/>
              <w:tr2bl w:val="nil"/>
            </w:tcBorders>
            <w:vAlign w:val="center"/>
          </w:tcPr>
          <w:p>
            <w:pPr>
              <w:spacing w:line="240" w:lineRule="exact"/>
              <w:jc w:val="center"/>
              <w:rPr>
                <w:rFonts w:eastAsiaTheme="minorEastAsia"/>
                <w:color w:val="000000"/>
                <w:kern w:val="0"/>
                <w:szCs w:val="21"/>
              </w:rPr>
            </w:pPr>
            <w:r>
              <w:t>36</w:t>
            </w:r>
          </w:p>
        </w:tc>
        <w:tc>
          <w:tcPr>
            <w:tcW w:w="1056" w:type="dxa"/>
            <w:tcBorders>
              <w:tl2br w:val="nil"/>
              <w:tr2bl w:val="nil"/>
            </w:tcBorders>
            <w:vAlign w:val="center"/>
          </w:tcPr>
          <w:p>
            <w:pPr>
              <w:snapToGrid w:val="0"/>
              <w:spacing w:line="240" w:lineRule="exact"/>
              <w:jc w:val="center"/>
              <w:rPr>
                <w:rFonts w:eastAsiaTheme="minorEastAsia"/>
                <w:color w:val="000000"/>
                <w:kern w:val="0"/>
                <w:szCs w:val="21"/>
              </w:rPr>
            </w:pPr>
            <w:r>
              <w:t>44</w:t>
            </w:r>
          </w:p>
        </w:tc>
        <w:tc>
          <w:tcPr>
            <w:tcW w:w="1056" w:type="dxa"/>
            <w:tcBorders>
              <w:tl2br w:val="nil"/>
              <w:tr2bl w:val="nil"/>
            </w:tcBorders>
            <w:vAlign w:val="center"/>
          </w:tcPr>
          <w:p>
            <w:pPr>
              <w:snapToGrid w:val="0"/>
              <w:spacing w:line="240" w:lineRule="exact"/>
              <w:jc w:val="center"/>
              <w:rPr>
                <w:rFonts w:eastAsiaTheme="minorEastAsia"/>
                <w:color w:val="000000"/>
                <w:kern w:val="0"/>
                <w:szCs w:val="21"/>
              </w:rPr>
            </w:pPr>
            <w:r>
              <w:t>41</w:t>
            </w:r>
          </w:p>
        </w:tc>
        <w:tc>
          <w:tcPr>
            <w:tcW w:w="1056" w:type="dxa"/>
            <w:tcBorders>
              <w:tl2br w:val="nil"/>
              <w:tr2bl w:val="nil"/>
            </w:tcBorders>
            <w:vAlign w:val="center"/>
          </w:tcPr>
          <w:p>
            <w:pPr>
              <w:spacing w:line="240" w:lineRule="exact"/>
              <w:jc w:val="center"/>
              <w:rPr>
                <w:rFonts w:eastAsiaTheme="minorEastAsia"/>
                <w:color w:val="000000"/>
                <w:kern w:val="0"/>
                <w:szCs w:val="21"/>
              </w:rPr>
            </w:pPr>
            <w:r>
              <w:t>41427</w:t>
            </w:r>
          </w:p>
        </w:tc>
        <w:tc>
          <w:tcPr>
            <w:tcW w:w="1835" w:type="dxa"/>
            <w:tcBorders>
              <w:tl2br w:val="nil"/>
              <w:tr2bl w:val="nil"/>
            </w:tcBorders>
            <w:vAlign w:val="center"/>
          </w:tcPr>
          <w:p>
            <w:pPr>
              <w:spacing w:line="240" w:lineRule="exact"/>
              <w:jc w:val="center"/>
              <w:rPr>
                <w:rFonts w:eastAsiaTheme="minorEastAsia"/>
                <w:color w:val="000000"/>
                <w:kern w:val="0"/>
                <w:szCs w:val="21"/>
              </w:rPr>
            </w:pPr>
            <w: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404" w:type="dxa"/>
            <w:tcBorders>
              <w:tl2br w:val="nil"/>
              <w:tr2bl w:val="nil"/>
            </w:tcBorders>
            <w:vAlign w:val="center"/>
          </w:tcPr>
          <w:p>
            <w:pPr>
              <w:snapToGrid w:val="0"/>
              <w:spacing w:line="240" w:lineRule="exact"/>
              <w:jc w:val="center"/>
              <w:rPr>
                <w:rFonts w:eastAsiaTheme="minorEastAsia"/>
                <w:b/>
                <w:bCs/>
                <w:color w:val="000000"/>
                <w:kern w:val="0"/>
                <w:szCs w:val="21"/>
              </w:rPr>
            </w:pPr>
            <w:r>
              <w:rPr>
                <w:kern w:val="0"/>
              </w:rPr>
              <w:t>14年</w:t>
            </w:r>
          </w:p>
        </w:tc>
        <w:tc>
          <w:tcPr>
            <w:tcW w:w="1056" w:type="dxa"/>
            <w:tcBorders>
              <w:tl2br w:val="nil"/>
              <w:tr2bl w:val="nil"/>
            </w:tcBorders>
            <w:vAlign w:val="center"/>
          </w:tcPr>
          <w:p>
            <w:pPr>
              <w:spacing w:line="240" w:lineRule="exact"/>
              <w:jc w:val="center"/>
              <w:rPr>
                <w:rFonts w:eastAsiaTheme="minorEastAsia"/>
                <w:color w:val="000000"/>
                <w:kern w:val="0"/>
                <w:szCs w:val="21"/>
              </w:rPr>
            </w:pPr>
            <w:r>
              <w:t>473</w:t>
            </w:r>
          </w:p>
        </w:tc>
        <w:tc>
          <w:tcPr>
            <w:tcW w:w="1056" w:type="dxa"/>
            <w:tcBorders>
              <w:tl2br w:val="nil"/>
              <w:tr2bl w:val="nil"/>
            </w:tcBorders>
            <w:vAlign w:val="center"/>
          </w:tcPr>
          <w:p>
            <w:pPr>
              <w:spacing w:line="240" w:lineRule="exact"/>
              <w:jc w:val="center"/>
              <w:rPr>
                <w:rFonts w:eastAsiaTheme="minorEastAsia"/>
                <w:color w:val="000000"/>
                <w:kern w:val="0"/>
                <w:szCs w:val="21"/>
              </w:rPr>
            </w:pPr>
            <w:r>
              <w:t>69</w:t>
            </w:r>
          </w:p>
        </w:tc>
        <w:tc>
          <w:tcPr>
            <w:tcW w:w="1056" w:type="dxa"/>
            <w:tcBorders>
              <w:tl2br w:val="nil"/>
              <w:tr2bl w:val="nil"/>
            </w:tcBorders>
            <w:vAlign w:val="center"/>
          </w:tcPr>
          <w:p>
            <w:pPr>
              <w:snapToGrid w:val="0"/>
              <w:spacing w:line="240" w:lineRule="exact"/>
              <w:jc w:val="center"/>
              <w:rPr>
                <w:rFonts w:eastAsiaTheme="minorEastAsia"/>
                <w:color w:val="000000"/>
                <w:kern w:val="0"/>
                <w:szCs w:val="21"/>
              </w:rPr>
            </w:pPr>
            <w:r>
              <w:t>77</w:t>
            </w:r>
          </w:p>
        </w:tc>
        <w:tc>
          <w:tcPr>
            <w:tcW w:w="1056" w:type="dxa"/>
            <w:tcBorders>
              <w:tl2br w:val="nil"/>
              <w:tr2bl w:val="nil"/>
            </w:tcBorders>
            <w:vAlign w:val="center"/>
          </w:tcPr>
          <w:p>
            <w:pPr>
              <w:snapToGrid w:val="0"/>
              <w:spacing w:line="240" w:lineRule="exact"/>
              <w:jc w:val="center"/>
              <w:rPr>
                <w:rFonts w:eastAsiaTheme="minorEastAsia"/>
                <w:color w:val="000000"/>
                <w:kern w:val="0"/>
                <w:szCs w:val="21"/>
              </w:rPr>
            </w:pPr>
            <w:r>
              <w:t>75</w:t>
            </w:r>
          </w:p>
        </w:tc>
        <w:tc>
          <w:tcPr>
            <w:tcW w:w="1056" w:type="dxa"/>
            <w:tcBorders>
              <w:tl2br w:val="nil"/>
              <w:tr2bl w:val="nil"/>
            </w:tcBorders>
            <w:vAlign w:val="center"/>
          </w:tcPr>
          <w:p>
            <w:pPr>
              <w:spacing w:line="240" w:lineRule="exact"/>
              <w:jc w:val="center"/>
              <w:rPr>
                <w:rFonts w:eastAsiaTheme="minorEastAsia"/>
                <w:color w:val="000000"/>
                <w:kern w:val="0"/>
                <w:szCs w:val="21"/>
              </w:rPr>
            </w:pPr>
            <w:r>
              <w:t>295421</w:t>
            </w:r>
          </w:p>
        </w:tc>
        <w:tc>
          <w:tcPr>
            <w:tcW w:w="1835" w:type="dxa"/>
            <w:tcBorders>
              <w:tl2br w:val="nil"/>
              <w:tr2bl w:val="nil"/>
            </w:tcBorders>
            <w:vAlign w:val="center"/>
          </w:tcPr>
          <w:p>
            <w:pPr>
              <w:spacing w:line="240" w:lineRule="exact"/>
              <w:jc w:val="center"/>
              <w:rPr>
                <w:rFonts w:eastAsiaTheme="minorEastAsia"/>
                <w:color w:val="000000"/>
                <w:kern w:val="0"/>
                <w:szCs w:val="21"/>
              </w:rPr>
            </w:pPr>
            <w:r>
              <w:t>无</w:t>
            </w:r>
          </w:p>
        </w:tc>
      </w:tr>
    </w:tbl>
    <w:p>
      <w:pPr>
        <w:spacing w:line="500" w:lineRule="exact"/>
        <w:ind w:firstLine="480" w:firstLineChars="200"/>
        <w:rPr>
          <w:bCs/>
          <w:sz w:val="24"/>
        </w:rPr>
      </w:pPr>
      <w:r>
        <w:rPr>
          <w:bCs/>
          <w:sz w:val="24"/>
        </w:rPr>
        <w:t>根据模拟预测结果，库区底层防渗膜破裂后，氨氮沿地下水流方向向下游迁移，而且随着时间迁移距离的变长，最大运移距离473m。在污染源下游473m及更远距离处污染物浓度达到地下水Ⅲ类水质标准要求</w:t>
      </w:r>
      <w:r>
        <w:rPr>
          <w:rFonts w:hint="eastAsia"/>
          <w:bCs/>
          <w:sz w:val="24"/>
        </w:rPr>
        <w:t>，最大影响范围约2.95km</w:t>
      </w:r>
      <w:r>
        <w:rPr>
          <w:rFonts w:hint="eastAsia"/>
          <w:bCs/>
          <w:sz w:val="24"/>
          <w:vertAlign w:val="superscript"/>
        </w:rPr>
        <w:t>2</w:t>
      </w:r>
      <w:r>
        <w:rPr>
          <w:rFonts w:hint="eastAsia"/>
          <w:bCs/>
          <w:sz w:val="24"/>
        </w:rPr>
        <w:t>，影响范围内无具有供水意义的村庄水源井。</w:t>
      </w:r>
    </w:p>
    <w:p>
      <w:pPr>
        <w:spacing w:line="500" w:lineRule="exact"/>
        <w:ind w:firstLine="480" w:firstLineChars="200"/>
        <w:rPr>
          <w:bCs/>
          <w:sz w:val="24"/>
        </w:rPr>
      </w:pPr>
      <w:r>
        <w:rPr>
          <w:rFonts w:hint="eastAsia"/>
          <w:bCs/>
          <w:sz w:val="24"/>
        </w:rPr>
        <w:t>本项目场地区域地下水流向为由东向西流向长治盆地，而后向北到潞城区，最后再东流向浊漳河河谷辛安泉域排泄区，壶关县北关深井水源地、集店镇集中供水水源地、常平开发区集中供水水源地均位于场地的西南方向，不属于地下水流向下游位置，且与项目场地距离分别约为9.0km、7.0km、5.0km，相对均较远。壶关县地下水资源贫乏，经调查，本项目场地周边村庄主要利用各自乡镇集中供水水源，项目场地周边及评价范围内无具有供水意义的村庄分散式水源井。</w:t>
      </w:r>
    </w:p>
    <w:p>
      <w:pPr>
        <w:spacing w:line="500" w:lineRule="exact"/>
        <w:ind w:firstLine="480" w:firstLineChars="200"/>
        <w:rPr>
          <w:bCs/>
          <w:sz w:val="24"/>
        </w:rPr>
      </w:pPr>
      <w:r>
        <w:rPr>
          <w:rFonts w:hint="eastAsia"/>
          <w:bCs/>
          <w:sz w:val="24"/>
        </w:rPr>
        <w:t>由以上可知，如出现预设情景下的下渗，项目场地渗滤液对区域地下水的影响范围相对较小，对壶关县北关深井水源地、集店镇集中供水水源地、常平开发区集中供水水源地等敏感目标不会产生大的影响。</w:t>
      </w:r>
    </w:p>
    <w:p>
      <w:pPr>
        <w:pStyle w:val="2"/>
      </w:pPr>
      <w:r>
        <w:drawing>
          <wp:inline distT="0" distB="0" distL="0" distR="0">
            <wp:extent cx="4905375" cy="5278755"/>
            <wp:effectExtent l="19050" t="0" r="9525" b="0"/>
            <wp:docPr id="10" name="图片 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00"/>
                    <pic:cNvPicPr>
                      <a:picLocks noChangeAspect="1"/>
                    </pic:cNvPicPr>
                  </pic:nvPicPr>
                  <pic:blipFill>
                    <a:blip r:embed="rId89" cstate="print"/>
                    <a:stretch>
                      <a:fillRect/>
                    </a:stretch>
                  </pic:blipFill>
                  <pic:spPr>
                    <a:xfrm>
                      <a:off x="0" y="0"/>
                      <a:ext cx="4905375" cy="5278755"/>
                    </a:xfrm>
                    <a:prstGeom prst="rect">
                      <a:avLst/>
                    </a:prstGeom>
                    <a:noFill/>
                    <a:ln w="9525">
                      <a:noFill/>
                    </a:ln>
                  </pic:spPr>
                </pic:pic>
              </a:graphicData>
            </a:graphic>
          </wp:inline>
        </w:drawing>
      </w:r>
    </w:p>
    <w:p>
      <w:pPr>
        <w:spacing w:line="360" w:lineRule="auto"/>
        <w:jc w:val="center"/>
        <w:rPr>
          <w:b/>
        </w:rPr>
      </w:pPr>
      <w:r>
        <w:rPr>
          <w:rFonts w:ascii="宋体" w:hAnsi="宋体"/>
          <w:b/>
        </w:rPr>
        <w:t>防渗膜破裂</w:t>
      </w:r>
      <w:r>
        <w:rPr>
          <w:b/>
        </w:rPr>
        <w:t>NH</w:t>
      </w:r>
      <w:r>
        <w:rPr>
          <w:b/>
          <w:vertAlign w:val="subscript"/>
        </w:rPr>
        <w:t>3</w:t>
      </w:r>
      <w:r>
        <w:rPr>
          <w:b/>
        </w:rPr>
        <w:t>-N</w:t>
      </w:r>
      <w:r>
        <w:rPr>
          <w:rFonts w:ascii="宋体" w:hAnsi="宋体"/>
          <w:b/>
        </w:rPr>
        <w:t>渗漏</w:t>
      </w:r>
      <w:r>
        <w:rPr>
          <w:b/>
        </w:rPr>
        <w:t>100</w:t>
      </w:r>
      <w:r>
        <w:rPr>
          <w:rFonts w:ascii="宋体" w:hAnsi="宋体"/>
          <w:b/>
        </w:rPr>
        <w:t>天后对奥灰含水层影响范围</w:t>
      </w:r>
    </w:p>
    <w:p>
      <w:pPr>
        <w:pStyle w:val="3"/>
        <w:jc w:val="both"/>
      </w:pPr>
      <w:r>
        <w:rPr>
          <w:rFonts w:hint="eastAsia"/>
        </w:rPr>
        <w:drawing>
          <wp:inline distT="0" distB="0" distL="0" distR="0">
            <wp:extent cx="5344160" cy="5791200"/>
            <wp:effectExtent l="19050" t="0" r="8364" b="0"/>
            <wp:docPr id="14" name="图片 13" descr="无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无标题2.jpg"/>
                    <pic:cNvPicPr>
                      <a:picLocks noChangeAspect="1"/>
                    </pic:cNvPicPr>
                  </pic:nvPicPr>
                  <pic:blipFill>
                    <a:blip r:embed="rId90" cstate="print"/>
                    <a:stretch>
                      <a:fillRect/>
                    </a:stretch>
                  </pic:blipFill>
                  <pic:spPr>
                    <a:xfrm>
                      <a:off x="0" y="0"/>
                      <a:ext cx="5344686" cy="5791770"/>
                    </a:xfrm>
                    <a:prstGeom prst="rect">
                      <a:avLst/>
                    </a:prstGeom>
                  </pic:spPr>
                </pic:pic>
              </a:graphicData>
            </a:graphic>
          </wp:inline>
        </w:drawing>
      </w:r>
    </w:p>
    <w:p>
      <w:pPr>
        <w:pStyle w:val="3"/>
      </w:pPr>
    </w:p>
    <w:p>
      <w:pPr>
        <w:spacing w:line="360" w:lineRule="auto"/>
        <w:jc w:val="center"/>
        <w:rPr>
          <w:b/>
        </w:rPr>
      </w:pPr>
      <w:r>
        <w:rPr>
          <w:rFonts w:ascii="宋体" w:hAnsi="宋体"/>
          <w:b/>
        </w:rPr>
        <w:t>防渗膜破裂</w:t>
      </w:r>
      <w:r>
        <w:rPr>
          <w:b/>
        </w:rPr>
        <w:t>NH</w:t>
      </w:r>
      <w:r>
        <w:rPr>
          <w:b/>
          <w:vertAlign w:val="subscript"/>
        </w:rPr>
        <w:t>3</w:t>
      </w:r>
      <w:r>
        <w:rPr>
          <w:b/>
        </w:rPr>
        <w:t>-N</w:t>
      </w:r>
      <w:r>
        <w:rPr>
          <w:rFonts w:ascii="宋体" w:hAnsi="宋体"/>
          <w:b/>
        </w:rPr>
        <w:t>渗漏</w:t>
      </w:r>
      <w:r>
        <w:rPr>
          <w:b/>
        </w:rPr>
        <w:t>1000</w:t>
      </w:r>
      <w:r>
        <w:rPr>
          <w:rFonts w:ascii="宋体" w:hAnsi="宋体"/>
          <w:b/>
        </w:rPr>
        <w:t>天后对奥灰含水层影响范围</w:t>
      </w:r>
    </w:p>
    <w:p>
      <w:pPr>
        <w:spacing w:line="360" w:lineRule="auto"/>
        <w:jc w:val="center"/>
        <w:rPr>
          <w:b/>
          <w:color w:val="FF0000"/>
        </w:rPr>
      </w:pPr>
      <w:r>
        <w:drawing>
          <wp:inline distT="0" distB="0" distL="0" distR="0">
            <wp:extent cx="5255260" cy="5876290"/>
            <wp:effectExtent l="19050" t="0" r="2105" b="0"/>
            <wp:docPr id="589" name="图片 589" descr="C:\Users\GIGABYTE\AppData\Local\Temp\ksohtml129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descr="C:\Users\GIGABYTE\AppData\Local\Temp\ksohtml12960\wps2.png"/>
                    <pic:cNvPicPr>
                      <a:picLocks noChangeAspect="1" noChangeArrowheads="1"/>
                    </pic:cNvPicPr>
                  </pic:nvPicPr>
                  <pic:blipFill>
                    <a:blip r:embed="rId91" cstate="print"/>
                    <a:srcRect/>
                    <a:stretch>
                      <a:fillRect/>
                    </a:stretch>
                  </pic:blipFill>
                  <pic:spPr>
                    <a:xfrm>
                      <a:off x="0" y="0"/>
                      <a:ext cx="5262151" cy="5883912"/>
                    </a:xfrm>
                    <a:prstGeom prst="rect">
                      <a:avLst/>
                    </a:prstGeom>
                    <a:noFill/>
                    <a:ln w="9525">
                      <a:noFill/>
                      <a:miter lim="800000"/>
                      <a:headEnd/>
                      <a:tailEnd/>
                    </a:ln>
                  </pic:spPr>
                </pic:pic>
              </a:graphicData>
            </a:graphic>
          </wp:inline>
        </w:drawing>
      </w:r>
    </w:p>
    <w:p>
      <w:pPr>
        <w:spacing w:line="360" w:lineRule="auto"/>
        <w:jc w:val="center"/>
        <w:rPr>
          <w:b/>
        </w:rPr>
      </w:pPr>
      <w:r>
        <w:rPr>
          <w:rFonts w:ascii="宋体" w:hAnsi="宋体"/>
          <w:b/>
        </w:rPr>
        <w:t>防渗膜破裂</w:t>
      </w:r>
      <w:r>
        <w:rPr>
          <w:b/>
        </w:rPr>
        <w:t>NH</w:t>
      </w:r>
      <w:r>
        <w:rPr>
          <w:b/>
          <w:vertAlign w:val="subscript"/>
        </w:rPr>
        <w:t>3</w:t>
      </w:r>
      <w:r>
        <w:rPr>
          <w:b/>
        </w:rPr>
        <w:t>-N</w:t>
      </w:r>
      <w:r>
        <w:rPr>
          <w:rFonts w:ascii="宋体" w:hAnsi="宋体"/>
          <w:b/>
        </w:rPr>
        <w:t>渗漏</w:t>
      </w:r>
      <w:r>
        <w:rPr>
          <w:b/>
        </w:rPr>
        <w:t>14</w:t>
      </w:r>
      <w:r>
        <w:rPr>
          <w:rFonts w:ascii="宋体" w:hAnsi="宋体"/>
          <w:b/>
        </w:rPr>
        <w:t>年后对奥灰含水层影响范围</w:t>
      </w:r>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Pr>
        <w:spacing w:line="500" w:lineRule="exact"/>
        <w:ind w:firstLine="480" w:firstLineChars="200"/>
        <w:jc w:val="left"/>
        <w:rPr>
          <w:kern w:val="0"/>
          <w:sz w:val="24"/>
        </w:rPr>
      </w:pPr>
      <w:r>
        <w:rPr>
          <w:rFonts w:hint="eastAsia"/>
          <w:kern w:val="0"/>
          <w:sz w:val="24"/>
        </w:rPr>
        <w:t>经调查，本项目现状在场地东侧（地下水流向上游）、南侧、北侧、西侧（地下水流向下游）分别设有1眼监测井，2022年9月，监测单位对上述4口监测井的水质进行了监测，根据监测结果，4口监测井各监测指标均可满足《地下水质量标准》（GB/T14848-2017）中III类标准限值要求。监测结果详见下表。</w:t>
      </w:r>
    </w:p>
    <w:p>
      <w:pPr>
        <w:spacing w:line="500" w:lineRule="exact"/>
        <w:jc w:val="center"/>
        <w:rPr>
          <w:rFonts w:eastAsia="黑体"/>
          <w:color w:val="000000"/>
          <w:sz w:val="24"/>
        </w:rPr>
      </w:pPr>
      <w:r>
        <w:rPr>
          <w:b/>
          <w:bCs/>
          <w:sz w:val="24"/>
        </w:rPr>
        <w:t>表</w:t>
      </w:r>
      <w:r>
        <w:rPr>
          <w:rFonts w:hint="eastAsia"/>
          <w:b/>
          <w:bCs/>
          <w:sz w:val="24"/>
        </w:rPr>
        <w:t>5</w:t>
      </w:r>
      <w:r>
        <w:rPr>
          <w:b/>
          <w:bCs/>
          <w:sz w:val="24"/>
        </w:rPr>
        <w:t>.</w:t>
      </w:r>
      <w:r>
        <w:rPr>
          <w:rFonts w:hint="eastAsia"/>
          <w:b/>
          <w:bCs/>
          <w:sz w:val="24"/>
        </w:rPr>
        <w:t>3</w:t>
      </w:r>
      <w:r>
        <w:rPr>
          <w:b/>
          <w:bCs/>
          <w:sz w:val="24"/>
        </w:rPr>
        <w:t>-</w:t>
      </w:r>
      <w:r>
        <w:rPr>
          <w:rFonts w:hint="eastAsia"/>
          <w:b/>
          <w:bCs/>
          <w:sz w:val="24"/>
        </w:rPr>
        <w:t>4场地四周监测井监测结果统计</w:t>
      </w:r>
      <w:r>
        <w:rPr>
          <w:b/>
          <w:bCs/>
          <w:sz w:val="24"/>
        </w:rPr>
        <w:t>表</w:t>
      </w:r>
    </w:p>
    <w:tbl>
      <w:tblPr>
        <w:tblStyle w:val="29"/>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65"/>
        <w:gridCol w:w="1418"/>
        <w:gridCol w:w="1418"/>
        <w:gridCol w:w="1418"/>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595" w:type="pct"/>
            <w:vAlign w:val="center"/>
          </w:tcPr>
          <w:p>
            <w:pPr>
              <w:spacing w:line="300" w:lineRule="exact"/>
              <w:jc w:val="center"/>
              <w:rPr>
                <w:szCs w:val="21"/>
              </w:rPr>
            </w:pPr>
            <w: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-1270</wp:posOffset>
                      </wp:positionV>
                      <wp:extent cx="1668780" cy="388620"/>
                      <wp:effectExtent l="1270" t="4445" r="6350" b="6985"/>
                      <wp:wrapNone/>
                      <wp:docPr id="19" name="直接连接符 19"/>
                      <wp:cNvGraphicFramePr/>
                      <a:graphic xmlns:a="http://schemas.openxmlformats.org/drawingml/2006/main">
                        <a:graphicData uri="http://schemas.microsoft.com/office/word/2010/wordprocessingShape">
                          <wps:wsp>
                            <wps:cNvCnPr/>
                            <wps:spPr>
                              <a:xfrm>
                                <a:off x="747395" y="3697605"/>
                                <a:ext cx="1668780" cy="3886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4pt;margin-top:-0.1pt;height:30.6pt;width:131.4pt;z-index:251671552;mso-width-relative:page;mso-height-relative:page;" filled="f" stroked="t" coordsize="21600,21600" o:gfxdata="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AqlXTAAAABQEAAA8AAAAAAAAAAQAgAAAAIgAAAGRycy9kb3ducmV2LnhtbFBL&#10;AQIUABQAAAAIAIdO4kB+vNvA+wEAANEDAAAOAAAAAAAAAAEAIAAAACIBAABkcnMvZTJvRG9jLnht&#10;bFBLBQYAAAAABgAGAFkBAACPBQAAAAA=&#10;">
                      <v:fill on="f" focussize="0,0"/>
                      <v:stroke weight="0.5pt" color="#000000" miterlimit="8" joinstyle="miter"/>
                      <v:imagedata o:title=""/>
                      <o:lock v:ext="edit" aspectratio="f"/>
                    </v:line>
                  </w:pict>
                </mc:Fallback>
              </mc:AlternateContent>
            </w:r>
            <w:r>
              <w:rPr>
                <w:rFonts w:hint="eastAsia"/>
                <w:szCs w:val="21"/>
              </w:rPr>
              <w:t xml:space="preserve">        监测</w:t>
            </w:r>
            <w:r>
              <w:rPr>
                <w:szCs w:val="21"/>
              </w:rPr>
              <w:t>点位</w:t>
            </w:r>
          </w:p>
          <w:p>
            <w:pPr>
              <w:pStyle w:val="10"/>
              <w:ind w:firstLine="0" w:firstLineChars="0"/>
            </w:pPr>
            <w:r>
              <w:rPr>
                <w:rFonts w:hint="eastAsia"/>
                <w:szCs w:val="21"/>
              </w:rPr>
              <w:t>监测项目</w:t>
            </w:r>
          </w:p>
        </w:tc>
        <w:tc>
          <w:tcPr>
            <w:tcW w:w="849" w:type="pct"/>
            <w:vAlign w:val="center"/>
          </w:tcPr>
          <w:p>
            <w:pPr>
              <w:spacing w:line="300" w:lineRule="exact"/>
              <w:jc w:val="center"/>
            </w:pPr>
            <w:r>
              <w:rPr>
                <w:rFonts w:hint="eastAsia"/>
              </w:rPr>
              <w:t>东侧上游</w:t>
            </w:r>
          </w:p>
          <w:p>
            <w:pPr>
              <w:spacing w:line="300" w:lineRule="exact"/>
              <w:jc w:val="center"/>
            </w:pPr>
            <w:r>
              <w:rPr>
                <w:rFonts w:hint="eastAsia"/>
              </w:rPr>
              <w:t>本底井</w:t>
            </w:r>
          </w:p>
        </w:tc>
        <w:tc>
          <w:tcPr>
            <w:tcW w:w="849" w:type="pct"/>
            <w:vAlign w:val="center"/>
          </w:tcPr>
          <w:p>
            <w:pPr>
              <w:spacing w:line="300" w:lineRule="exact"/>
              <w:jc w:val="center"/>
            </w:pPr>
            <w:r>
              <w:rPr>
                <w:rFonts w:hint="eastAsia"/>
              </w:rPr>
              <w:t>南侧污染</w:t>
            </w:r>
          </w:p>
          <w:p>
            <w:pPr>
              <w:spacing w:line="300" w:lineRule="exact"/>
              <w:jc w:val="center"/>
            </w:pPr>
            <w:r>
              <w:rPr>
                <w:rFonts w:hint="eastAsia"/>
              </w:rPr>
              <w:t>扩散井</w:t>
            </w:r>
          </w:p>
        </w:tc>
        <w:tc>
          <w:tcPr>
            <w:tcW w:w="849" w:type="pct"/>
            <w:vAlign w:val="center"/>
          </w:tcPr>
          <w:p>
            <w:pPr>
              <w:spacing w:line="300" w:lineRule="exact"/>
              <w:jc w:val="center"/>
            </w:pPr>
            <w:r>
              <w:rPr>
                <w:rFonts w:hint="eastAsia"/>
              </w:rPr>
              <w:t>北侧污染</w:t>
            </w:r>
          </w:p>
          <w:p>
            <w:pPr>
              <w:spacing w:line="300" w:lineRule="exact"/>
              <w:jc w:val="center"/>
              <w:rPr>
                <w:bCs/>
                <w:szCs w:val="21"/>
              </w:rPr>
            </w:pPr>
            <w:r>
              <w:rPr>
                <w:rFonts w:hint="eastAsia"/>
              </w:rPr>
              <w:t>扩散井</w:t>
            </w:r>
          </w:p>
        </w:tc>
        <w:tc>
          <w:tcPr>
            <w:tcW w:w="854" w:type="pct"/>
            <w:vAlign w:val="center"/>
          </w:tcPr>
          <w:p>
            <w:pPr>
              <w:spacing w:line="300" w:lineRule="exact"/>
              <w:jc w:val="center"/>
            </w:pPr>
            <w:r>
              <w:rPr>
                <w:rFonts w:hint="eastAsia"/>
              </w:rPr>
              <w:t>西侧下游</w:t>
            </w:r>
          </w:p>
          <w:p>
            <w:pPr>
              <w:spacing w:line="300" w:lineRule="exact"/>
              <w:jc w:val="center"/>
              <w:rPr>
                <w:bCs/>
                <w:szCs w:val="21"/>
              </w:rPr>
            </w:pPr>
            <w:r>
              <w:rPr>
                <w:rFonts w:hint="eastAsia"/>
              </w:rPr>
              <w:t>污染监视井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bCs/>
                <w:szCs w:val="21"/>
              </w:rPr>
            </w:pPr>
            <w:r>
              <w:rPr>
                <w:szCs w:val="21"/>
              </w:rPr>
              <w:t>K</w:t>
            </w:r>
            <w:r>
              <w:rPr>
                <w:szCs w:val="21"/>
                <w:vertAlign w:val="superscript"/>
              </w:rPr>
              <w:t>+</w:t>
            </w:r>
            <w:r>
              <w:rPr>
                <w:szCs w:val="21"/>
              </w:rPr>
              <w:t>（mg/L）</w:t>
            </w:r>
          </w:p>
        </w:tc>
        <w:tc>
          <w:tcPr>
            <w:tcW w:w="849" w:type="pct"/>
            <w:vAlign w:val="center"/>
          </w:tcPr>
          <w:p>
            <w:pPr>
              <w:jc w:val="center"/>
              <w:rPr>
                <w:szCs w:val="21"/>
              </w:rPr>
            </w:pPr>
            <w:r>
              <w:rPr>
                <w:rFonts w:hint="eastAsia"/>
                <w:szCs w:val="21"/>
              </w:rPr>
              <w:t>1.04</w:t>
            </w:r>
          </w:p>
        </w:tc>
        <w:tc>
          <w:tcPr>
            <w:tcW w:w="849" w:type="pct"/>
            <w:vAlign w:val="center"/>
          </w:tcPr>
          <w:p>
            <w:pPr>
              <w:jc w:val="center"/>
              <w:rPr>
                <w:szCs w:val="21"/>
              </w:rPr>
            </w:pPr>
            <w:r>
              <w:rPr>
                <w:rFonts w:hint="eastAsia"/>
                <w:szCs w:val="21"/>
              </w:rPr>
              <w:t>1.38</w:t>
            </w:r>
          </w:p>
        </w:tc>
        <w:tc>
          <w:tcPr>
            <w:tcW w:w="849" w:type="pct"/>
            <w:vAlign w:val="center"/>
          </w:tcPr>
          <w:p>
            <w:pPr>
              <w:jc w:val="center"/>
              <w:rPr>
                <w:szCs w:val="21"/>
              </w:rPr>
            </w:pPr>
            <w:r>
              <w:rPr>
                <w:rFonts w:hint="eastAsia"/>
                <w:szCs w:val="21"/>
              </w:rPr>
              <w:t>1.07</w:t>
            </w:r>
          </w:p>
        </w:tc>
        <w:tc>
          <w:tcPr>
            <w:tcW w:w="854" w:type="pct"/>
            <w:vAlign w:val="center"/>
          </w:tcPr>
          <w:p>
            <w:pPr>
              <w:jc w:val="center"/>
              <w:rPr>
                <w:szCs w:val="21"/>
              </w:rPr>
            </w:pPr>
            <w:r>
              <w:rPr>
                <w:rFonts w:hint="eastAsia"/>
                <w:szCs w:val="21"/>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zCs w:val="21"/>
              </w:rPr>
              <w:t>Na</w:t>
            </w:r>
            <w:r>
              <w:rPr>
                <w:szCs w:val="21"/>
                <w:vertAlign w:val="superscript"/>
              </w:rPr>
              <w:t>+</w:t>
            </w:r>
            <w:r>
              <w:rPr>
                <w:szCs w:val="21"/>
              </w:rPr>
              <w:t>（mg/L）</w:t>
            </w:r>
          </w:p>
        </w:tc>
        <w:tc>
          <w:tcPr>
            <w:tcW w:w="849" w:type="pct"/>
            <w:vAlign w:val="center"/>
          </w:tcPr>
          <w:p>
            <w:pPr>
              <w:jc w:val="center"/>
              <w:rPr>
                <w:szCs w:val="21"/>
              </w:rPr>
            </w:pPr>
            <w:r>
              <w:rPr>
                <w:rFonts w:hint="eastAsia"/>
                <w:szCs w:val="21"/>
              </w:rPr>
              <w:t>43.7</w:t>
            </w:r>
          </w:p>
        </w:tc>
        <w:tc>
          <w:tcPr>
            <w:tcW w:w="849" w:type="pct"/>
            <w:vAlign w:val="center"/>
          </w:tcPr>
          <w:p>
            <w:pPr>
              <w:jc w:val="center"/>
              <w:rPr>
                <w:szCs w:val="21"/>
              </w:rPr>
            </w:pPr>
            <w:r>
              <w:rPr>
                <w:rFonts w:hint="eastAsia"/>
                <w:szCs w:val="21"/>
              </w:rPr>
              <w:t>28.4</w:t>
            </w:r>
          </w:p>
        </w:tc>
        <w:tc>
          <w:tcPr>
            <w:tcW w:w="849" w:type="pct"/>
            <w:vAlign w:val="center"/>
          </w:tcPr>
          <w:p>
            <w:pPr>
              <w:jc w:val="center"/>
              <w:rPr>
                <w:szCs w:val="21"/>
              </w:rPr>
            </w:pPr>
            <w:r>
              <w:rPr>
                <w:rFonts w:hint="eastAsia"/>
                <w:szCs w:val="21"/>
              </w:rPr>
              <w:t>64.2</w:t>
            </w:r>
          </w:p>
        </w:tc>
        <w:tc>
          <w:tcPr>
            <w:tcW w:w="854" w:type="pct"/>
            <w:vAlign w:val="center"/>
          </w:tcPr>
          <w:p>
            <w:pPr>
              <w:jc w:val="center"/>
              <w:rPr>
                <w:szCs w:val="21"/>
              </w:rPr>
            </w:pPr>
            <w:r>
              <w:rPr>
                <w:rFonts w:hint="eastAsia"/>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zCs w:val="21"/>
              </w:rPr>
              <w:t>Ca</w:t>
            </w:r>
            <w:r>
              <w:rPr>
                <w:szCs w:val="21"/>
                <w:vertAlign w:val="superscript"/>
              </w:rPr>
              <w:t>2+</w:t>
            </w:r>
            <w:r>
              <w:rPr>
                <w:szCs w:val="21"/>
              </w:rPr>
              <w:t>（mg/L）</w:t>
            </w:r>
          </w:p>
        </w:tc>
        <w:tc>
          <w:tcPr>
            <w:tcW w:w="849" w:type="pct"/>
            <w:vAlign w:val="center"/>
          </w:tcPr>
          <w:p>
            <w:pPr>
              <w:jc w:val="center"/>
              <w:rPr>
                <w:szCs w:val="21"/>
              </w:rPr>
            </w:pPr>
            <w:r>
              <w:rPr>
                <w:rFonts w:hint="eastAsia"/>
                <w:szCs w:val="21"/>
              </w:rPr>
              <w:t>95.5</w:t>
            </w:r>
          </w:p>
        </w:tc>
        <w:tc>
          <w:tcPr>
            <w:tcW w:w="849" w:type="pct"/>
            <w:vAlign w:val="center"/>
          </w:tcPr>
          <w:p>
            <w:pPr>
              <w:jc w:val="center"/>
              <w:rPr>
                <w:szCs w:val="21"/>
              </w:rPr>
            </w:pPr>
            <w:r>
              <w:rPr>
                <w:rFonts w:hint="eastAsia"/>
                <w:szCs w:val="21"/>
              </w:rPr>
              <w:t>93.7</w:t>
            </w:r>
          </w:p>
        </w:tc>
        <w:tc>
          <w:tcPr>
            <w:tcW w:w="849" w:type="pct"/>
            <w:vAlign w:val="center"/>
          </w:tcPr>
          <w:p>
            <w:pPr>
              <w:jc w:val="center"/>
              <w:rPr>
                <w:szCs w:val="21"/>
              </w:rPr>
            </w:pPr>
            <w:r>
              <w:rPr>
                <w:rFonts w:hint="eastAsia"/>
                <w:szCs w:val="21"/>
              </w:rPr>
              <w:t>83.6</w:t>
            </w:r>
          </w:p>
        </w:tc>
        <w:tc>
          <w:tcPr>
            <w:tcW w:w="854" w:type="pct"/>
            <w:vAlign w:val="center"/>
          </w:tcPr>
          <w:p>
            <w:pPr>
              <w:jc w:val="center"/>
              <w:rPr>
                <w:szCs w:val="21"/>
              </w:rPr>
            </w:pPr>
            <w:r>
              <w:rPr>
                <w:rFonts w:hint="eastAsia"/>
                <w:szCs w:val="21"/>
              </w:rPr>
              <w:t>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40" w:lineRule="exact"/>
              <w:jc w:val="center"/>
              <w:rPr>
                <w:szCs w:val="21"/>
              </w:rPr>
            </w:pPr>
            <w:r>
              <w:rPr>
                <w:szCs w:val="21"/>
              </w:rPr>
              <w:t>Mg</w:t>
            </w:r>
            <w:r>
              <w:rPr>
                <w:szCs w:val="21"/>
                <w:vertAlign w:val="superscript"/>
              </w:rPr>
              <w:t>2+</w:t>
            </w:r>
            <w:r>
              <w:rPr>
                <w:szCs w:val="21"/>
              </w:rPr>
              <w:t>（mg/L）</w:t>
            </w:r>
          </w:p>
        </w:tc>
        <w:tc>
          <w:tcPr>
            <w:tcW w:w="849" w:type="pct"/>
            <w:vAlign w:val="center"/>
          </w:tcPr>
          <w:p>
            <w:pPr>
              <w:jc w:val="center"/>
              <w:rPr>
                <w:szCs w:val="21"/>
              </w:rPr>
            </w:pPr>
            <w:r>
              <w:rPr>
                <w:rFonts w:hint="eastAsia"/>
                <w:szCs w:val="21"/>
              </w:rPr>
              <w:t>36.4</w:t>
            </w:r>
          </w:p>
        </w:tc>
        <w:tc>
          <w:tcPr>
            <w:tcW w:w="849" w:type="pct"/>
            <w:vAlign w:val="center"/>
          </w:tcPr>
          <w:p>
            <w:pPr>
              <w:jc w:val="center"/>
              <w:rPr>
                <w:szCs w:val="21"/>
              </w:rPr>
            </w:pPr>
            <w:r>
              <w:rPr>
                <w:rFonts w:hint="eastAsia"/>
                <w:szCs w:val="21"/>
              </w:rPr>
              <w:t>25.7</w:t>
            </w:r>
          </w:p>
        </w:tc>
        <w:tc>
          <w:tcPr>
            <w:tcW w:w="849" w:type="pct"/>
            <w:vAlign w:val="center"/>
          </w:tcPr>
          <w:p>
            <w:pPr>
              <w:jc w:val="center"/>
              <w:rPr>
                <w:szCs w:val="21"/>
              </w:rPr>
            </w:pPr>
            <w:r>
              <w:rPr>
                <w:rFonts w:hint="eastAsia"/>
                <w:szCs w:val="21"/>
              </w:rPr>
              <w:t>31.6</w:t>
            </w:r>
          </w:p>
        </w:tc>
        <w:tc>
          <w:tcPr>
            <w:tcW w:w="854" w:type="pct"/>
            <w:vAlign w:val="center"/>
          </w:tcPr>
          <w:p>
            <w:pPr>
              <w:jc w:val="center"/>
              <w:rPr>
                <w:szCs w:val="21"/>
              </w:rPr>
            </w:pPr>
            <w:r>
              <w:rPr>
                <w:rFonts w:hint="eastAsia"/>
                <w:szCs w:val="2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zCs w:val="21"/>
              </w:rPr>
              <w:t>CO</w:t>
            </w:r>
            <w:r>
              <w:rPr>
                <w:szCs w:val="21"/>
                <w:vertAlign w:val="subscript"/>
              </w:rPr>
              <w:t>3</w:t>
            </w:r>
            <w:r>
              <w:rPr>
                <w:szCs w:val="21"/>
                <w:vertAlign w:val="superscript"/>
              </w:rPr>
              <w:t>2-</w:t>
            </w:r>
            <w:r>
              <w:rPr>
                <w:szCs w:val="21"/>
              </w:rPr>
              <w:t>（mg/L）</w:t>
            </w:r>
          </w:p>
        </w:tc>
        <w:tc>
          <w:tcPr>
            <w:tcW w:w="849" w:type="pct"/>
            <w:vAlign w:val="center"/>
          </w:tcPr>
          <w:p>
            <w:pPr>
              <w:jc w:val="center"/>
              <w:rPr>
                <w:szCs w:val="21"/>
              </w:rPr>
            </w:pPr>
            <w:r>
              <w:rPr>
                <w:rFonts w:hint="eastAsia"/>
                <w:szCs w:val="21"/>
              </w:rPr>
              <w:t>0</w:t>
            </w:r>
          </w:p>
        </w:tc>
        <w:tc>
          <w:tcPr>
            <w:tcW w:w="849" w:type="pct"/>
            <w:vAlign w:val="center"/>
          </w:tcPr>
          <w:p>
            <w:pPr>
              <w:jc w:val="center"/>
              <w:rPr>
                <w:szCs w:val="21"/>
              </w:rPr>
            </w:pPr>
            <w:r>
              <w:rPr>
                <w:rFonts w:hint="eastAsia"/>
                <w:szCs w:val="21"/>
              </w:rPr>
              <w:t>0</w:t>
            </w:r>
          </w:p>
        </w:tc>
        <w:tc>
          <w:tcPr>
            <w:tcW w:w="849" w:type="pct"/>
            <w:vAlign w:val="center"/>
          </w:tcPr>
          <w:p>
            <w:pPr>
              <w:jc w:val="center"/>
              <w:rPr>
                <w:szCs w:val="21"/>
              </w:rPr>
            </w:pPr>
            <w:r>
              <w:rPr>
                <w:rFonts w:hint="eastAsia"/>
                <w:szCs w:val="21"/>
              </w:rPr>
              <w:t>0</w:t>
            </w:r>
          </w:p>
        </w:tc>
        <w:tc>
          <w:tcPr>
            <w:tcW w:w="854" w:type="pct"/>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zCs w:val="21"/>
              </w:rPr>
              <w:t>HCO</w:t>
            </w:r>
            <w:r>
              <w:rPr>
                <w:szCs w:val="21"/>
                <w:vertAlign w:val="subscript"/>
              </w:rPr>
              <w:t>3</w:t>
            </w:r>
            <w:r>
              <w:rPr>
                <w:szCs w:val="21"/>
                <w:vertAlign w:val="superscript"/>
              </w:rPr>
              <w:t>-</w:t>
            </w:r>
            <w:r>
              <w:rPr>
                <w:szCs w:val="21"/>
              </w:rPr>
              <w:t>（</w:t>
            </w:r>
            <w:r>
              <w:rPr>
                <w:spacing w:val="-20"/>
                <w:szCs w:val="21"/>
              </w:rPr>
              <w:t>CaCO</w:t>
            </w:r>
            <w:r>
              <w:rPr>
                <w:spacing w:val="-20"/>
                <w:szCs w:val="21"/>
                <w:vertAlign w:val="subscript"/>
              </w:rPr>
              <w:t>3</w:t>
            </w:r>
            <w:r>
              <w:rPr>
                <w:spacing w:val="-20"/>
                <w:szCs w:val="21"/>
              </w:rPr>
              <w:t>计</w:t>
            </w:r>
            <w:r>
              <w:rPr>
                <w:szCs w:val="21"/>
              </w:rPr>
              <w:t>）（mg/L）</w:t>
            </w:r>
          </w:p>
        </w:tc>
        <w:tc>
          <w:tcPr>
            <w:tcW w:w="849" w:type="pct"/>
            <w:vAlign w:val="center"/>
          </w:tcPr>
          <w:p>
            <w:pPr>
              <w:jc w:val="center"/>
              <w:rPr>
                <w:szCs w:val="21"/>
              </w:rPr>
            </w:pPr>
            <w:r>
              <w:rPr>
                <w:rFonts w:hint="eastAsia"/>
                <w:szCs w:val="21"/>
              </w:rPr>
              <w:t>186</w:t>
            </w:r>
          </w:p>
        </w:tc>
        <w:tc>
          <w:tcPr>
            <w:tcW w:w="849" w:type="pct"/>
            <w:vAlign w:val="center"/>
          </w:tcPr>
          <w:p>
            <w:pPr>
              <w:jc w:val="center"/>
              <w:rPr>
                <w:szCs w:val="21"/>
              </w:rPr>
            </w:pPr>
            <w:r>
              <w:rPr>
                <w:rFonts w:hint="eastAsia"/>
                <w:szCs w:val="21"/>
              </w:rPr>
              <w:t>170</w:t>
            </w:r>
          </w:p>
        </w:tc>
        <w:tc>
          <w:tcPr>
            <w:tcW w:w="849" w:type="pct"/>
            <w:vAlign w:val="center"/>
          </w:tcPr>
          <w:p>
            <w:pPr>
              <w:jc w:val="center"/>
              <w:rPr>
                <w:szCs w:val="21"/>
              </w:rPr>
            </w:pPr>
            <w:r>
              <w:rPr>
                <w:rFonts w:hint="eastAsia"/>
                <w:szCs w:val="21"/>
              </w:rPr>
              <w:t>200</w:t>
            </w:r>
          </w:p>
        </w:tc>
        <w:tc>
          <w:tcPr>
            <w:tcW w:w="854" w:type="pct"/>
            <w:vAlign w:val="center"/>
          </w:tcPr>
          <w:p>
            <w:pPr>
              <w:jc w:val="center"/>
              <w:rPr>
                <w:szCs w:val="21"/>
              </w:rPr>
            </w:pPr>
            <w:r>
              <w:rPr>
                <w:rFonts w:hint="eastAsia"/>
                <w:szCs w:val="21"/>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20" w:lineRule="exact"/>
              <w:jc w:val="center"/>
              <w:rPr>
                <w:szCs w:val="21"/>
              </w:rPr>
            </w:pPr>
            <w:r>
              <w:rPr>
                <w:szCs w:val="21"/>
              </w:rPr>
              <w:t>Cl</w:t>
            </w:r>
            <w:r>
              <w:rPr>
                <w:szCs w:val="21"/>
                <w:vertAlign w:val="superscript"/>
              </w:rPr>
              <w:t>-</w:t>
            </w:r>
            <w:r>
              <w:rPr>
                <w:bCs/>
                <w:szCs w:val="21"/>
              </w:rPr>
              <w:t>（氯化物）</w:t>
            </w:r>
            <w:r>
              <w:rPr>
                <w:szCs w:val="21"/>
              </w:rPr>
              <w:t>（mg/L）</w:t>
            </w:r>
          </w:p>
        </w:tc>
        <w:tc>
          <w:tcPr>
            <w:tcW w:w="849" w:type="pct"/>
            <w:vAlign w:val="center"/>
          </w:tcPr>
          <w:p>
            <w:pPr>
              <w:jc w:val="center"/>
              <w:rPr>
                <w:szCs w:val="21"/>
              </w:rPr>
            </w:pPr>
            <w:r>
              <w:rPr>
                <w:rFonts w:hint="eastAsia"/>
                <w:szCs w:val="21"/>
              </w:rPr>
              <w:t>74.1</w:t>
            </w:r>
          </w:p>
        </w:tc>
        <w:tc>
          <w:tcPr>
            <w:tcW w:w="849" w:type="pct"/>
            <w:vAlign w:val="center"/>
          </w:tcPr>
          <w:p>
            <w:pPr>
              <w:jc w:val="center"/>
              <w:rPr>
                <w:szCs w:val="21"/>
              </w:rPr>
            </w:pPr>
            <w:r>
              <w:rPr>
                <w:rFonts w:hint="eastAsia"/>
                <w:szCs w:val="21"/>
              </w:rPr>
              <w:t>33.9</w:t>
            </w:r>
          </w:p>
        </w:tc>
        <w:tc>
          <w:tcPr>
            <w:tcW w:w="849" w:type="pct"/>
            <w:vAlign w:val="center"/>
          </w:tcPr>
          <w:p>
            <w:pPr>
              <w:jc w:val="center"/>
              <w:rPr>
                <w:szCs w:val="21"/>
              </w:rPr>
            </w:pPr>
            <w:r>
              <w:rPr>
                <w:rFonts w:hint="eastAsia"/>
                <w:szCs w:val="21"/>
              </w:rPr>
              <w:t>44.8</w:t>
            </w:r>
          </w:p>
        </w:tc>
        <w:tc>
          <w:tcPr>
            <w:tcW w:w="854" w:type="pct"/>
            <w:vAlign w:val="center"/>
          </w:tcPr>
          <w:p>
            <w:pPr>
              <w:jc w:val="center"/>
              <w:rPr>
                <w:szCs w:val="21"/>
              </w:rPr>
            </w:pPr>
            <w:r>
              <w:rPr>
                <w:rFonts w:hint="eastAsia"/>
                <w:szCs w:val="21"/>
              </w:rPr>
              <w:t>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20" w:lineRule="exact"/>
              <w:jc w:val="center"/>
              <w:rPr>
                <w:szCs w:val="21"/>
              </w:rPr>
            </w:pPr>
            <w:r>
              <w:rPr>
                <w:szCs w:val="21"/>
              </w:rPr>
              <w:t>SO</w:t>
            </w:r>
            <w:r>
              <w:rPr>
                <w:szCs w:val="21"/>
                <w:vertAlign w:val="subscript"/>
              </w:rPr>
              <w:t>4</w:t>
            </w:r>
            <w:r>
              <w:rPr>
                <w:szCs w:val="21"/>
                <w:vertAlign w:val="superscript"/>
              </w:rPr>
              <w:t>2-</w:t>
            </w:r>
            <w:r>
              <w:rPr>
                <w:bCs/>
                <w:szCs w:val="21"/>
              </w:rPr>
              <w:t>（硫酸盐）</w:t>
            </w:r>
            <w:r>
              <w:rPr>
                <w:szCs w:val="21"/>
              </w:rPr>
              <w:t>（mg/L）</w:t>
            </w:r>
          </w:p>
        </w:tc>
        <w:tc>
          <w:tcPr>
            <w:tcW w:w="849" w:type="pct"/>
            <w:vAlign w:val="center"/>
          </w:tcPr>
          <w:p>
            <w:pPr>
              <w:jc w:val="center"/>
              <w:rPr>
                <w:szCs w:val="21"/>
              </w:rPr>
            </w:pPr>
            <w:r>
              <w:rPr>
                <w:rFonts w:hint="eastAsia"/>
                <w:szCs w:val="21"/>
              </w:rPr>
              <w:t>151</w:t>
            </w:r>
          </w:p>
        </w:tc>
        <w:tc>
          <w:tcPr>
            <w:tcW w:w="849" w:type="pct"/>
            <w:vAlign w:val="center"/>
          </w:tcPr>
          <w:p>
            <w:pPr>
              <w:jc w:val="center"/>
              <w:rPr>
                <w:szCs w:val="21"/>
              </w:rPr>
            </w:pPr>
            <w:r>
              <w:rPr>
                <w:rFonts w:hint="eastAsia"/>
                <w:szCs w:val="21"/>
              </w:rPr>
              <w:t>170</w:t>
            </w:r>
          </w:p>
        </w:tc>
        <w:tc>
          <w:tcPr>
            <w:tcW w:w="849" w:type="pct"/>
            <w:vAlign w:val="center"/>
          </w:tcPr>
          <w:p>
            <w:pPr>
              <w:jc w:val="center"/>
              <w:rPr>
                <w:szCs w:val="21"/>
              </w:rPr>
            </w:pPr>
            <w:r>
              <w:rPr>
                <w:rFonts w:hint="eastAsia"/>
                <w:szCs w:val="21"/>
              </w:rPr>
              <w:t>159</w:t>
            </w:r>
          </w:p>
        </w:tc>
        <w:tc>
          <w:tcPr>
            <w:tcW w:w="854" w:type="pct"/>
            <w:vAlign w:val="center"/>
          </w:tcPr>
          <w:p>
            <w:pPr>
              <w:jc w:val="center"/>
              <w:rPr>
                <w:szCs w:val="21"/>
              </w:rPr>
            </w:pPr>
            <w:r>
              <w:rPr>
                <w:rFonts w:hint="eastAsia"/>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pacing w:val="4"/>
                <w:szCs w:val="21"/>
              </w:rPr>
              <w:t>pH值</w:t>
            </w:r>
          </w:p>
        </w:tc>
        <w:tc>
          <w:tcPr>
            <w:tcW w:w="849" w:type="pct"/>
            <w:vAlign w:val="center"/>
          </w:tcPr>
          <w:p>
            <w:pPr>
              <w:jc w:val="center"/>
              <w:rPr>
                <w:szCs w:val="21"/>
              </w:rPr>
            </w:pPr>
            <w:r>
              <w:rPr>
                <w:rFonts w:hint="eastAsia"/>
                <w:szCs w:val="21"/>
              </w:rPr>
              <w:t>7.68</w:t>
            </w:r>
          </w:p>
        </w:tc>
        <w:tc>
          <w:tcPr>
            <w:tcW w:w="849" w:type="pct"/>
            <w:vAlign w:val="center"/>
          </w:tcPr>
          <w:p>
            <w:pPr>
              <w:jc w:val="center"/>
              <w:rPr>
                <w:szCs w:val="21"/>
              </w:rPr>
            </w:pPr>
            <w:r>
              <w:rPr>
                <w:rFonts w:hint="eastAsia"/>
                <w:szCs w:val="21"/>
              </w:rPr>
              <w:t>7.51</w:t>
            </w:r>
          </w:p>
        </w:tc>
        <w:tc>
          <w:tcPr>
            <w:tcW w:w="849" w:type="pct"/>
            <w:vAlign w:val="center"/>
          </w:tcPr>
          <w:p>
            <w:pPr>
              <w:jc w:val="center"/>
              <w:rPr>
                <w:szCs w:val="21"/>
              </w:rPr>
            </w:pPr>
            <w:r>
              <w:rPr>
                <w:rFonts w:hint="eastAsia"/>
                <w:szCs w:val="21"/>
              </w:rPr>
              <w:t>7.59</w:t>
            </w:r>
          </w:p>
        </w:tc>
        <w:tc>
          <w:tcPr>
            <w:tcW w:w="854" w:type="pct"/>
            <w:vAlign w:val="center"/>
          </w:tcPr>
          <w:p>
            <w:pPr>
              <w:jc w:val="center"/>
              <w:rPr>
                <w:szCs w:val="21"/>
              </w:rPr>
            </w:pPr>
            <w:r>
              <w:rPr>
                <w:rFonts w:hint="eastAsia"/>
                <w:szCs w:val="21"/>
              </w:rPr>
              <w:t>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氨氮</w:t>
            </w:r>
            <w:r>
              <w:rPr>
                <w:szCs w:val="21"/>
              </w:rPr>
              <w:t>（mg/L）</w:t>
            </w:r>
          </w:p>
        </w:tc>
        <w:tc>
          <w:tcPr>
            <w:tcW w:w="849" w:type="pct"/>
            <w:vAlign w:val="center"/>
          </w:tcPr>
          <w:p>
            <w:pPr>
              <w:jc w:val="center"/>
              <w:rPr>
                <w:szCs w:val="21"/>
              </w:rPr>
            </w:pPr>
            <w:r>
              <w:rPr>
                <w:rFonts w:hint="eastAsia"/>
                <w:szCs w:val="21"/>
              </w:rPr>
              <w:t>0.041</w:t>
            </w:r>
          </w:p>
        </w:tc>
        <w:tc>
          <w:tcPr>
            <w:tcW w:w="849" w:type="pct"/>
            <w:vAlign w:val="center"/>
          </w:tcPr>
          <w:p>
            <w:pPr>
              <w:jc w:val="center"/>
              <w:rPr>
                <w:szCs w:val="21"/>
              </w:rPr>
            </w:pPr>
            <w:r>
              <w:rPr>
                <w:rFonts w:hint="eastAsia"/>
                <w:szCs w:val="21"/>
              </w:rPr>
              <w:t>0.054</w:t>
            </w:r>
          </w:p>
        </w:tc>
        <w:tc>
          <w:tcPr>
            <w:tcW w:w="849" w:type="pct"/>
            <w:vAlign w:val="center"/>
          </w:tcPr>
          <w:p>
            <w:pPr>
              <w:jc w:val="center"/>
              <w:rPr>
                <w:szCs w:val="21"/>
              </w:rPr>
            </w:pPr>
            <w:r>
              <w:rPr>
                <w:rFonts w:hint="eastAsia"/>
                <w:szCs w:val="21"/>
              </w:rPr>
              <w:t>0.027</w:t>
            </w:r>
          </w:p>
        </w:tc>
        <w:tc>
          <w:tcPr>
            <w:tcW w:w="854" w:type="pct"/>
            <w:vAlign w:val="center"/>
          </w:tcPr>
          <w:p>
            <w:pPr>
              <w:jc w:val="center"/>
              <w:rPr>
                <w:szCs w:val="21"/>
              </w:rPr>
            </w:pPr>
            <w:r>
              <w:rPr>
                <w:rFonts w:hint="eastAsia"/>
                <w:szCs w:val="21"/>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zCs w:val="21"/>
              </w:rPr>
              <w:t>硝酸盐氮（mg/L）</w:t>
            </w:r>
          </w:p>
        </w:tc>
        <w:tc>
          <w:tcPr>
            <w:tcW w:w="849" w:type="pct"/>
            <w:vAlign w:val="center"/>
          </w:tcPr>
          <w:p>
            <w:pPr>
              <w:jc w:val="center"/>
              <w:rPr>
                <w:szCs w:val="21"/>
              </w:rPr>
            </w:pPr>
            <w:r>
              <w:rPr>
                <w:rFonts w:hint="eastAsia"/>
                <w:szCs w:val="21"/>
              </w:rPr>
              <w:t>1.37</w:t>
            </w:r>
          </w:p>
        </w:tc>
        <w:tc>
          <w:tcPr>
            <w:tcW w:w="849" w:type="pct"/>
            <w:vAlign w:val="center"/>
          </w:tcPr>
          <w:p>
            <w:pPr>
              <w:jc w:val="center"/>
              <w:rPr>
                <w:szCs w:val="21"/>
              </w:rPr>
            </w:pPr>
            <w:r>
              <w:rPr>
                <w:rFonts w:hint="eastAsia"/>
                <w:szCs w:val="21"/>
              </w:rPr>
              <w:t>1.02</w:t>
            </w:r>
          </w:p>
        </w:tc>
        <w:tc>
          <w:tcPr>
            <w:tcW w:w="849" w:type="pct"/>
            <w:vAlign w:val="center"/>
          </w:tcPr>
          <w:p>
            <w:pPr>
              <w:jc w:val="center"/>
              <w:rPr>
                <w:szCs w:val="21"/>
              </w:rPr>
            </w:pPr>
            <w:r>
              <w:rPr>
                <w:rFonts w:hint="eastAsia"/>
                <w:szCs w:val="21"/>
              </w:rPr>
              <w:t>1.26</w:t>
            </w:r>
          </w:p>
        </w:tc>
        <w:tc>
          <w:tcPr>
            <w:tcW w:w="854" w:type="pct"/>
            <w:vAlign w:val="center"/>
          </w:tcPr>
          <w:p>
            <w:pPr>
              <w:jc w:val="center"/>
              <w:rPr>
                <w:szCs w:val="21"/>
              </w:rPr>
            </w:pPr>
            <w:r>
              <w:rPr>
                <w:rFonts w:hint="eastAsia"/>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40" w:lineRule="exact"/>
              <w:jc w:val="center"/>
              <w:rPr>
                <w:bCs/>
                <w:szCs w:val="21"/>
              </w:rPr>
            </w:pPr>
            <w:r>
              <w:rPr>
                <w:spacing w:val="4"/>
                <w:szCs w:val="21"/>
              </w:rPr>
              <w:t>亚</w:t>
            </w:r>
            <w:r>
              <w:rPr>
                <w:szCs w:val="21"/>
              </w:rPr>
              <w:t>硝酸盐氮（mg/L）</w:t>
            </w:r>
          </w:p>
        </w:tc>
        <w:tc>
          <w:tcPr>
            <w:tcW w:w="849" w:type="pct"/>
            <w:vAlign w:val="center"/>
          </w:tcPr>
          <w:p>
            <w:pPr>
              <w:jc w:val="center"/>
              <w:rPr>
                <w:szCs w:val="21"/>
              </w:rPr>
            </w:pPr>
            <w:r>
              <w:rPr>
                <w:rFonts w:hint="eastAsia"/>
                <w:szCs w:val="21"/>
              </w:rPr>
              <w:t>ND</w:t>
            </w:r>
          </w:p>
        </w:tc>
        <w:tc>
          <w:tcPr>
            <w:tcW w:w="849" w:type="pct"/>
            <w:vAlign w:val="center"/>
          </w:tcPr>
          <w:p>
            <w:pPr>
              <w:jc w:val="center"/>
              <w:rPr>
                <w:szCs w:val="21"/>
              </w:rPr>
            </w:pPr>
            <w:r>
              <w:rPr>
                <w:rFonts w:hint="eastAsia"/>
                <w:szCs w:val="21"/>
              </w:rPr>
              <w:t>ND</w:t>
            </w:r>
          </w:p>
        </w:tc>
        <w:tc>
          <w:tcPr>
            <w:tcW w:w="849" w:type="pct"/>
            <w:vAlign w:val="center"/>
          </w:tcPr>
          <w:p>
            <w:pPr>
              <w:jc w:val="center"/>
              <w:rPr>
                <w:szCs w:val="21"/>
              </w:rPr>
            </w:pPr>
            <w:r>
              <w:rPr>
                <w:rFonts w:hint="eastAsia"/>
                <w:szCs w:val="21"/>
              </w:rPr>
              <w:t>ND</w:t>
            </w:r>
          </w:p>
        </w:tc>
        <w:tc>
          <w:tcPr>
            <w:tcW w:w="854" w:type="pct"/>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40" w:lineRule="exact"/>
              <w:jc w:val="center"/>
              <w:rPr>
                <w:szCs w:val="21"/>
              </w:rPr>
            </w:pPr>
            <w:r>
              <w:rPr>
                <w:bCs/>
                <w:szCs w:val="21"/>
              </w:rPr>
              <w:t>挥发酚</w:t>
            </w:r>
            <w:r>
              <w:rPr>
                <w:szCs w:val="21"/>
              </w:rPr>
              <w:t>（mg/L）</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54"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bCs/>
                <w:szCs w:val="21"/>
              </w:rPr>
              <w:t>氰化物</w:t>
            </w:r>
            <w:r>
              <w:rPr>
                <w:szCs w:val="21"/>
              </w:rPr>
              <w:t>（mg/L）</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54"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pacing w:val="4"/>
                <w:szCs w:val="21"/>
              </w:rPr>
              <w:t>砷（</w:t>
            </w:r>
            <w:r>
              <w:rPr>
                <w:szCs w:val="21"/>
              </w:rPr>
              <w:t>µg/L</w:t>
            </w:r>
            <w:r>
              <w:rPr>
                <w:spacing w:val="4"/>
                <w:szCs w:val="21"/>
              </w:rPr>
              <w:t>）</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54"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40" w:lineRule="exact"/>
              <w:jc w:val="center"/>
              <w:rPr>
                <w:szCs w:val="21"/>
              </w:rPr>
            </w:pPr>
            <w:r>
              <w:rPr>
                <w:spacing w:val="4"/>
                <w:szCs w:val="21"/>
              </w:rPr>
              <w:t>汞（</w:t>
            </w:r>
            <w:r>
              <w:rPr>
                <w:szCs w:val="21"/>
              </w:rPr>
              <w:t>µg/L</w:t>
            </w:r>
            <w:r>
              <w:rPr>
                <w:spacing w:val="4"/>
                <w:szCs w:val="21"/>
              </w:rPr>
              <w:t>）</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54"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zCs w:val="21"/>
              </w:rPr>
              <w:t>六价铬（mg/L）</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49" w:type="pct"/>
            <w:vAlign w:val="center"/>
          </w:tcPr>
          <w:p>
            <w:pPr>
              <w:jc w:val="center"/>
              <w:rPr>
                <w:szCs w:val="21"/>
              </w:rPr>
            </w:pPr>
            <w:r>
              <w:rPr>
                <w:szCs w:val="21"/>
              </w:rPr>
              <w:t>ND</w:t>
            </w:r>
          </w:p>
        </w:tc>
        <w:tc>
          <w:tcPr>
            <w:tcW w:w="854"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40" w:lineRule="exact"/>
              <w:jc w:val="center"/>
              <w:rPr>
                <w:szCs w:val="21"/>
              </w:rPr>
            </w:pPr>
            <w:r>
              <w:rPr>
                <w:bCs/>
                <w:szCs w:val="21"/>
              </w:rPr>
              <w:t>总硬度(CaCO</w:t>
            </w:r>
            <w:r>
              <w:rPr>
                <w:bCs/>
                <w:szCs w:val="21"/>
                <w:vertAlign w:val="subscript"/>
              </w:rPr>
              <w:t>3</w:t>
            </w:r>
            <w:r>
              <w:rPr>
                <w:bCs/>
                <w:szCs w:val="21"/>
              </w:rPr>
              <w:t>计)</w:t>
            </w:r>
            <w:r>
              <w:rPr>
                <w:szCs w:val="21"/>
              </w:rPr>
              <w:t xml:space="preserve"> （mg/L）</w:t>
            </w:r>
          </w:p>
        </w:tc>
        <w:tc>
          <w:tcPr>
            <w:tcW w:w="849" w:type="pct"/>
            <w:vAlign w:val="center"/>
          </w:tcPr>
          <w:p>
            <w:pPr>
              <w:jc w:val="center"/>
              <w:rPr>
                <w:szCs w:val="21"/>
              </w:rPr>
            </w:pPr>
            <w:r>
              <w:rPr>
                <w:szCs w:val="21"/>
              </w:rPr>
              <w:t>3</w:t>
            </w:r>
            <w:r>
              <w:rPr>
                <w:rFonts w:hint="eastAsia"/>
                <w:szCs w:val="21"/>
              </w:rPr>
              <w:t>85</w:t>
            </w:r>
          </w:p>
        </w:tc>
        <w:tc>
          <w:tcPr>
            <w:tcW w:w="849" w:type="pct"/>
            <w:vAlign w:val="center"/>
          </w:tcPr>
          <w:p>
            <w:pPr>
              <w:jc w:val="center"/>
              <w:rPr>
                <w:szCs w:val="21"/>
              </w:rPr>
            </w:pPr>
            <w:r>
              <w:rPr>
                <w:szCs w:val="21"/>
              </w:rPr>
              <w:t>3</w:t>
            </w:r>
            <w:r>
              <w:rPr>
                <w:rFonts w:hint="eastAsia"/>
                <w:szCs w:val="21"/>
              </w:rPr>
              <w:t>92</w:t>
            </w:r>
          </w:p>
        </w:tc>
        <w:tc>
          <w:tcPr>
            <w:tcW w:w="849" w:type="pct"/>
            <w:vAlign w:val="center"/>
          </w:tcPr>
          <w:p>
            <w:pPr>
              <w:jc w:val="center"/>
              <w:rPr>
                <w:szCs w:val="21"/>
              </w:rPr>
            </w:pPr>
            <w:r>
              <w:rPr>
                <w:szCs w:val="21"/>
              </w:rPr>
              <w:t>3</w:t>
            </w:r>
            <w:r>
              <w:rPr>
                <w:rFonts w:hint="eastAsia"/>
                <w:szCs w:val="21"/>
              </w:rPr>
              <w:t>4</w:t>
            </w:r>
            <w:r>
              <w:rPr>
                <w:szCs w:val="21"/>
              </w:rPr>
              <w:t xml:space="preserve">9 </w:t>
            </w:r>
          </w:p>
        </w:tc>
        <w:tc>
          <w:tcPr>
            <w:tcW w:w="854" w:type="pct"/>
            <w:vAlign w:val="center"/>
          </w:tcPr>
          <w:p>
            <w:pPr>
              <w:jc w:val="center"/>
              <w:rPr>
                <w:szCs w:val="21"/>
              </w:rPr>
            </w:pPr>
            <w:r>
              <w:rPr>
                <w:szCs w:val="21"/>
              </w:rPr>
              <w:t>3</w:t>
            </w:r>
            <w:r>
              <w:rPr>
                <w:rFonts w:hint="eastAsia"/>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ind w:left="-105" w:leftChars="-50" w:right="-105" w:rightChars="-50" w:firstLine="109" w:firstLineChars="50"/>
              <w:jc w:val="center"/>
              <w:rPr>
                <w:spacing w:val="4"/>
                <w:szCs w:val="21"/>
              </w:rPr>
            </w:pPr>
            <w:r>
              <w:rPr>
                <w:spacing w:val="4"/>
                <w:szCs w:val="21"/>
              </w:rPr>
              <w:t>氟化物</w:t>
            </w:r>
            <w:r>
              <w:rPr>
                <w:szCs w:val="21"/>
              </w:rPr>
              <w:t>（mg/L）</w:t>
            </w:r>
          </w:p>
        </w:tc>
        <w:tc>
          <w:tcPr>
            <w:tcW w:w="849" w:type="pct"/>
            <w:vAlign w:val="center"/>
          </w:tcPr>
          <w:p>
            <w:pPr>
              <w:jc w:val="center"/>
              <w:rPr>
                <w:szCs w:val="21"/>
              </w:rPr>
            </w:pPr>
            <w:r>
              <w:rPr>
                <w:rFonts w:hint="eastAsia"/>
                <w:szCs w:val="21"/>
              </w:rPr>
              <w:t>0.41</w:t>
            </w:r>
          </w:p>
        </w:tc>
        <w:tc>
          <w:tcPr>
            <w:tcW w:w="849" w:type="pct"/>
            <w:vAlign w:val="center"/>
          </w:tcPr>
          <w:p>
            <w:pPr>
              <w:jc w:val="center"/>
              <w:rPr>
                <w:szCs w:val="21"/>
              </w:rPr>
            </w:pPr>
            <w:r>
              <w:rPr>
                <w:rFonts w:hint="eastAsia"/>
                <w:szCs w:val="21"/>
              </w:rPr>
              <w:t>0.51</w:t>
            </w:r>
          </w:p>
        </w:tc>
        <w:tc>
          <w:tcPr>
            <w:tcW w:w="849" w:type="pct"/>
            <w:vAlign w:val="center"/>
          </w:tcPr>
          <w:p>
            <w:pPr>
              <w:jc w:val="center"/>
              <w:rPr>
                <w:szCs w:val="21"/>
              </w:rPr>
            </w:pPr>
            <w:r>
              <w:rPr>
                <w:rFonts w:hint="eastAsia"/>
                <w:szCs w:val="21"/>
              </w:rPr>
              <w:t>0.41</w:t>
            </w:r>
          </w:p>
        </w:tc>
        <w:tc>
          <w:tcPr>
            <w:tcW w:w="854" w:type="pct"/>
            <w:vAlign w:val="center"/>
          </w:tcPr>
          <w:p>
            <w:pPr>
              <w:jc w:val="center"/>
              <w:rPr>
                <w:szCs w:val="21"/>
              </w:rPr>
            </w:pPr>
            <w:r>
              <w:rPr>
                <w:rFonts w:hint="eastAsia"/>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bCs/>
                <w:szCs w:val="21"/>
              </w:rPr>
              <w:t>铅（</w:t>
            </w:r>
            <w:r>
              <w:rPr>
                <w:szCs w:val="21"/>
              </w:rPr>
              <w:t>µg/L</w:t>
            </w:r>
            <w:r>
              <w:rPr>
                <w:bCs/>
                <w:szCs w:val="21"/>
              </w:rPr>
              <w:t>）</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54"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bCs/>
                <w:szCs w:val="21"/>
              </w:rPr>
              <w:t>镉（</w:t>
            </w:r>
            <w:r>
              <w:rPr>
                <w:szCs w:val="21"/>
              </w:rPr>
              <w:t>µg/L</w:t>
            </w:r>
            <w:r>
              <w:rPr>
                <w:bCs/>
                <w:szCs w:val="21"/>
              </w:rPr>
              <w:t>）</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54"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zCs w:val="21"/>
              </w:rPr>
              <w:t>铁（mg/L）</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54"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zCs w:val="21"/>
              </w:rPr>
              <w:t>锰（mg/L）</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49" w:type="pct"/>
            <w:vAlign w:val="center"/>
          </w:tcPr>
          <w:p>
            <w:pPr>
              <w:jc w:val="center"/>
              <w:rPr>
                <w:kern w:val="0"/>
                <w:szCs w:val="21"/>
              </w:rPr>
            </w:pPr>
            <w:r>
              <w:rPr>
                <w:szCs w:val="21"/>
              </w:rPr>
              <w:t>ND</w:t>
            </w:r>
          </w:p>
        </w:tc>
        <w:tc>
          <w:tcPr>
            <w:tcW w:w="854"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bCs/>
                <w:szCs w:val="21"/>
              </w:rPr>
              <w:t>溶解性总固体</w:t>
            </w:r>
            <w:r>
              <w:rPr>
                <w:szCs w:val="21"/>
              </w:rPr>
              <w:t>（mg/L）</w:t>
            </w:r>
          </w:p>
        </w:tc>
        <w:tc>
          <w:tcPr>
            <w:tcW w:w="849" w:type="pct"/>
            <w:vAlign w:val="center"/>
          </w:tcPr>
          <w:p>
            <w:pPr>
              <w:jc w:val="center"/>
              <w:rPr>
                <w:kern w:val="0"/>
                <w:szCs w:val="21"/>
              </w:rPr>
            </w:pPr>
            <w:r>
              <w:rPr>
                <w:rFonts w:hint="eastAsia"/>
                <w:szCs w:val="21"/>
              </w:rPr>
              <w:t>536</w:t>
            </w:r>
          </w:p>
        </w:tc>
        <w:tc>
          <w:tcPr>
            <w:tcW w:w="849" w:type="pct"/>
            <w:vAlign w:val="center"/>
          </w:tcPr>
          <w:p>
            <w:pPr>
              <w:jc w:val="center"/>
              <w:rPr>
                <w:kern w:val="0"/>
                <w:szCs w:val="21"/>
              </w:rPr>
            </w:pPr>
            <w:r>
              <w:rPr>
                <w:rFonts w:hint="eastAsia"/>
                <w:szCs w:val="21"/>
              </w:rPr>
              <w:t>542</w:t>
            </w:r>
          </w:p>
        </w:tc>
        <w:tc>
          <w:tcPr>
            <w:tcW w:w="849" w:type="pct"/>
            <w:vAlign w:val="center"/>
          </w:tcPr>
          <w:p>
            <w:pPr>
              <w:jc w:val="center"/>
              <w:rPr>
                <w:kern w:val="0"/>
                <w:szCs w:val="21"/>
              </w:rPr>
            </w:pPr>
            <w:r>
              <w:rPr>
                <w:rFonts w:hint="eastAsia"/>
                <w:szCs w:val="21"/>
              </w:rPr>
              <w:t>571</w:t>
            </w:r>
          </w:p>
        </w:tc>
        <w:tc>
          <w:tcPr>
            <w:tcW w:w="854" w:type="pct"/>
            <w:vAlign w:val="center"/>
          </w:tcPr>
          <w:p>
            <w:pPr>
              <w:jc w:val="center"/>
              <w:rPr>
                <w:kern w:val="0"/>
                <w:szCs w:val="21"/>
              </w:rPr>
            </w:pPr>
            <w:r>
              <w:rPr>
                <w:rFonts w:hint="eastAsia"/>
                <w:szCs w:val="21"/>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耗氧量</w:t>
            </w:r>
            <w:r>
              <w:rPr>
                <w:szCs w:val="21"/>
              </w:rPr>
              <w:t>（mg/L）</w:t>
            </w:r>
          </w:p>
        </w:tc>
        <w:tc>
          <w:tcPr>
            <w:tcW w:w="849" w:type="pct"/>
            <w:vAlign w:val="center"/>
          </w:tcPr>
          <w:p>
            <w:pPr>
              <w:jc w:val="center"/>
              <w:rPr>
                <w:kern w:val="0"/>
                <w:szCs w:val="21"/>
              </w:rPr>
            </w:pPr>
            <w:r>
              <w:rPr>
                <w:rFonts w:hint="eastAsia"/>
                <w:szCs w:val="21"/>
              </w:rPr>
              <w:t>0.6</w:t>
            </w:r>
          </w:p>
        </w:tc>
        <w:tc>
          <w:tcPr>
            <w:tcW w:w="849" w:type="pct"/>
            <w:vAlign w:val="center"/>
          </w:tcPr>
          <w:p>
            <w:pPr>
              <w:jc w:val="center"/>
              <w:rPr>
                <w:kern w:val="0"/>
                <w:szCs w:val="21"/>
              </w:rPr>
            </w:pPr>
            <w:r>
              <w:rPr>
                <w:rFonts w:hint="eastAsia"/>
                <w:szCs w:val="21"/>
              </w:rPr>
              <w:t>0.4</w:t>
            </w:r>
          </w:p>
        </w:tc>
        <w:tc>
          <w:tcPr>
            <w:tcW w:w="849" w:type="pct"/>
            <w:vAlign w:val="center"/>
          </w:tcPr>
          <w:p>
            <w:pPr>
              <w:jc w:val="center"/>
              <w:rPr>
                <w:kern w:val="0"/>
                <w:szCs w:val="21"/>
              </w:rPr>
            </w:pPr>
            <w:r>
              <w:rPr>
                <w:rFonts w:hint="eastAsia"/>
                <w:szCs w:val="21"/>
              </w:rPr>
              <w:t>0.8</w:t>
            </w:r>
          </w:p>
        </w:tc>
        <w:tc>
          <w:tcPr>
            <w:tcW w:w="854" w:type="pct"/>
            <w:vAlign w:val="center"/>
          </w:tcPr>
          <w:p>
            <w:pPr>
              <w:jc w:val="center"/>
              <w:rPr>
                <w:kern w:val="0"/>
                <w:szCs w:val="21"/>
              </w:rPr>
            </w:pPr>
            <w:r>
              <w:rPr>
                <w:rFonts w:hint="eastAsia"/>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菌落总数（CFU/mL）</w:t>
            </w:r>
          </w:p>
        </w:tc>
        <w:tc>
          <w:tcPr>
            <w:tcW w:w="849" w:type="pct"/>
            <w:vAlign w:val="center"/>
          </w:tcPr>
          <w:p>
            <w:pPr>
              <w:jc w:val="center"/>
              <w:rPr>
                <w:kern w:val="0"/>
                <w:szCs w:val="21"/>
              </w:rPr>
            </w:pPr>
            <w:r>
              <w:rPr>
                <w:rFonts w:hint="eastAsia"/>
                <w:szCs w:val="21"/>
              </w:rPr>
              <w:t>20</w:t>
            </w:r>
          </w:p>
        </w:tc>
        <w:tc>
          <w:tcPr>
            <w:tcW w:w="849" w:type="pct"/>
            <w:vAlign w:val="center"/>
          </w:tcPr>
          <w:p>
            <w:pPr>
              <w:jc w:val="center"/>
              <w:rPr>
                <w:kern w:val="0"/>
                <w:szCs w:val="21"/>
              </w:rPr>
            </w:pPr>
            <w:r>
              <w:rPr>
                <w:rFonts w:hint="eastAsia"/>
                <w:szCs w:val="21"/>
              </w:rPr>
              <w:t>27</w:t>
            </w:r>
          </w:p>
        </w:tc>
        <w:tc>
          <w:tcPr>
            <w:tcW w:w="849" w:type="pct"/>
            <w:vAlign w:val="center"/>
          </w:tcPr>
          <w:p>
            <w:pPr>
              <w:jc w:val="center"/>
              <w:rPr>
                <w:kern w:val="0"/>
                <w:szCs w:val="21"/>
              </w:rPr>
            </w:pPr>
            <w:r>
              <w:rPr>
                <w:rFonts w:hint="eastAsia"/>
                <w:szCs w:val="21"/>
              </w:rPr>
              <w:t>28</w:t>
            </w:r>
          </w:p>
        </w:tc>
        <w:tc>
          <w:tcPr>
            <w:tcW w:w="854" w:type="pct"/>
            <w:vAlign w:val="center"/>
          </w:tcPr>
          <w:p>
            <w:pPr>
              <w:jc w:val="center"/>
              <w:rPr>
                <w:kern w:val="0"/>
                <w:szCs w:val="21"/>
              </w:rPr>
            </w:pPr>
            <w:r>
              <w:rPr>
                <w:rFonts w:hint="eastAsia"/>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rFonts w:hint="eastAsia"/>
                <w:spacing w:val="4"/>
                <w:szCs w:val="21"/>
              </w:rPr>
              <w:t>总大肠菌</w:t>
            </w:r>
            <w:r>
              <w:rPr>
                <w:spacing w:val="4"/>
                <w:szCs w:val="21"/>
              </w:rPr>
              <w:t>（MPN/100mL）</w:t>
            </w:r>
          </w:p>
        </w:tc>
        <w:tc>
          <w:tcPr>
            <w:tcW w:w="849" w:type="pct"/>
            <w:vAlign w:val="center"/>
          </w:tcPr>
          <w:p>
            <w:pPr>
              <w:jc w:val="center"/>
              <w:rPr>
                <w:kern w:val="0"/>
                <w:szCs w:val="21"/>
              </w:rPr>
            </w:pPr>
            <w:r>
              <w:rPr>
                <w:szCs w:val="21"/>
              </w:rPr>
              <w:t>&lt;2</w:t>
            </w:r>
          </w:p>
        </w:tc>
        <w:tc>
          <w:tcPr>
            <w:tcW w:w="849" w:type="pct"/>
            <w:vAlign w:val="center"/>
          </w:tcPr>
          <w:p>
            <w:pPr>
              <w:jc w:val="center"/>
              <w:rPr>
                <w:kern w:val="0"/>
                <w:szCs w:val="21"/>
              </w:rPr>
            </w:pPr>
            <w:r>
              <w:rPr>
                <w:szCs w:val="21"/>
              </w:rPr>
              <w:t>&lt;2</w:t>
            </w:r>
          </w:p>
        </w:tc>
        <w:tc>
          <w:tcPr>
            <w:tcW w:w="849" w:type="pct"/>
            <w:vAlign w:val="center"/>
          </w:tcPr>
          <w:p>
            <w:pPr>
              <w:jc w:val="center"/>
              <w:rPr>
                <w:kern w:val="0"/>
                <w:szCs w:val="21"/>
              </w:rPr>
            </w:pPr>
            <w:r>
              <w:rPr>
                <w:szCs w:val="21"/>
              </w:rPr>
              <w:t>&lt;2</w:t>
            </w:r>
          </w:p>
        </w:tc>
        <w:tc>
          <w:tcPr>
            <w:tcW w:w="854" w:type="pct"/>
            <w:vAlign w:val="center"/>
          </w:tcPr>
          <w:p>
            <w:pPr>
              <w:jc w:val="center"/>
              <w:rPr>
                <w:kern w:val="0"/>
                <w:szCs w:val="21"/>
              </w:rPr>
            </w:pPr>
            <w:r>
              <w:rPr>
                <w:szCs w:val="21"/>
              </w:rPr>
              <w:t>&lt;2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水温（</w:t>
            </w:r>
            <w:r>
              <w:rPr>
                <w:rFonts w:hint="eastAsia" w:ascii="宋体" w:hAnsi="宋体" w:cs="宋体"/>
                <w:spacing w:val="4"/>
                <w:szCs w:val="21"/>
              </w:rPr>
              <w:t>℃</w:t>
            </w:r>
            <w:r>
              <w:rPr>
                <w:spacing w:val="4"/>
                <w:szCs w:val="21"/>
              </w:rPr>
              <w:t>）</w:t>
            </w:r>
          </w:p>
        </w:tc>
        <w:tc>
          <w:tcPr>
            <w:tcW w:w="849" w:type="pct"/>
            <w:vAlign w:val="center"/>
          </w:tcPr>
          <w:p>
            <w:pPr>
              <w:jc w:val="center"/>
              <w:rPr>
                <w:kern w:val="0"/>
                <w:szCs w:val="21"/>
              </w:rPr>
            </w:pPr>
            <w:r>
              <w:rPr>
                <w:rFonts w:hint="eastAsia"/>
                <w:szCs w:val="21"/>
              </w:rPr>
              <w:t>14.3</w:t>
            </w:r>
          </w:p>
        </w:tc>
        <w:tc>
          <w:tcPr>
            <w:tcW w:w="849" w:type="pct"/>
            <w:vAlign w:val="center"/>
          </w:tcPr>
          <w:p>
            <w:pPr>
              <w:jc w:val="center"/>
              <w:rPr>
                <w:kern w:val="0"/>
                <w:szCs w:val="21"/>
              </w:rPr>
            </w:pPr>
            <w:r>
              <w:rPr>
                <w:rFonts w:hint="eastAsia"/>
                <w:szCs w:val="21"/>
              </w:rPr>
              <w:t>14.2</w:t>
            </w:r>
          </w:p>
        </w:tc>
        <w:tc>
          <w:tcPr>
            <w:tcW w:w="849" w:type="pct"/>
            <w:vAlign w:val="center"/>
          </w:tcPr>
          <w:p>
            <w:pPr>
              <w:jc w:val="center"/>
              <w:rPr>
                <w:kern w:val="0"/>
                <w:szCs w:val="21"/>
              </w:rPr>
            </w:pPr>
            <w:r>
              <w:rPr>
                <w:rFonts w:hint="eastAsia"/>
                <w:szCs w:val="21"/>
              </w:rPr>
              <w:t>14.3</w:t>
            </w:r>
          </w:p>
        </w:tc>
        <w:tc>
          <w:tcPr>
            <w:tcW w:w="854" w:type="pct"/>
            <w:vAlign w:val="center"/>
          </w:tcPr>
          <w:p>
            <w:pPr>
              <w:jc w:val="center"/>
              <w:rPr>
                <w:kern w:val="0"/>
                <w:szCs w:val="21"/>
              </w:rPr>
            </w:pPr>
            <w:r>
              <w:rPr>
                <w:rFonts w:hint="eastAsia"/>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rFonts w:hint="eastAsia"/>
                <w:szCs w:val="21"/>
              </w:rPr>
              <w:t>井深（m）</w:t>
            </w:r>
          </w:p>
        </w:tc>
        <w:tc>
          <w:tcPr>
            <w:tcW w:w="849" w:type="pct"/>
            <w:vAlign w:val="center"/>
          </w:tcPr>
          <w:p>
            <w:pPr>
              <w:jc w:val="center"/>
              <w:rPr>
                <w:kern w:val="0"/>
                <w:szCs w:val="21"/>
              </w:rPr>
            </w:pPr>
            <w:r>
              <w:rPr>
                <w:rFonts w:hint="eastAsia"/>
                <w:szCs w:val="21"/>
              </w:rPr>
              <w:t>15</w:t>
            </w:r>
          </w:p>
        </w:tc>
        <w:tc>
          <w:tcPr>
            <w:tcW w:w="849" w:type="pct"/>
            <w:vAlign w:val="center"/>
          </w:tcPr>
          <w:p>
            <w:pPr>
              <w:jc w:val="center"/>
              <w:rPr>
                <w:kern w:val="0"/>
                <w:szCs w:val="21"/>
              </w:rPr>
            </w:pPr>
            <w:r>
              <w:rPr>
                <w:rFonts w:hint="eastAsia"/>
                <w:szCs w:val="21"/>
              </w:rPr>
              <w:t>12</w:t>
            </w:r>
          </w:p>
        </w:tc>
        <w:tc>
          <w:tcPr>
            <w:tcW w:w="849" w:type="pct"/>
            <w:vAlign w:val="center"/>
          </w:tcPr>
          <w:p>
            <w:pPr>
              <w:jc w:val="center"/>
              <w:rPr>
                <w:kern w:val="0"/>
                <w:szCs w:val="21"/>
              </w:rPr>
            </w:pPr>
            <w:r>
              <w:rPr>
                <w:rFonts w:hint="eastAsia"/>
                <w:szCs w:val="21"/>
              </w:rPr>
              <w:t>15</w:t>
            </w:r>
          </w:p>
        </w:tc>
        <w:tc>
          <w:tcPr>
            <w:tcW w:w="854" w:type="pct"/>
            <w:vAlign w:val="center"/>
          </w:tcPr>
          <w:p>
            <w:pPr>
              <w:jc w:val="center"/>
              <w:rPr>
                <w:kern w:val="0"/>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rFonts w:hint="eastAsia"/>
                <w:szCs w:val="21"/>
              </w:rPr>
              <w:t>水深（m）</w:t>
            </w:r>
          </w:p>
        </w:tc>
        <w:tc>
          <w:tcPr>
            <w:tcW w:w="849" w:type="pct"/>
            <w:vAlign w:val="center"/>
          </w:tcPr>
          <w:p>
            <w:pPr>
              <w:jc w:val="center"/>
              <w:rPr>
                <w:kern w:val="0"/>
                <w:szCs w:val="21"/>
              </w:rPr>
            </w:pPr>
            <w:r>
              <w:rPr>
                <w:rFonts w:hint="eastAsia"/>
                <w:szCs w:val="21"/>
              </w:rPr>
              <w:t>0.5</w:t>
            </w:r>
          </w:p>
        </w:tc>
        <w:tc>
          <w:tcPr>
            <w:tcW w:w="849" w:type="pct"/>
            <w:vAlign w:val="center"/>
          </w:tcPr>
          <w:p>
            <w:pPr>
              <w:jc w:val="center"/>
              <w:rPr>
                <w:kern w:val="0"/>
                <w:szCs w:val="21"/>
              </w:rPr>
            </w:pPr>
            <w:r>
              <w:rPr>
                <w:rFonts w:hint="eastAsia"/>
                <w:szCs w:val="21"/>
              </w:rPr>
              <w:t>1</w:t>
            </w:r>
          </w:p>
        </w:tc>
        <w:tc>
          <w:tcPr>
            <w:tcW w:w="849" w:type="pct"/>
            <w:vAlign w:val="center"/>
          </w:tcPr>
          <w:p>
            <w:pPr>
              <w:jc w:val="center"/>
              <w:rPr>
                <w:kern w:val="0"/>
                <w:szCs w:val="21"/>
              </w:rPr>
            </w:pPr>
            <w:r>
              <w:rPr>
                <w:rFonts w:hint="eastAsia"/>
                <w:szCs w:val="21"/>
              </w:rPr>
              <w:t>0.5</w:t>
            </w:r>
          </w:p>
        </w:tc>
        <w:tc>
          <w:tcPr>
            <w:tcW w:w="854" w:type="pct"/>
            <w:vAlign w:val="center"/>
          </w:tcPr>
          <w:p>
            <w:pPr>
              <w:jc w:val="center"/>
              <w:rPr>
                <w:kern w:val="0"/>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5000" w:type="pct"/>
            <w:gridSpan w:val="5"/>
            <w:vAlign w:val="center"/>
          </w:tcPr>
          <w:p>
            <w:pPr>
              <w:widowControl/>
              <w:jc w:val="center"/>
              <w:textAlignment w:val="center"/>
              <w:rPr>
                <w:kern w:val="0"/>
                <w:szCs w:val="21"/>
              </w:rPr>
            </w:pPr>
            <w:r>
              <w:rPr>
                <w:rFonts w:hint="eastAsia"/>
                <w:kern w:val="0"/>
                <w:szCs w:val="21"/>
              </w:rPr>
              <w:t>备注：ND表示低于方法监出限的结果</w:t>
            </w:r>
          </w:p>
        </w:tc>
      </w:tr>
    </w:tbl>
    <w:p>
      <w:pPr>
        <w:spacing w:line="500" w:lineRule="exact"/>
        <w:jc w:val="center"/>
        <w:rPr>
          <w:b/>
          <w:bCs/>
          <w:sz w:val="24"/>
        </w:rPr>
      </w:pPr>
      <w:r>
        <w:rPr>
          <w:rFonts w:hint="eastAsia"/>
          <w:b/>
          <w:bCs/>
          <w:sz w:val="24"/>
        </w:rPr>
        <w:t>表5.3-5  场地四周监测井水质监测结果标准指数Pi统计表</w:t>
      </w:r>
    </w:p>
    <w:tbl>
      <w:tblPr>
        <w:tblStyle w:val="29"/>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73"/>
        <w:gridCol w:w="1419"/>
        <w:gridCol w:w="1419"/>
        <w:gridCol w:w="1419"/>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595" w:type="pct"/>
            <w:vAlign w:val="center"/>
          </w:tcPr>
          <w:p>
            <w:pPr>
              <w:spacing w:line="300" w:lineRule="exact"/>
              <w:jc w:val="center"/>
              <w:rPr>
                <w:szCs w:val="21"/>
              </w:rPr>
            </w:pPr>
            <w: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-1270</wp:posOffset>
                      </wp:positionV>
                      <wp:extent cx="1668780" cy="388620"/>
                      <wp:effectExtent l="1270" t="4445" r="6350" b="6985"/>
                      <wp:wrapNone/>
                      <wp:docPr id="28" name="直接连接符 28"/>
                      <wp:cNvGraphicFramePr/>
                      <a:graphic xmlns:a="http://schemas.openxmlformats.org/drawingml/2006/main">
                        <a:graphicData uri="http://schemas.microsoft.com/office/word/2010/wordprocessingShape">
                          <wps:wsp>
                            <wps:cNvCnPr/>
                            <wps:spPr>
                              <a:xfrm>
                                <a:off x="747395" y="3697605"/>
                                <a:ext cx="1668780" cy="3886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4pt;margin-top:-0.1pt;height:30.6pt;width:131.4pt;z-index:251672576;mso-width-relative:page;mso-height-relative:page;" filled="f" stroked="t" coordsize="21600,21600" o:gfxdata="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AqlXTAAAABQEAAA8AAAAAAAAAAQAgAAAAIgAAAGRycy9kb3ducmV2LnhtbFBL&#10;AQIUABQAAAAIAIdO4kBZZRPB+wEAANEDAAAOAAAAAAAAAAEAIAAAACIBAABkcnMvZTJvRG9jLnht&#10;bFBLBQYAAAAABgAGAFkBAACPBQAAAAA=&#10;">
                      <v:fill on="f" focussize="0,0"/>
                      <v:stroke weight="0.5pt" color="#000000" miterlimit="8" joinstyle="miter"/>
                      <v:imagedata o:title=""/>
                      <o:lock v:ext="edit" aspectratio="f"/>
                    </v:line>
                  </w:pict>
                </mc:Fallback>
              </mc:AlternateContent>
            </w:r>
            <w:r>
              <w:rPr>
                <w:rFonts w:hint="eastAsia"/>
                <w:szCs w:val="21"/>
              </w:rPr>
              <w:t>监测</w:t>
            </w:r>
            <w:r>
              <w:rPr>
                <w:szCs w:val="21"/>
              </w:rPr>
              <w:t>点位</w:t>
            </w:r>
          </w:p>
          <w:p>
            <w:pPr>
              <w:pStyle w:val="10"/>
              <w:ind w:firstLine="0" w:firstLineChars="0"/>
            </w:pPr>
            <w:r>
              <w:rPr>
                <w:rFonts w:hint="eastAsia"/>
                <w:szCs w:val="21"/>
              </w:rPr>
              <w:t>监测项目</w:t>
            </w:r>
          </w:p>
        </w:tc>
        <w:tc>
          <w:tcPr>
            <w:tcW w:w="847" w:type="pct"/>
            <w:vAlign w:val="center"/>
          </w:tcPr>
          <w:p>
            <w:pPr>
              <w:spacing w:line="300" w:lineRule="exact"/>
              <w:jc w:val="center"/>
            </w:pPr>
            <w:r>
              <w:rPr>
                <w:rFonts w:hint="eastAsia"/>
              </w:rPr>
              <w:t>东侧上游</w:t>
            </w:r>
          </w:p>
          <w:p>
            <w:pPr>
              <w:spacing w:line="300" w:lineRule="exact"/>
              <w:jc w:val="center"/>
            </w:pPr>
            <w:r>
              <w:rPr>
                <w:rFonts w:hint="eastAsia"/>
              </w:rPr>
              <w:t>本底井</w:t>
            </w:r>
          </w:p>
        </w:tc>
        <w:tc>
          <w:tcPr>
            <w:tcW w:w="847" w:type="pct"/>
            <w:vAlign w:val="center"/>
          </w:tcPr>
          <w:p>
            <w:pPr>
              <w:spacing w:line="300" w:lineRule="exact"/>
              <w:jc w:val="center"/>
            </w:pPr>
            <w:r>
              <w:rPr>
                <w:rFonts w:hint="eastAsia"/>
              </w:rPr>
              <w:t>南侧污染</w:t>
            </w:r>
          </w:p>
          <w:p>
            <w:pPr>
              <w:spacing w:line="300" w:lineRule="exact"/>
              <w:jc w:val="center"/>
            </w:pPr>
            <w:r>
              <w:rPr>
                <w:rFonts w:hint="eastAsia"/>
              </w:rPr>
              <w:t>扩散井</w:t>
            </w:r>
          </w:p>
        </w:tc>
        <w:tc>
          <w:tcPr>
            <w:tcW w:w="847" w:type="pct"/>
            <w:vAlign w:val="center"/>
          </w:tcPr>
          <w:p>
            <w:pPr>
              <w:spacing w:line="300" w:lineRule="exact"/>
              <w:jc w:val="center"/>
            </w:pPr>
            <w:r>
              <w:rPr>
                <w:rFonts w:hint="eastAsia"/>
              </w:rPr>
              <w:t>北侧污染</w:t>
            </w:r>
          </w:p>
          <w:p>
            <w:pPr>
              <w:spacing w:line="300" w:lineRule="exact"/>
              <w:jc w:val="center"/>
              <w:rPr>
                <w:bCs/>
                <w:szCs w:val="21"/>
              </w:rPr>
            </w:pPr>
            <w:r>
              <w:rPr>
                <w:rFonts w:hint="eastAsia"/>
              </w:rPr>
              <w:t>扩散井</w:t>
            </w:r>
          </w:p>
        </w:tc>
        <w:tc>
          <w:tcPr>
            <w:tcW w:w="861" w:type="pct"/>
            <w:vAlign w:val="center"/>
          </w:tcPr>
          <w:p>
            <w:pPr>
              <w:spacing w:line="300" w:lineRule="exact"/>
              <w:jc w:val="center"/>
            </w:pPr>
            <w:r>
              <w:rPr>
                <w:rFonts w:hint="eastAsia"/>
              </w:rPr>
              <w:t>西侧下游</w:t>
            </w:r>
          </w:p>
          <w:p>
            <w:pPr>
              <w:spacing w:line="300" w:lineRule="exact"/>
              <w:jc w:val="center"/>
              <w:rPr>
                <w:bCs/>
                <w:szCs w:val="21"/>
              </w:rPr>
            </w:pPr>
            <w:r>
              <w:rPr>
                <w:rFonts w:hint="eastAsia"/>
              </w:rPr>
              <w:t>污染监视井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pacing w:val="4"/>
                <w:szCs w:val="21"/>
              </w:rPr>
              <w:t>pH值</w:t>
            </w:r>
          </w:p>
        </w:tc>
        <w:tc>
          <w:tcPr>
            <w:tcW w:w="847" w:type="pct"/>
            <w:vAlign w:val="center"/>
          </w:tcPr>
          <w:p>
            <w:pPr>
              <w:jc w:val="center"/>
              <w:rPr>
                <w:szCs w:val="21"/>
              </w:rPr>
            </w:pPr>
            <w:r>
              <w:rPr>
                <w:rFonts w:hint="eastAsia"/>
                <w:szCs w:val="21"/>
              </w:rPr>
              <w:t>0.45</w:t>
            </w:r>
          </w:p>
        </w:tc>
        <w:tc>
          <w:tcPr>
            <w:tcW w:w="847" w:type="pct"/>
            <w:vAlign w:val="center"/>
          </w:tcPr>
          <w:p>
            <w:pPr>
              <w:jc w:val="center"/>
              <w:rPr>
                <w:szCs w:val="21"/>
              </w:rPr>
            </w:pPr>
            <w:r>
              <w:rPr>
                <w:rFonts w:hint="eastAsia"/>
                <w:szCs w:val="21"/>
              </w:rPr>
              <w:t>0.34</w:t>
            </w:r>
          </w:p>
        </w:tc>
        <w:tc>
          <w:tcPr>
            <w:tcW w:w="847" w:type="pct"/>
            <w:vAlign w:val="center"/>
          </w:tcPr>
          <w:p>
            <w:pPr>
              <w:jc w:val="center"/>
              <w:rPr>
                <w:szCs w:val="21"/>
              </w:rPr>
            </w:pPr>
            <w:r>
              <w:rPr>
                <w:rFonts w:hint="eastAsia"/>
                <w:szCs w:val="21"/>
              </w:rPr>
              <w:t>0.39</w:t>
            </w:r>
          </w:p>
        </w:tc>
        <w:tc>
          <w:tcPr>
            <w:tcW w:w="861" w:type="pct"/>
            <w:vAlign w:val="center"/>
          </w:tcPr>
          <w:p>
            <w:pPr>
              <w:jc w:val="center"/>
              <w:rPr>
                <w:szCs w:val="21"/>
              </w:rPr>
            </w:pPr>
            <w:r>
              <w:rPr>
                <w:rFonts w:hint="eastAsia"/>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氨氮</w:t>
            </w:r>
            <w:r>
              <w:rPr>
                <w:szCs w:val="21"/>
              </w:rPr>
              <w:t>（mg/L）</w:t>
            </w:r>
          </w:p>
        </w:tc>
        <w:tc>
          <w:tcPr>
            <w:tcW w:w="847" w:type="pct"/>
            <w:vAlign w:val="center"/>
          </w:tcPr>
          <w:p>
            <w:pPr>
              <w:jc w:val="center"/>
              <w:rPr>
                <w:szCs w:val="21"/>
              </w:rPr>
            </w:pPr>
            <w:r>
              <w:rPr>
                <w:rFonts w:hint="eastAsia"/>
                <w:szCs w:val="21"/>
              </w:rPr>
              <w:t>0.082</w:t>
            </w:r>
          </w:p>
        </w:tc>
        <w:tc>
          <w:tcPr>
            <w:tcW w:w="847" w:type="pct"/>
            <w:vAlign w:val="center"/>
          </w:tcPr>
          <w:p>
            <w:pPr>
              <w:jc w:val="center"/>
              <w:rPr>
                <w:szCs w:val="21"/>
              </w:rPr>
            </w:pPr>
            <w:r>
              <w:rPr>
                <w:rFonts w:hint="eastAsia"/>
                <w:szCs w:val="21"/>
              </w:rPr>
              <w:t>0.108</w:t>
            </w:r>
          </w:p>
        </w:tc>
        <w:tc>
          <w:tcPr>
            <w:tcW w:w="847" w:type="pct"/>
            <w:vAlign w:val="center"/>
          </w:tcPr>
          <w:p>
            <w:pPr>
              <w:jc w:val="center"/>
              <w:rPr>
                <w:szCs w:val="21"/>
              </w:rPr>
            </w:pPr>
            <w:r>
              <w:rPr>
                <w:rFonts w:hint="eastAsia"/>
                <w:szCs w:val="21"/>
              </w:rPr>
              <w:t>0.054</w:t>
            </w:r>
          </w:p>
        </w:tc>
        <w:tc>
          <w:tcPr>
            <w:tcW w:w="861" w:type="pct"/>
            <w:vAlign w:val="center"/>
          </w:tcPr>
          <w:p>
            <w:pPr>
              <w:jc w:val="center"/>
              <w:rPr>
                <w:szCs w:val="21"/>
              </w:rPr>
            </w:pPr>
            <w:r>
              <w:rPr>
                <w:rFonts w:hint="eastAsia"/>
                <w:szCs w:val="21"/>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zCs w:val="21"/>
              </w:rPr>
              <w:t>硝酸盐氮（mg/L）</w:t>
            </w:r>
          </w:p>
        </w:tc>
        <w:tc>
          <w:tcPr>
            <w:tcW w:w="847" w:type="pct"/>
            <w:vAlign w:val="center"/>
          </w:tcPr>
          <w:p>
            <w:pPr>
              <w:jc w:val="center"/>
              <w:rPr>
                <w:szCs w:val="21"/>
              </w:rPr>
            </w:pPr>
            <w:r>
              <w:rPr>
                <w:rFonts w:hint="eastAsia"/>
                <w:szCs w:val="21"/>
              </w:rPr>
              <w:t>0.069</w:t>
            </w:r>
          </w:p>
        </w:tc>
        <w:tc>
          <w:tcPr>
            <w:tcW w:w="847" w:type="pct"/>
            <w:vAlign w:val="center"/>
          </w:tcPr>
          <w:p>
            <w:pPr>
              <w:jc w:val="center"/>
              <w:rPr>
                <w:szCs w:val="21"/>
              </w:rPr>
            </w:pPr>
            <w:r>
              <w:rPr>
                <w:rFonts w:hint="eastAsia"/>
                <w:szCs w:val="21"/>
              </w:rPr>
              <w:t>0.051</w:t>
            </w:r>
          </w:p>
        </w:tc>
        <w:tc>
          <w:tcPr>
            <w:tcW w:w="847" w:type="pct"/>
            <w:vAlign w:val="center"/>
          </w:tcPr>
          <w:p>
            <w:pPr>
              <w:jc w:val="center"/>
              <w:rPr>
                <w:szCs w:val="21"/>
              </w:rPr>
            </w:pPr>
            <w:r>
              <w:rPr>
                <w:rFonts w:hint="eastAsia"/>
                <w:szCs w:val="21"/>
              </w:rPr>
              <w:t>0.063</w:t>
            </w:r>
          </w:p>
        </w:tc>
        <w:tc>
          <w:tcPr>
            <w:tcW w:w="861" w:type="pct"/>
            <w:vAlign w:val="center"/>
          </w:tcPr>
          <w:p>
            <w:pPr>
              <w:jc w:val="center"/>
              <w:rPr>
                <w:szCs w:val="21"/>
              </w:rPr>
            </w:pPr>
            <w:r>
              <w:rPr>
                <w:rFonts w:hint="eastAsia"/>
                <w:szCs w:val="21"/>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bCs/>
                <w:szCs w:val="21"/>
              </w:rPr>
            </w:pPr>
            <w:r>
              <w:rPr>
                <w:spacing w:val="4"/>
                <w:szCs w:val="21"/>
              </w:rPr>
              <w:t>亚</w:t>
            </w:r>
            <w:r>
              <w:rPr>
                <w:szCs w:val="21"/>
              </w:rPr>
              <w:t>硝酸盐氮（mg/L）</w:t>
            </w:r>
          </w:p>
        </w:tc>
        <w:tc>
          <w:tcPr>
            <w:tcW w:w="847" w:type="pct"/>
            <w:vAlign w:val="center"/>
          </w:tcPr>
          <w:p>
            <w:pPr>
              <w:jc w:val="center"/>
              <w:rPr>
                <w:szCs w:val="21"/>
              </w:rPr>
            </w:pPr>
            <w:r>
              <w:rPr>
                <w:rFonts w:hint="eastAsia"/>
                <w:szCs w:val="21"/>
              </w:rPr>
              <w:t>ND</w:t>
            </w:r>
          </w:p>
        </w:tc>
        <w:tc>
          <w:tcPr>
            <w:tcW w:w="847" w:type="pct"/>
            <w:vAlign w:val="center"/>
          </w:tcPr>
          <w:p>
            <w:pPr>
              <w:jc w:val="center"/>
              <w:rPr>
                <w:szCs w:val="21"/>
              </w:rPr>
            </w:pPr>
            <w:r>
              <w:rPr>
                <w:rFonts w:hint="eastAsia"/>
                <w:szCs w:val="21"/>
              </w:rPr>
              <w:t>ND</w:t>
            </w:r>
          </w:p>
        </w:tc>
        <w:tc>
          <w:tcPr>
            <w:tcW w:w="847" w:type="pct"/>
            <w:vAlign w:val="center"/>
          </w:tcPr>
          <w:p>
            <w:pPr>
              <w:jc w:val="center"/>
              <w:rPr>
                <w:szCs w:val="21"/>
              </w:rPr>
            </w:pPr>
            <w:r>
              <w:rPr>
                <w:rFonts w:hint="eastAsia"/>
                <w:szCs w:val="21"/>
              </w:rPr>
              <w:t>ND</w:t>
            </w:r>
          </w:p>
        </w:tc>
        <w:tc>
          <w:tcPr>
            <w:tcW w:w="861" w:type="pct"/>
            <w:vAlign w:val="center"/>
          </w:tcPr>
          <w:p>
            <w:pPr>
              <w:jc w:val="center"/>
              <w:rPr>
                <w:szCs w:val="21"/>
              </w:rPr>
            </w:pPr>
            <w:r>
              <w:rPr>
                <w:rFonts w:hint="eastAsia"/>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bCs/>
                <w:szCs w:val="21"/>
              </w:rPr>
              <w:t>挥发酚</w:t>
            </w:r>
            <w:r>
              <w:rPr>
                <w:szCs w:val="21"/>
              </w:rPr>
              <w:t>（mg/L）</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61"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bCs/>
                <w:szCs w:val="21"/>
              </w:rPr>
              <w:t>氰化物</w:t>
            </w:r>
            <w:r>
              <w:rPr>
                <w:szCs w:val="21"/>
              </w:rPr>
              <w:t>（mg/L）</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61"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pacing w:val="4"/>
                <w:szCs w:val="21"/>
              </w:rPr>
              <w:t>砷（</w:t>
            </w:r>
            <w:r>
              <w:rPr>
                <w:szCs w:val="21"/>
              </w:rPr>
              <w:t>µg/L</w:t>
            </w:r>
            <w:r>
              <w:rPr>
                <w:spacing w:val="4"/>
                <w:szCs w:val="21"/>
              </w:rPr>
              <w:t>）</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61"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pacing w:val="4"/>
                <w:szCs w:val="21"/>
              </w:rPr>
              <w:t>汞（</w:t>
            </w:r>
            <w:r>
              <w:rPr>
                <w:szCs w:val="21"/>
              </w:rPr>
              <w:t>µg/L</w:t>
            </w:r>
            <w:r>
              <w:rPr>
                <w:spacing w:val="4"/>
                <w:szCs w:val="21"/>
              </w:rPr>
              <w:t>）</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61"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szCs w:val="21"/>
              </w:rPr>
              <w:t>六价铬（mg/L）</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47" w:type="pct"/>
            <w:vAlign w:val="center"/>
          </w:tcPr>
          <w:p>
            <w:pPr>
              <w:jc w:val="center"/>
              <w:rPr>
                <w:szCs w:val="21"/>
              </w:rPr>
            </w:pPr>
            <w:r>
              <w:rPr>
                <w:szCs w:val="21"/>
              </w:rPr>
              <w:t>ND</w:t>
            </w:r>
          </w:p>
        </w:tc>
        <w:tc>
          <w:tcPr>
            <w:tcW w:w="861" w:type="pct"/>
            <w:vAlign w:val="center"/>
          </w:tcPr>
          <w:p>
            <w:pPr>
              <w:jc w:val="center"/>
              <w:rPr>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zCs w:val="21"/>
              </w:rPr>
            </w:pPr>
            <w:r>
              <w:rPr>
                <w:bCs/>
                <w:szCs w:val="21"/>
              </w:rPr>
              <w:t>总硬度(CaCO</w:t>
            </w:r>
            <w:r>
              <w:rPr>
                <w:bCs/>
                <w:szCs w:val="21"/>
                <w:vertAlign w:val="subscript"/>
              </w:rPr>
              <w:t>3</w:t>
            </w:r>
            <w:r>
              <w:rPr>
                <w:bCs/>
                <w:szCs w:val="21"/>
              </w:rPr>
              <w:t>计)</w:t>
            </w:r>
            <w:r>
              <w:rPr>
                <w:szCs w:val="21"/>
              </w:rPr>
              <w:t xml:space="preserve"> （mg/L）</w:t>
            </w:r>
          </w:p>
        </w:tc>
        <w:tc>
          <w:tcPr>
            <w:tcW w:w="847" w:type="pct"/>
            <w:vAlign w:val="center"/>
          </w:tcPr>
          <w:p>
            <w:pPr>
              <w:jc w:val="center"/>
              <w:rPr>
                <w:szCs w:val="21"/>
              </w:rPr>
            </w:pPr>
            <w:r>
              <w:rPr>
                <w:rFonts w:hint="eastAsia"/>
                <w:szCs w:val="21"/>
              </w:rPr>
              <w:t>0.86</w:t>
            </w:r>
          </w:p>
        </w:tc>
        <w:tc>
          <w:tcPr>
            <w:tcW w:w="847" w:type="pct"/>
            <w:vAlign w:val="center"/>
          </w:tcPr>
          <w:p>
            <w:pPr>
              <w:jc w:val="center"/>
              <w:rPr>
                <w:szCs w:val="21"/>
              </w:rPr>
            </w:pPr>
            <w:r>
              <w:rPr>
                <w:rFonts w:hint="eastAsia"/>
                <w:szCs w:val="21"/>
              </w:rPr>
              <w:t>0.87</w:t>
            </w:r>
          </w:p>
        </w:tc>
        <w:tc>
          <w:tcPr>
            <w:tcW w:w="847" w:type="pct"/>
            <w:vAlign w:val="center"/>
          </w:tcPr>
          <w:p>
            <w:pPr>
              <w:jc w:val="center"/>
              <w:rPr>
                <w:szCs w:val="21"/>
              </w:rPr>
            </w:pPr>
            <w:r>
              <w:rPr>
                <w:rFonts w:hint="eastAsia"/>
                <w:szCs w:val="21"/>
              </w:rPr>
              <w:t>0.78</w:t>
            </w:r>
          </w:p>
        </w:tc>
        <w:tc>
          <w:tcPr>
            <w:tcW w:w="861" w:type="pct"/>
            <w:vAlign w:val="center"/>
          </w:tcPr>
          <w:p>
            <w:pPr>
              <w:jc w:val="center"/>
              <w:rPr>
                <w:szCs w:val="21"/>
              </w:rPr>
            </w:pPr>
            <w:r>
              <w:rPr>
                <w:rFonts w:hint="eastAsia"/>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ind w:left="-105" w:leftChars="-50" w:right="-105" w:rightChars="-50" w:firstLine="109" w:firstLineChars="50"/>
              <w:jc w:val="center"/>
              <w:rPr>
                <w:spacing w:val="4"/>
                <w:szCs w:val="21"/>
              </w:rPr>
            </w:pPr>
            <w:r>
              <w:rPr>
                <w:spacing w:val="4"/>
                <w:szCs w:val="21"/>
              </w:rPr>
              <w:t>氟化物</w:t>
            </w:r>
            <w:r>
              <w:rPr>
                <w:szCs w:val="21"/>
              </w:rPr>
              <w:t>（mg/L）</w:t>
            </w:r>
          </w:p>
        </w:tc>
        <w:tc>
          <w:tcPr>
            <w:tcW w:w="847" w:type="pct"/>
            <w:vAlign w:val="center"/>
          </w:tcPr>
          <w:p>
            <w:pPr>
              <w:jc w:val="center"/>
              <w:rPr>
                <w:szCs w:val="21"/>
              </w:rPr>
            </w:pPr>
            <w:r>
              <w:rPr>
                <w:rFonts w:hint="eastAsia"/>
                <w:szCs w:val="21"/>
              </w:rPr>
              <w:t>0.41</w:t>
            </w:r>
          </w:p>
        </w:tc>
        <w:tc>
          <w:tcPr>
            <w:tcW w:w="847" w:type="pct"/>
            <w:vAlign w:val="center"/>
          </w:tcPr>
          <w:p>
            <w:pPr>
              <w:jc w:val="center"/>
              <w:rPr>
                <w:szCs w:val="21"/>
              </w:rPr>
            </w:pPr>
            <w:r>
              <w:rPr>
                <w:rFonts w:hint="eastAsia"/>
                <w:szCs w:val="21"/>
              </w:rPr>
              <w:t>0.51</w:t>
            </w:r>
          </w:p>
        </w:tc>
        <w:tc>
          <w:tcPr>
            <w:tcW w:w="847" w:type="pct"/>
            <w:vAlign w:val="center"/>
          </w:tcPr>
          <w:p>
            <w:pPr>
              <w:jc w:val="center"/>
              <w:rPr>
                <w:szCs w:val="21"/>
              </w:rPr>
            </w:pPr>
            <w:r>
              <w:rPr>
                <w:rFonts w:hint="eastAsia"/>
                <w:szCs w:val="21"/>
              </w:rPr>
              <w:t>0.41</w:t>
            </w:r>
          </w:p>
        </w:tc>
        <w:tc>
          <w:tcPr>
            <w:tcW w:w="861" w:type="pct"/>
            <w:vAlign w:val="center"/>
          </w:tcPr>
          <w:p>
            <w:pPr>
              <w:jc w:val="center"/>
              <w:rPr>
                <w:szCs w:val="21"/>
              </w:rPr>
            </w:pPr>
            <w:r>
              <w:rPr>
                <w:rFonts w:hint="eastAsia"/>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bCs/>
                <w:szCs w:val="21"/>
              </w:rPr>
              <w:t>铅（</w:t>
            </w:r>
            <w:r>
              <w:rPr>
                <w:szCs w:val="21"/>
              </w:rPr>
              <w:t>µg/L</w:t>
            </w:r>
            <w:r>
              <w:rPr>
                <w:bCs/>
                <w:szCs w:val="21"/>
              </w:rPr>
              <w:t>）</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61"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95" w:type="pct"/>
            <w:vAlign w:val="center"/>
          </w:tcPr>
          <w:p>
            <w:pPr>
              <w:spacing w:line="240" w:lineRule="exact"/>
              <w:jc w:val="center"/>
              <w:rPr>
                <w:spacing w:val="4"/>
                <w:szCs w:val="21"/>
              </w:rPr>
            </w:pPr>
            <w:r>
              <w:rPr>
                <w:bCs/>
                <w:szCs w:val="21"/>
              </w:rPr>
              <w:t>镉（</w:t>
            </w:r>
            <w:r>
              <w:rPr>
                <w:szCs w:val="21"/>
              </w:rPr>
              <w:t>µg/L</w:t>
            </w:r>
            <w:r>
              <w:rPr>
                <w:bCs/>
                <w:szCs w:val="21"/>
              </w:rPr>
              <w:t>）</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61"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zCs w:val="21"/>
              </w:rPr>
              <w:t>铁（mg/L）</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61"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zCs w:val="21"/>
              </w:rPr>
              <w:t>锰（mg/L）</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47" w:type="pct"/>
            <w:vAlign w:val="center"/>
          </w:tcPr>
          <w:p>
            <w:pPr>
              <w:jc w:val="center"/>
              <w:rPr>
                <w:kern w:val="0"/>
                <w:szCs w:val="21"/>
              </w:rPr>
            </w:pPr>
            <w:r>
              <w:rPr>
                <w:szCs w:val="21"/>
              </w:rPr>
              <w:t>ND</w:t>
            </w:r>
          </w:p>
        </w:tc>
        <w:tc>
          <w:tcPr>
            <w:tcW w:w="861" w:type="pct"/>
            <w:vAlign w:val="center"/>
          </w:tcPr>
          <w:p>
            <w:pPr>
              <w:jc w:val="center"/>
              <w:rPr>
                <w:kern w:val="0"/>
                <w:szCs w:val="21"/>
              </w:rPr>
            </w:pPr>
            <w:r>
              <w:rPr>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bCs/>
                <w:szCs w:val="21"/>
              </w:rPr>
              <w:t>溶解性总固体</w:t>
            </w:r>
            <w:r>
              <w:rPr>
                <w:szCs w:val="21"/>
              </w:rPr>
              <w:t>（mg/L）</w:t>
            </w:r>
          </w:p>
        </w:tc>
        <w:tc>
          <w:tcPr>
            <w:tcW w:w="847" w:type="pct"/>
            <w:vAlign w:val="center"/>
          </w:tcPr>
          <w:p>
            <w:pPr>
              <w:jc w:val="center"/>
              <w:rPr>
                <w:kern w:val="0"/>
                <w:szCs w:val="21"/>
              </w:rPr>
            </w:pPr>
            <w:r>
              <w:rPr>
                <w:rFonts w:hint="eastAsia"/>
                <w:szCs w:val="21"/>
              </w:rPr>
              <w:t>0.536</w:t>
            </w:r>
          </w:p>
        </w:tc>
        <w:tc>
          <w:tcPr>
            <w:tcW w:w="847" w:type="pct"/>
            <w:vAlign w:val="center"/>
          </w:tcPr>
          <w:p>
            <w:pPr>
              <w:jc w:val="center"/>
              <w:rPr>
                <w:kern w:val="0"/>
                <w:szCs w:val="21"/>
              </w:rPr>
            </w:pPr>
            <w:r>
              <w:rPr>
                <w:rFonts w:hint="eastAsia"/>
                <w:szCs w:val="21"/>
              </w:rPr>
              <w:t>0.542</w:t>
            </w:r>
          </w:p>
        </w:tc>
        <w:tc>
          <w:tcPr>
            <w:tcW w:w="847" w:type="pct"/>
            <w:vAlign w:val="center"/>
          </w:tcPr>
          <w:p>
            <w:pPr>
              <w:jc w:val="center"/>
              <w:rPr>
                <w:kern w:val="0"/>
                <w:szCs w:val="21"/>
              </w:rPr>
            </w:pPr>
            <w:r>
              <w:rPr>
                <w:rFonts w:hint="eastAsia"/>
                <w:szCs w:val="21"/>
              </w:rPr>
              <w:t>0.571</w:t>
            </w:r>
          </w:p>
        </w:tc>
        <w:tc>
          <w:tcPr>
            <w:tcW w:w="861" w:type="pct"/>
            <w:vAlign w:val="center"/>
          </w:tcPr>
          <w:p>
            <w:pPr>
              <w:jc w:val="center"/>
              <w:rPr>
                <w:kern w:val="0"/>
                <w:szCs w:val="21"/>
              </w:rPr>
            </w:pPr>
            <w:r>
              <w:rPr>
                <w:rFonts w:hint="eastAsia"/>
                <w:szCs w:val="21"/>
              </w:rPr>
              <w:t>0.548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耗氧量</w:t>
            </w:r>
            <w:r>
              <w:rPr>
                <w:szCs w:val="21"/>
              </w:rPr>
              <w:t>（mg/L）</w:t>
            </w:r>
          </w:p>
        </w:tc>
        <w:tc>
          <w:tcPr>
            <w:tcW w:w="847" w:type="pct"/>
            <w:vAlign w:val="center"/>
          </w:tcPr>
          <w:p>
            <w:pPr>
              <w:jc w:val="center"/>
              <w:rPr>
                <w:kern w:val="0"/>
                <w:szCs w:val="21"/>
              </w:rPr>
            </w:pPr>
            <w:r>
              <w:rPr>
                <w:rFonts w:hint="eastAsia"/>
                <w:szCs w:val="21"/>
              </w:rPr>
              <w:t>0.2</w:t>
            </w:r>
          </w:p>
        </w:tc>
        <w:tc>
          <w:tcPr>
            <w:tcW w:w="847" w:type="pct"/>
            <w:vAlign w:val="center"/>
          </w:tcPr>
          <w:p>
            <w:pPr>
              <w:jc w:val="center"/>
              <w:rPr>
                <w:kern w:val="0"/>
                <w:szCs w:val="21"/>
              </w:rPr>
            </w:pPr>
            <w:r>
              <w:rPr>
                <w:rFonts w:hint="eastAsia"/>
                <w:szCs w:val="21"/>
              </w:rPr>
              <w:t>0.13</w:t>
            </w:r>
          </w:p>
        </w:tc>
        <w:tc>
          <w:tcPr>
            <w:tcW w:w="847" w:type="pct"/>
            <w:vAlign w:val="center"/>
          </w:tcPr>
          <w:p>
            <w:pPr>
              <w:jc w:val="center"/>
              <w:rPr>
                <w:kern w:val="0"/>
                <w:szCs w:val="21"/>
              </w:rPr>
            </w:pPr>
            <w:r>
              <w:rPr>
                <w:rFonts w:hint="eastAsia"/>
                <w:szCs w:val="21"/>
              </w:rPr>
              <w:t>0.27</w:t>
            </w:r>
          </w:p>
        </w:tc>
        <w:tc>
          <w:tcPr>
            <w:tcW w:w="861" w:type="pct"/>
            <w:vAlign w:val="center"/>
          </w:tcPr>
          <w:p>
            <w:pPr>
              <w:jc w:val="center"/>
              <w:rPr>
                <w:kern w:val="0"/>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spacing w:val="4"/>
                <w:szCs w:val="21"/>
              </w:rPr>
              <w:t>菌落总数（CFU/mL）</w:t>
            </w:r>
          </w:p>
        </w:tc>
        <w:tc>
          <w:tcPr>
            <w:tcW w:w="847" w:type="pct"/>
            <w:vAlign w:val="center"/>
          </w:tcPr>
          <w:p>
            <w:pPr>
              <w:jc w:val="center"/>
              <w:rPr>
                <w:kern w:val="0"/>
                <w:szCs w:val="21"/>
              </w:rPr>
            </w:pPr>
            <w:r>
              <w:rPr>
                <w:rFonts w:hint="eastAsia"/>
                <w:szCs w:val="21"/>
              </w:rPr>
              <w:t>0.2</w:t>
            </w:r>
          </w:p>
        </w:tc>
        <w:tc>
          <w:tcPr>
            <w:tcW w:w="847" w:type="pct"/>
            <w:vAlign w:val="center"/>
          </w:tcPr>
          <w:p>
            <w:pPr>
              <w:jc w:val="center"/>
              <w:rPr>
                <w:kern w:val="0"/>
                <w:szCs w:val="21"/>
              </w:rPr>
            </w:pPr>
            <w:r>
              <w:rPr>
                <w:rFonts w:hint="eastAsia"/>
                <w:szCs w:val="21"/>
              </w:rPr>
              <w:t>0.27</w:t>
            </w:r>
          </w:p>
        </w:tc>
        <w:tc>
          <w:tcPr>
            <w:tcW w:w="847" w:type="pct"/>
            <w:vAlign w:val="center"/>
          </w:tcPr>
          <w:p>
            <w:pPr>
              <w:jc w:val="center"/>
              <w:rPr>
                <w:kern w:val="0"/>
                <w:szCs w:val="21"/>
              </w:rPr>
            </w:pPr>
            <w:r>
              <w:rPr>
                <w:rFonts w:hint="eastAsia"/>
                <w:szCs w:val="21"/>
              </w:rPr>
              <w:t>0.28</w:t>
            </w:r>
          </w:p>
        </w:tc>
        <w:tc>
          <w:tcPr>
            <w:tcW w:w="861" w:type="pct"/>
            <w:vAlign w:val="center"/>
          </w:tcPr>
          <w:p>
            <w:pPr>
              <w:jc w:val="center"/>
              <w:rPr>
                <w:kern w:val="0"/>
                <w:szCs w:val="21"/>
              </w:rPr>
            </w:pPr>
            <w:r>
              <w:rPr>
                <w:rFonts w:hint="eastAsia"/>
                <w:szCs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595" w:type="pct"/>
            <w:vAlign w:val="center"/>
          </w:tcPr>
          <w:p>
            <w:pPr>
              <w:spacing w:line="240" w:lineRule="exact"/>
              <w:jc w:val="center"/>
              <w:rPr>
                <w:spacing w:val="4"/>
                <w:szCs w:val="21"/>
              </w:rPr>
            </w:pPr>
            <w:r>
              <w:rPr>
                <w:rFonts w:hint="eastAsia"/>
                <w:spacing w:val="4"/>
                <w:szCs w:val="21"/>
              </w:rPr>
              <w:t>总大肠菌</w:t>
            </w:r>
            <w:r>
              <w:rPr>
                <w:spacing w:val="4"/>
                <w:szCs w:val="21"/>
              </w:rPr>
              <w:t>（MPN/100mL）</w:t>
            </w:r>
          </w:p>
        </w:tc>
        <w:tc>
          <w:tcPr>
            <w:tcW w:w="847" w:type="pct"/>
            <w:vAlign w:val="center"/>
          </w:tcPr>
          <w:p>
            <w:pPr>
              <w:jc w:val="center"/>
              <w:rPr>
                <w:kern w:val="0"/>
                <w:szCs w:val="21"/>
              </w:rPr>
            </w:pPr>
            <w:r>
              <w:rPr>
                <w:szCs w:val="21"/>
              </w:rPr>
              <w:t>&lt;</w:t>
            </w:r>
            <w:r>
              <w:rPr>
                <w:rFonts w:hint="eastAsia"/>
                <w:szCs w:val="21"/>
              </w:rPr>
              <w:t>0.67</w:t>
            </w:r>
          </w:p>
        </w:tc>
        <w:tc>
          <w:tcPr>
            <w:tcW w:w="847" w:type="pct"/>
            <w:vAlign w:val="center"/>
          </w:tcPr>
          <w:p>
            <w:pPr>
              <w:jc w:val="center"/>
              <w:rPr>
                <w:kern w:val="0"/>
                <w:szCs w:val="21"/>
              </w:rPr>
            </w:pPr>
            <w:r>
              <w:rPr>
                <w:szCs w:val="21"/>
              </w:rPr>
              <w:t>&lt;</w:t>
            </w:r>
            <w:r>
              <w:rPr>
                <w:rFonts w:hint="eastAsia"/>
                <w:szCs w:val="21"/>
              </w:rPr>
              <w:t>0.67</w:t>
            </w:r>
          </w:p>
        </w:tc>
        <w:tc>
          <w:tcPr>
            <w:tcW w:w="847" w:type="pct"/>
            <w:vAlign w:val="center"/>
          </w:tcPr>
          <w:p>
            <w:pPr>
              <w:jc w:val="center"/>
              <w:rPr>
                <w:kern w:val="0"/>
                <w:szCs w:val="21"/>
              </w:rPr>
            </w:pPr>
            <w:r>
              <w:rPr>
                <w:szCs w:val="21"/>
              </w:rPr>
              <w:t>&lt;</w:t>
            </w:r>
            <w:r>
              <w:rPr>
                <w:rFonts w:hint="eastAsia"/>
                <w:szCs w:val="21"/>
              </w:rPr>
              <w:t>0.67</w:t>
            </w:r>
          </w:p>
        </w:tc>
        <w:tc>
          <w:tcPr>
            <w:tcW w:w="861" w:type="pct"/>
            <w:vAlign w:val="center"/>
          </w:tcPr>
          <w:p>
            <w:pPr>
              <w:jc w:val="center"/>
              <w:rPr>
                <w:kern w:val="0"/>
                <w:szCs w:val="21"/>
              </w:rPr>
            </w:pPr>
            <w:r>
              <w:rPr>
                <w:szCs w:val="21"/>
              </w:rPr>
              <w:t>&lt;</w:t>
            </w:r>
            <w:r>
              <w:rPr>
                <w:rFonts w:hint="eastAsia"/>
                <w:szCs w:val="21"/>
              </w:rPr>
              <w:t>0.67</w:t>
            </w:r>
          </w:p>
        </w:tc>
      </w:tr>
    </w:tbl>
    <w:p>
      <w:pPr>
        <w:spacing w:line="480" w:lineRule="exact"/>
        <w:ind w:firstLine="482" w:firstLineChars="200"/>
        <w:jc w:val="left"/>
        <w:rPr>
          <w:b/>
          <w:bCs/>
          <w:kern w:val="0"/>
          <w:sz w:val="24"/>
        </w:rPr>
      </w:pPr>
      <w:r>
        <w:rPr>
          <w:rFonts w:hint="eastAsia"/>
          <w:b/>
          <w:bCs/>
          <w:kern w:val="0"/>
          <w:sz w:val="24"/>
        </w:rPr>
        <w:t>3</w:t>
      </w:r>
      <w:r>
        <w:rPr>
          <w:b/>
          <w:bCs/>
          <w:kern w:val="0"/>
          <w:sz w:val="24"/>
        </w:rPr>
        <w:t>、地下水污染防治措施</w:t>
      </w:r>
    </w:p>
    <w:p>
      <w:pPr>
        <w:spacing w:line="480" w:lineRule="exact"/>
        <w:ind w:firstLine="480" w:firstLineChars="200"/>
        <w:jc w:val="left"/>
        <w:rPr>
          <w:sz w:val="24"/>
        </w:rPr>
      </w:pPr>
      <w:r>
        <w:rPr>
          <w:sz w:val="24"/>
        </w:rPr>
        <w:t>本项目地下水污染防治措施按照“源头控制、末端防治、污染监控、应急响应”相结合的原则，从污染物的产生、入渗、扩散、应急响应进行控制。</w:t>
      </w:r>
    </w:p>
    <w:p>
      <w:pPr>
        <w:widowControl/>
        <w:spacing w:line="480" w:lineRule="exact"/>
        <w:ind w:firstLine="482" w:firstLineChars="200"/>
        <w:jc w:val="left"/>
        <w:rPr>
          <w:b/>
          <w:bCs/>
          <w:sz w:val="24"/>
        </w:rPr>
      </w:pPr>
      <w:r>
        <w:rPr>
          <w:b/>
          <w:bCs/>
          <w:sz w:val="24"/>
        </w:rPr>
        <w:t>（1）源头控制</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加强进场废物的管理，除环卫部门收集、转运的生活垃圾外，其他废物进场必须满足《生活垃圾填埋场污染控制标准》(GB16889-2008)第6条中“填埋废物的入场要求”的相关规定</w:t>
      </w:r>
      <w:r>
        <w:rPr>
          <w:sz w:val="24"/>
        </w:rPr>
        <w:t>。</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运行过程填埋作业应分区、分单元进行，不运行作业面应及时覆盖，不得同时进行多作业面填埋作业或者不分区全场敞开式作业，中间覆盖应形成一定的坡度，每天填埋作业结束后，应对作业面进行覆盖，雨季等特殊气象条件下应加强对作业面的覆盖，填埋作业应采取雨污分流措施，场后堆体表面应按要求敷设封场排水沟，尽量减少渗滤液的产生和下渗。</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加强渗滤液输送管线及相应阀门、管件等导流系统部件的巡视检查，避免渗滤液输送管道因腐蚀等发生破裂和跑、冒、滴、漏</w:t>
      </w:r>
      <w:r>
        <w:rPr>
          <w:sz w:val="24"/>
        </w:rPr>
        <w:t>。</w:t>
      </w:r>
    </w:p>
    <w:p>
      <w:pPr>
        <w:widowControl/>
        <w:spacing w:line="480" w:lineRule="exact"/>
        <w:ind w:firstLine="482" w:firstLineChars="200"/>
        <w:jc w:val="left"/>
        <w:rPr>
          <w:b/>
          <w:bCs/>
          <w:sz w:val="24"/>
        </w:rPr>
      </w:pPr>
      <w:r>
        <w:rPr>
          <w:b/>
          <w:bCs/>
          <w:sz w:val="24"/>
        </w:rPr>
        <w:t>（</w:t>
      </w:r>
      <w:r>
        <w:rPr>
          <w:rFonts w:hint="eastAsia"/>
          <w:b/>
          <w:bCs/>
          <w:sz w:val="24"/>
        </w:rPr>
        <w:t>2</w:t>
      </w:r>
      <w:r>
        <w:rPr>
          <w:b/>
          <w:bCs/>
          <w:sz w:val="24"/>
        </w:rPr>
        <w:t>）</w:t>
      </w:r>
      <w:r>
        <w:rPr>
          <w:rFonts w:hint="eastAsia"/>
          <w:b/>
          <w:bCs/>
          <w:sz w:val="24"/>
        </w:rPr>
        <w:t>场地防渗和渗滤液收集处理</w:t>
      </w:r>
    </w:p>
    <w:bookmarkEnd w:id="129"/>
    <w:bookmarkEnd w:id="130"/>
    <w:p>
      <w:pPr>
        <w:autoSpaceDE w:val="0"/>
        <w:autoSpaceDN w:val="0"/>
        <w:adjustRightInd w:val="0"/>
        <w:spacing w:line="480" w:lineRule="exact"/>
        <w:ind w:firstLine="480" w:firstLineChars="200"/>
        <w:jc w:val="left"/>
        <w:rPr>
          <w:sz w:val="24"/>
          <w:szCs w:val="28"/>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库区防渗：</w:t>
      </w:r>
      <w:r>
        <w:rPr>
          <w:sz w:val="24"/>
        </w:rPr>
        <w:t>包括场底防渗和边坡防渗</w:t>
      </w:r>
      <w:r>
        <w:rPr>
          <w:rFonts w:hint="eastAsia"/>
          <w:sz w:val="24"/>
        </w:rPr>
        <w:t>，其中场底防渗结构由下至上依次为300mm厚压实粘土+5000g/m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无纺土工布；边坡防渗结构由下至上依次为300mm厚压实粘土+5000g/m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无纺土工布+300mm厚袋装土缓冲保护层</w:t>
      </w:r>
      <w:r>
        <w:rPr>
          <w:sz w:val="24"/>
          <w:szCs w:val="28"/>
        </w:rPr>
        <w:t>。</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渗滤液调节池</w:t>
      </w:r>
      <w:r>
        <w:rPr>
          <w:rFonts w:hint="eastAsia"/>
          <w:sz w:val="24"/>
        </w:rPr>
        <w:t>及提升井</w:t>
      </w:r>
      <w:r>
        <w:rPr>
          <w:sz w:val="24"/>
        </w:rPr>
        <w:t>防渗</w:t>
      </w:r>
      <w:r>
        <w:rPr>
          <w:rFonts w:hint="eastAsia"/>
          <w:sz w:val="24"/>
        </w:rPr>
        <w:t>：调节池和提升井均为埋地钢混结构。</w:t>
      </w:r>
    </w:p>
    <w:p>
      <w:pPr>
        <w:spacing w:line="480" w:lineRule="exact"/>
        <w:ind w:firstLine="480" w:firstLineChars="200"/>
        <w:jc w:val="left"/>
        <w:rPr>
          <w:b/>
          <w:bCs/>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终场覆盖</w:t>
      </w:r>
      <w:r>
        <w:rPr>
          <w:rFonts w:hint="eastAsia"/>
          <w:sz w:val="24"/>
        </w:rPr>
        <w:t>：场地终场覆盖层由上至下依次为：100cm厚表层土层+排水层+防渗层（2.0mm厚HDPE复合衬层）+膜下保护层（30cm厚粘土层）+排气层（20～40mm河卵石）。</w:t>
      </w:r>
      <w:r>
        <w:rPr>
          <w:rFonts w:hint="eastAsia"/>
          <w:sz w:val="24"/>
        </w:rPr>
        <w:br w:type="textWrapping"/>
      </w:r>
      <w:r>
        <w:rPr>
          <w:rFonts w:hint="eastAsia"/>
          <w:sz w:val="24"/>
        </w:rPr>
        <w:t xml:space="preserve">    </w:t>
      </w: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渗滤液收集处理：</w:t>
      </w:r>
    </w:p>
    <w:p>
      <w:pPr>
        <w:spacing w:line="480" w:lineRule="exact"/>
        <w:ind w:firstLine="482" w:firstLineChars="200"/>
        <w:jc w:val="left"/>
        <w:rPr>
          <w:sz w:val="24"/>
        </w:rPr>
      </w:pPr>
      <w:r>
        <w:rPr>
          <w:rFonts w:hint="eastAsia"/>
          <w:b/>
          <w:bCs/>
          <w:sz w:val="24"/>
        </w:rPr>
        <w:t>渗滤液收集导排</w:t>
      </w:r>
      <w:r>
        <w:rPr>
          <w:rFonts w:hint="eastAsia"/>
          <w:sz w:val="24"/>
        </w:rPr>
        <w:t>：库区场底防渗层上方设水平导流盲沟和导流层。导流盲沟包括主盲沟和支盲沟，主盲沟1条，长约200m，设于库区中央，南北走向，坡向北侧，渗滤液提升井，穿越围合坝底部后接坝前渗滤液提升井，断面尺寸为倒梯形，上底宽3m，下底宽1m，深0.5m，沟内铺设300mmHDPE穿孔花管；支盲沟呈树枝状横向分布于主盲沟两侧并坡向主盲沟，多条，长度共约730m，断面尺寸为倒梯形，上底宽2.5m，下底宽1m，深0.5m，沟内铺设200mmHDPE穿孔花管，上述主盲沟和支盲沟内四周均敷设200g/m</w:t>
      </w:r>
      <w:r>
        <w:rPr>
          <w:rFonts w:hint="eastAsia"/>
          <w:sz w:val="24"/>
          <w:vertAlign w:val="superscript"/>
        </w:rPr>
        <w:t>2</w:t>
      </w:r>
      <w:r>
        <w:rPr>
          <w:rFonts w:hint="eastAsia"/>
          <w:sz w:val="24"/>
        </w:rPr>
        <w:t>土工覆盖膜，沟内HDPE穿孔管外均填充直径50-100mm碎石作为过滤层，填充碎石粒径由上至下逐渐加大。</w:t>
      </w:r>
      <w:r>
        <w:rPr>
          <w:sz w:val="24"/>
        </w:rPr>
        <w:t>盲沟上方设</w:t>
      </w:r>
      <w:r>
        <w:rPr>
          <w:rFonts w:hint="eastAsia"/>
          <w:sz w:val="24"/>
        </w:rPr>
        <w:t>有</w:t>
      </w:r>
      <w:r>
        <w:rPr>
          <w:sz w:val="24"/>
        </w:rPr>
        <w:t>导流层，导流层厚度约400mm</w:t>
      </w:r>
      <w:r>
        <w:rPr>
          <w:rFonts w:hint="eastAsia"/>
          <w:sz w:val="24"/>
        </w:rPr>
        <w:t>，结构</w:t>
      </w:r>
      <w:r>
        <w:rPr>
          <w:sz w:val="24"/>
        </w:rPr>
        <w:t>从下至上</w:t>
      </w:r>
      <w:r>
        <w:rPr>
          <w:rFonts w:hint="eastAsia"/>
          <w:sz w:val="24"/>
        </w:rPr>
        <w:t>依次</w:t>
      </w:r>
      <w:r>
        <w:rPr>
          <w:sz w:val="24"/>
        </w:rPr>
        <w:t>为100mm厚粗砂+300mm厚碎石。</w:t>
      </w:r>
    </w:p>
    <w:p>
      <w:pPr>
        <w:pStyle w:val="2"/>
        <w:spacing w:line="480" w:lineRule="exact"/>
        <w:ind w:firstLine="480" w:firstLineChars="200"/>
      </w:pPr>
      <w:r>
        <w:t>另外，除上述水平收集外，场内导气石笼井还兼做渗滤液的垂直收集。</w:t>
      </w:r>
    </w:p>
    <w:p>
      <w:pPr>
        <w:spacing w:line="480" w:lineRule="exact"/>
        <w:ind w:firstLine="482" w:firstLineChars="200"/>
        <w:jc w:val="left"/>
        <w:rPr>
          <w:sz w:val="24"/>
        </w:rPr>
      </w:pPr>
      <w:r>
        <w:rPr>
          <w:rFonts w:hint="eastAsia"/>
          <w:b/>
          <w:bCs/>
          <w:sz w:val="24"/>
        </w:rPr>
        <w:t>渗滤液处理：</w:t>
      </w:r>
      <w:r>
        <w:rPr>
          <w:rFonts w:hint="eastAsia"/>
          <w:sz w:val="24"/>
        </w:rPr>
        <w:t>库区垃圾渗滤液经盲沟导排后自流进入北侧坝前提升井，先被泵入渗滤液调节池，然后进入渗滤液处理车间进行处理，另外，场内管理区少量职工生活废水和垃圾运输车辆洗车废水经收集后均进入渗滤液调节池随垃圾渗滤液一起处理。本项目渗滤液平均产生量约20.24m</w:t>
      </w:r>
      <w:r>
        <w:rPr>
          <w:rFonts w:hint="eastAsia"/>
          <w:sz w:val="24"/>
          <w:vertAlign w:val="superscript"/>
        </w:rPr>
        <w:t>3</w:t>
      </w:r>
      <w:r>
        <w:rPr>
          <w:rFonts w:hint="eastAsia"/>
          <w:sz w:val="24"/>
        </w:rPr>
        <w:t>/d，生活废水排放量约0.88m</w:t>
      </w:r>
      <w:r>
        <w:rPr>
          <w:rFonts w:hint="eastAsia"/>
          <w:sz w:val="24"/>
          <w:vertAlign w:val="superscript"/>
        </w:rPr>
        <w:t>3</w:t>
      </w:r>
      <w:r>
        <w:rPr>
          <w:rFonts w:hint="eastAsia"/>
          <w:sz w:val="24"/>
        </w:rPr>
        <w:t>/d，洗车废水排放量约0.68m</w:t>
      </w:r>
      <w:r>
        <w:rPr>
          <w:rFonts w:hint="eastAsia"/>
          <w:sz w:val="24"/>
          <w:vertAlign w:val="superscript"/>
        </w:rPr>
        <w:t>3</w:t>
      </w:r>
      <w:r>
        <w:rPr>
          <w:rFonts w:hint="eastAsia"/>
          <w:sz w:val="24"/>
        </w:rPr>
        <w:t>/d，项目渗滤液处理车间设计处理能力40m</w:t>
      </w:r>
      <w:r>
        <w:rPr>
          <w:rFonts w:hint="eastAsia"/>
          <w:sz w:val="24"/>
          <w:vertAlign w:val="superscript"/>
        </w:rPr>
        <w:t>3</w:t>
      </w:r>
      <w:r>
        <w:rPr>
          <w:rFonts w:hint="eastAsia"/>
          <w:sz w:val="24"/>
        </w:rPr>
        <w:t>/d，</w:t>
      </w:r>
      <w:r>
        <w:rPr>
          <w:rFonts w:hint="eastAsia"/>
          <w:sz w:val="24"/>
          <w:lang w:val="zh-CN"/>
        </w:rPr>
        <w:t>采用“预处理+两级DTRO反渗透”的处理工艺，处理过程中产生的反渗透浓水进入浓缩液池，由吸污车定期回喷填埋库区垃圾堆体，处理后的清水进入清水池，水质可以满足《生活垃圾填埋场污染控制标准》(GB16889-2008)和《城市污水再生利用城市杂用水水质》(GB/T18920­2020)中城市绿化、道路清扫的标准要求，全部回用于项目场地、县城城市绿化和道路清扫用水，不外排。</w:t>
      </w:r>
    </w:p>
    <w:p>
      <w:pPr>
        <w:spacing w:line="480" w:lineRule="exact"/>
        <w:ind w:firstLine="482" w:firstLineChars="200"/>
        <w:jc w:val="left"/>
        <w:rPr>
          <w:b/>
          <w:bCs/>
          <w:sz w:val="24"/>
        </w:rPr>
      </w:pPr>
      <w:r>
        <w:rPr>
          <w:b/>
          <w:bCs/>
          <w:sz w:val="24"/>
        </w:rPr>
        <w:t>（</w:t>
      </w:r>
      <w:r>
        <w:rPr>
          <w:rFonts w:hint="eastAsia"/>
          <w:b/>
          <w:bCs/>
          <w:sz w:val="24"/>
        </w:rPr>
        <w:t>3</w:t>
      </w:r>
      <w:r>
        <w:rPr>
          <w:b/>
          <w:bCs/>
          <w:sz w:val="24"/>
        </w:rPr>
        <w:t>）地下水跟踪监测</w:t>
      </w:r>
    </w:p>
    <w:p>
      <w:pPr>
        <w:spacing w:line="480" w:lineRule="exact"/>
        <w:ind w:firstLine="480" w:firstLineChars="200"/>
        <w:rPr>
          <w:rFonts w:ascii="Calibri" w:hAnsi="宋体"/>
          <w:sz w:val="24"/>
        </w:rPr>
      </w:pPr>
      <w:r>
        <w:rPr>
          <w:rFonts w:hint="eastAsia" w:ascii="Calibri" w:hAnsi="宋体"/>
          <w:sz w:val="24"/>
        </w:rPr>
        <w:t>实施地下水跟踪监测可以及时准确掌握项目场址及下游地下水环境质量状况和地下水体中污染物的动态变化，尽早发现地下水是否遭受污染，以便及时采取控制和处理措施，保障居民饮用水安全。</w:t>
      </w:r>
    </w:p>
    <w:p>
      <w:pPr>
        <w:spacing w:line="480" w:lineRule="exact"/>
        <w:ind w:firstLine="480" w:firstLineChars="200"/>
        <w:rPr>
          <w:sz w:val="24"/>
        </w:rPr>
      </w:pPr>
      <w:r>
        <w:rPr>
          <w:rFonts w:hint="eastAsia"/>
          <w:sz w:val="24"/>
        </w:rPr>
        <w:t>根据</w:t>
      </w:r>
      <w:r>
        <w:rPr>
          <w:sz w:val="24"/>
        </w:rPr>
        <w:t>《生活垃圾填埋场污染控制标准》(GB16889-2008)</w:t>
      </w:r>
      <w:r>
        <w:rPr>
          <w:rFonts w:hint="eastAsia"/>
          <w:sz w:val="24"/>
        </w:rPr>
        <w:t>等相关要求</w:t>
      </w:r>
      <w:r>
        <w:rPr>
          <w:sz w:val="24"/>
        </w:rPr>
        <w:t>，项目</w:t>
      </w:r>
      <w:r>
        <w:rPr>
          <w:rFonts w:hint="eastAsia"/>
          <w:sz w:val="24"/>
        </w:rPr>
        <w:t>地下水跟踪</w:t>
      </w:r>
      <w:r>
        <w:rPr>
          <w:sz w:val="24"/>
        </w:rPr>
        <w:t>监测内容</w:t>
      </w:r>
      <w:r>
        <w:rPr>
          <w:rFonts w:hint="eastAsia"/>
          <w:sz w:val="24"/>
        </w:rPr>
        <w:t>如下</w:t>
      </w:r>
      <w:r>
        <w:rPr>
          <w:sz w:val="24"/>
        </w:rPr>
        <w:t>。</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监测点布设：场地东侧即地下水流向上游30~50m处设置1眼本底井，场地南、北侧即垂直地下水流行两侧30~50m处各设置1眼污染扩散观察井，场地西侧即地下水流向下游30m、50m处分别设置1眼污染监视井，共计5眼（其中4眼现状已设，1眼要求补设）。</w:t>
      </w:r>
    </w:p>
    <w:p>
      <w:pPr>
        <w:pStyle w:val="2"/>
        <w:jc w:val="center"/>
        <w:rPr>
          <w:rFonts w:ascii="Times New Roman" w:hAnsi="Times New Roman"/>
          <w:b/>
          <w:color w:val="FF0000"/>
        </w:rPr>
      </w:pPr>
      <w:r>
        <w:rPr>
          <w:rFonts w:hint="eastAsia" w:ascii="Times New Roman" w:hAnsi="Times New Roman" w:cs="Times New Roman"/>
          <w:b/>
          <w:color w:val="FF0000"/>
        </w:rPr>
        <w:drawing>
          <wp:inline distT="0" distB="0" distL="114300" distR="114300">
            <wp:extent cx="5267960" cy="3356610"/>
            <wp:effectExtent l="0" t="0" r="8890" b="15240"/>
            <wp:docPr id="16" name="图片 16" descr="地下水跟踪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地下水跟踪监测"/>
                    <pic:cNvPicPr>
                      <a:picLocks noChangeAspect="1"/>
                    </pic:cNvPicPr>
                  </pic:nvPicPr>
                  <pic:blipFill>
                    <a:blip r:embed="rId92" cstate="print"/>
                    <a:stretch>
                      <a:fillRect/>
                    </a:stretch>
                  </pic:blipFill>
                  <pic:spPr>
                    <a:xfrm>
                      <a:off x="0" y="0"/>
                      <a:ext cx="5267960" cy="3356610"/>
                    </a:xfrm>
                    <a:prstGeom prst="rect">
                      <a:avLst/>
                    </a:prstGeom>
                  </pic:spPr>
                </pic:pic>
              </a:graphicData>
            </a:graphic>
          </wp:inline>
        </w:drawing>
      </w:r>
      <w:r>
        <w:rPr>
          <w:rFonts w:hint="eastAsia" w:ascii="Times New Roman" w:hAnsi="Times New Roman" w:cs="Times New Roman"/>
          <w:b/>
          <w:color w:val="auto"/>
        </w:rPr>
        <w:t>地下水跟踪监测井布置示意图</w:t>
      </w:r>
    </w:p>
    <w:p>
      <w:pPr>
        <w:spacing w:line="50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监测项目</w:t>
      </w:r>
      <w:r>
        <w:rPr>
          <w:rFonts w:hint="eastAsia" w:ascii="Calibri" w:hAnsi="宋体"/>
          <w:sz w:val="24"/>
        </w:rPr>
        <w:t>：</w:t>
      </w:r>
      <w:r>
        <w:rPr>
          <w:sz w:val="24"/>
        </w:rPr>
        <w:t>地下水导则中规定的八大离子和21项基本水质因子</w:t>
      </w:r>
      <w:r>
        <w:rPr>
          <w:rFonts w:hint="eastAsia"/>
          <w:sz w:val="24"/>
        </w:rPr>
        <w:t>，即</w:t>
      </w:r>
      <w:r>
        <w:rPr>
          <w:color w:val="000000"/>
          <w:sz w:val="24"/>
        </w:rPr>
        <w:t>K</w:t>
      </w:r>
      <w:r>
        <w:rPr>
          <w:color w:val="000000"/>
          <w:sz w:val="24"/>
          <w:vertAlign w:val="superscript"/>
        </w:rPr>
        <w:t>＋</w:t>
      </w:r>
      <w:r>
        <w:rPr>
          <w:color w:val="000000"/>
          <w:sz w:val="24"/>
        </w:rPr>
        <w:t>、Na</w:t>
      </w:r>
      <w:r>
        <w:rPr>
          <w:color w:val="000000"/>
          <w:sz w:val="24"/>
          <w:vertAlign w:val="superscript"/>
        </w:rPr>
        <w:t>＋</w:t>
      </w:r>
      <w:r>
        <w:rPr>
          <w:color w:val="000000"/>
          <w:sz w:val="24"/>
        </w:rPr>
        <w:t>、Ca</w:t>
      </w:r>
      <w:r>
        <w:rPr>
          <w:color w:val="000000"/>
          <w:sz w:val="24"/>
          <w:vertAlign w:val="superscript"/>
        </w:rPr>
        <w:t>2＋</w:t>
      </w:r>
      <w:r>
        <w:rPr>
          <w:color w:val="000000"/>
          <w:sz w:val="24"/>
        </w:rPr>
        <w:t>、Mg</w:t>
      </w:r>
      <w:r>
        <w:rPr>
          <w:color w:val="000000"/>
          <w:sz w:val="24"/>
          <w:vertAlign w:val="superscript"/>
        </w:rPr>
        <w:t>2＋</w:t>
      </w:r>
      <w:r>
        <w:rPr>
          <w:color w:val="000000"/>
          <w:sz w:val="24"/>
        </w:rPr>
        <w:t>、CO</w:t>
      </w:r>
      <w:r>
        <w:rPr>
          <w:color w:val="000000"/>
          <w:sz w:val="24"/>
          <w:vertAlign w:val="subscript"/>
        </w:rPr>
        <w:t>3</w:t>
      </w:r>
      <w:r>
        <w:rPr>
          <w:color w:val="000000"/>
          <w:sz w:val="24"/>
          <w:vertAlign w:val="superscript"/>
        </w:rPr>
        <w:t>2－</w:t>
      </w:r>
      <w:r>
        <w:rPr>
          <w:color w:val="000000"/>
          <w:sz w:val="24"/>
        </w:rPr>
        <w:t>、HCO</w:t>
      </w:r>
      <w:r>
        <w:rPr>
          <w:color w:val="000000"/>
          <w:sz w:val="24"/>
          <w:vertAlign w:val="subscript"/>
        </w:rPr>
        <w:t>3</w:t>
      </w:r>
      <w:r>
        <w:rPr>
          <w:color w:val="000000"/>
          <w:sz w:val="24"/>
          <w:vertAlign w:val="superscript"/>
        </w:rPr>
        <w:t>－</w:t>
      </w:r>
      <w:r>
        <w:rPr>
          <w:color w:val="000000"/>
          <w:sz w:val="24"/>
        </w:rPr>
        <w:t>、Cl</w:t>
      </w:r>
      <w:r>
        <w:rPr>
          <w:color w:val="000000"/>
          <w:sz w:val="24"/>
          <w:vertAlign w:val="superscript"/>
        </w:rPr>
        <w:t>－</w:t>
      </w:r>
      <w:r>
        <w:rPr>
          <w:color w:val="000000"/>
          <w:sz w:val="24"/>
        </w:rPr>
        <w:t>、SO</w:t>
      </w:r>
      <w:r>
        <w:rPr>
          <w:color w:val="000000"/>
          <w:sz w:val="24"/>
          <w:vertAlign w:val="subscript"/>
        </w:rPr>
        <w:t>4</w:t>
      </w:r>
      <w:r>
        <w:rPr>
          <w:color w:val="000000"/>
          <w:sz w:val="24"/>
          <w:vertAlign w:val="superscript"/>
        </w:rPr>
        <w:t>2－</w:t>
      </w:r>
      <w:r>
        <w:rPr>
          <w:rFonts w:hint="eastAsia"/>
          <w:sz w:val="24"/>
        </w:rPr>
        <w:t>和PH</w:t>
      </w:r>
      <w:r>
        <w:rPr>
          <w:rFonts w:hint="eastAsia" w:cstheme="minorEastAsia"/>
          <w:color w:val="000000"/>
          <w:sz w:val="24"/>
        </w:rPr>
        <w:t>值、氨氮、硝酸盐、亚硝酸盐、挥发性酚类、氰化物、砷、汞、铬（六价）、总硬度、铅、氟、镉、铁、锰、溶解性总固体、高锰酸盐指数、硫酸盐、氯化物、总大肠菌群、细菌总数等</w:t>
      </w:r>
      <w:r>
        <w:rPr>
          <w:sz w:val="24"/>
        </w:rPr>
        <w:t>。</w:t>
      </w:r>
    </w:p>
    <w:p>
      <w:pPr>
        <w:spacing w:line="50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监测时间和频次：</w:t>
      </w:r>
    </w:p>
    <w:p>
      <w:pPr>
        <w:spacing w:line="500" w:lineRule="exact"/>
        <w:ind w:firstLine="480" w:firstLineChars="200"/>
        <w:rPr>
          <w:sz w:val="24"/>
        </w:rPr>
      </w:pPr>
      <w:r>
        <w:rPr>
          <w:sz w:val="24"/>
        </w:rPr>
        <w:t>在生活垃圾填埋场投入使用之时即对地下水进行持续监测</w:t>
      </w:r>
      <w:r>
        <w:rPr>
          <w:rFonts w:hint="eastAsia"/>
          <w:sz w:val="24"/>
        </w:rPr>
        <w:t>，</w:t>
      </w:r>
      <w:r>
        <w:rPr>
          <w:sz w:val="24"/>
        </w:rPr>
        <w:t>直至封场后填埋场产生的渗滤液中水污染物质量浓度连续两年</w:t>
      </w:r>
      <w:r>
        <w:rPr>
          <w:rFonts w:hint="eastAsia"/>
          <w:sz w:val="24"/>
        </w:rPr>
        <w:t>低于</w:t>
      </w:r>
      <w:r>
        <w:rPr>
          <w:sz w:val="24"/>
        </w:rPr>
        <w:t>GB16889-2008表</w:t>
      </w:r>
      <w:r>
        <w:rPr>
          <w:rFonts w:hint="eastAsia"/>
          <w:sz w:val="24"/>
        </w:rPr>
        <w:t>2中的</w:t>
      </w:r>
      <w:r>
        <w:rPr>
          <w:sz w:val="24"/>
        </w:rPr>
        <w:t>限值时为止</w:t>
      </w:r>
      <w:r>
        <w:rPr>
          <w:rFonts w:hint="eastAsia"/>
          <w:sz w:val="24"/>
        </w:rPr>
        <w:t>，期间</w:t>
      </w:r>
      <w:r>
        <w:rPr>
          <w:sz w:val="24"/>
        </w:rPr>
        <w:t>污染扩散井和污染监视井的水质监测频率不低于1次/2周，本底井的水质监测频率不低于1次/每月。</w:t>
      </w:r>
    </w:p>
    <w:p>
      <w:pPr>
        <w:spacing w:line="500" w:lineRule="exact"/>
        <w:ind w:firstLine="480" w:firstLineChars="200"/>
        <w:rPr>
          <w:rFonts w:ascii="Calibri" w:hAnsi="宋体"/>
          <w:sz w:val="24"/>
        </w:rPr>
      </w:pPr>
      <w:r>
        <w:rPr>
          <w:rFonts w:hint="eastAsia" w:ascii="Calibri" w:hAnsi="宋体"/>
          <w:sz w:val="24"/>
        </w:rPr>
        <w:t>本项目应严格落实地下水跟踪监测工作，建立完善的监测制度，设置专职人员进行水环境监测工作，加强地下水水质的长期动态监测，做好</w:t>
      </w:r>
      <w:r>
        <w:rPr>
          <w:bCs/>
          <w:sz w:val="24"/>
        </w:rPr>
        <w:t>监测数据</w:t>
      </w:r>
      <w:r>
        <w:rPr>
          <w:rFonts w:hint="eastAsia"/>
          <w:bCs/>
          <w:sz w:val="24"/>
        </w:rPr>
        <w:t>的反馈，做到</w:t>
      </w:r>
      <w:r>
        <w:rPr>
          <w:rFonts w:hint="eastAsia" w:ascii="Calibri" w:hAnsi="宋体"/>
          <w:sz w:val="24"/>
        </w:rPr>
        <w:t>及时发现污染、及时控制。</w:t>
      </w:r>
    </w:p>
    <w:p>
      <w:pPr>
        <w:spacing w:line="500" w:lineRule="exact"/>
        <w:ind w:firstLine="482" w:firstLineChars="200"/>
        <w:jc w:val="left"/>
        <w:rPr>
          <w:b/>
          <w:bCs/>
          <w:sz w:val="24"/>
        </w:rPr>
      </w:pPr>
      <w:r>
        <w:rPr>
          <w:b/>
          <w:bCs/>
          <w:sz w:val="24"/>
        </w:rPr>
        <w:t>（</w:t>
      </w:r>
      <w:r>
        <w:rPr>
          <w:rFonts w:hint="eastAsia"/>
          <w:b/>
          <w:bCs/>
          <w:sz w:val="24"/>
        </w:rPr>
        <w:t>4</w:t>
      </w:r>
      <w:r>
        <w:rPr>
          <w:b/>
          <w:bCs/>
          <w:sz w:val="24"/>
        </w:rPr>
        <w:t>）应急响应</w:t>
      </w:r>
    </w:p>
    <w:p>
      <w:pPr>
        <w:widowControl/>
        <w:spacing w:line="500" w:lineRule="exact"/>
        <w:ind w:firstLine="480" w:firstLineChars="200"/>
        <w:jc w:val="left"/>
        <w:rPr>
          <w:bCs/>
          <w:sz w:val="24"/>
        </w:rPr>
      </w:pPr>
      <w:bookmarkStart w:id="151" w:name="_Toc323199846"/>
      <w:r>
        <w:rPr>
          <w:rFonts w:hint="eastAsia"/>
          <w:bCs/>
          <w:sz w:val="24"/>
        </w:rPr>
        <w:t>一旦发现发现地下水监测数据出现异常或渗滤液泄露等事故时，应立即停止填埋场运行，第一时间启动应急预案，开展地下水污染应急治理工作。另外，评价要求</w:t>
      </w:r>
      <w:bookmarkEnd w:id="151"/>
      <w:r>
        <w:rPr>
          <w:rFonts w:hint="eastAsia"/>
          <w:sz w:val="24"/>
        </w:rPr>
        <w:t>本项目渗滤液调节池容积规模应不小于1800m</w:t>
      </w:r>
      <w:r>
        <w:rPr>
          <w:rFonts w:hint="eastAsia"/>
          <w:sz w:val="24"/>
          <w:vertAlign w:val="superscript"/>
        </w:rPr>
        <w:t>3</w:t>
      </w:r>
      <w:r>
        <w:rPr>
          <w:rFonts w:hint="eastAsia"/>
          <w:sz w:val="24"/>
        </w:rPr>
        <w:t>，渗滤液调节池可以作为渗滤液处理站事故或检修期间等渗滤液的临时集蓄池。</w:t>
      </w:r>
    </w:p>
    <w:p>
      <w:pPr>
        <w:widowControl/>
        <w:spacing w:line="500" w:lineRule="exact"/>
        <w:ind w:firstLine="480" w:firstLineChars="200"/>
        <w:jc w:val="left"/>
        <w:rPr>
          <w:bCs/>
          <w:sz w:val="24"/>
        </w:rPr>
      </w:pP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bCs/>
          <w:sz w:val="24"/>
        </w:rPr>
        <w:t>风险应急预案</w:t>
      </w:r>
    </w:p>
    <w:p>
      <w:pPr>
        <w:widowControl/>
        <w:spacing w:line="500" w:lineRule="exact"/>
        <w:ind w:firstLine="480" w:firstLineChars="200"/>
        <w:jc w:val="left"/>
        <w:rPr>
          <w:bCs/>
          <w:sz w:val="24"/>
        </w:rPr>
      </w:pPr>
      <w:r>
        <w:rPr>
          <w:bCs/>
          <w:sz w:val="24"/>
        </w:rPr>
        <w:t>制定事故状况应急预案的目的是为了在发生风险事故时，能以最快的速度发挥最大的效能，有序地实施救援，尽快控制事态的发展，降低事故对</w:t>
      </w:r>
      <w:r>
        <w:rPr>
          <w:rFonts w:hint="eastAsia"/>
          <w:bCs/>
          <w:sz w:val="24"/>
        </w:rPr>
        <w:t>饮用价值</w:t>
      </w:r>
      <w:r>
        <w:rPr>
          <w:bCs/>
          <w:sz w:val="24"/>
        </w:rPr>
        <w:t>含水层的污染。</w:t>
      </w:r>
    </w:p>
    <w:p>
      <w:pPr>
        <w:widowControl/>
        <w:spacing w:line="500" w:lineRule="exact"/>
        <w:ind w:firstLine="480" w:firstLineChars="200"/>
        <w:jc w:val="left"/>
        <w:rPr>
          <w:bCs/>
          <w:sz w:val="24"/>
        </w:rPr>
      </w:pPr>
      <w:r>
        <w:rPr>
          <w:bCs/>
          <w:sz w:val="24"/>
        </w:rPr>
        <w:fldChar w:fldCharType="begin"/>
      </w:r>
      <w:r>
        <w:rPr>
          <w:bCs/>
          <w:sz w:val="24"/>
        </w:rPr>
        <w:instrText xml:space="preserve"> </w:instrText>
      </w:r>
      <w:r>
        <w:rPr>
          <w:rFonts w:hint="eastAsia"/>
          <w:bCs/>
          <w:sz w:val="24"/>
        </w:rPr>
        <w:instrText xml:space="preserve">= 2 \* GB3</w:instrText>
      </w:r>
      <w:r>
        <w:rPr>
          <w:bCs/>
          <w:sz w:val="24"/>
        </w:rPr>
        <w:instrText xml:space="preserve"> </w:instrText>
      </w:r>
      <w:r>
        <w:rPr>
          <w:bCs/>
          <w:sz w:val="24"/>
        </w:rPr>
        <w:fldChar w:fldCharType="separate"/>
      </w:r>
      <w:r>
        <w:rPr>
          <w:rFonts w:hint="eastAsia"/>
          <w:bCs/>
          <w:sz w:val="24"/>
        </w:rPr>
        <w:t>②</w:t>
      </w:r>
      <w:r>
        <w:rPr>
          <w:bCs/>
          <w:sz w:val="24"/>
        </w:rPr>
        <w:fldChar w:fldCharType="end"/>
      </w:r>
      <w:r>
        <w:rPr>
          <w:bCs/>
          <w:sz w:val="24"/>
        </w:rPr>
        <w:t>应急管理</w:t>
      </w:r>
    </w:p>
    <w:p>
      <w:pPr>
        <w:widowControl/>
        <w:spacing w:line="500" w:lineRule="exact"/>
        <w:ind w:firstLine="480" w:firstLineChars="200"/>
        <w:jc w:val="left"/>
        <w:rPr>
          <w:bCs/>
          <w:sz w:val="24"/>
        </w:rPr>
      </w:pPr>
      <w:r>
        <w:rPr>
          <w:bCs/>
          <w:sz w:val="24"/>
        </w:rPr>
        <w:t>在突发地下水污染事故情况下，建议采取以下应急管理措施：一旦发现跟踪监测井水质受到污染，应立即启动应急预案</w:t>
      </w:r>
      <w:r>
        <w:rPr>
          <w:rFonts w:hint="eastAsia"/>
          <w:bCs/>
          <w:sz w:val="24"/>
        </w:rPr>
        <w:t>；</w:t>
      </w:r>
      <w:r>
        <w:rPr>
          <w:bCs/>
          <w:sz w:val="24"/>
        </w:rPr>
        <w:t>查明并切断污染源</w:t>
      </w:r>
      <w:r>
        <w:rPr>
          <w:rFonts w:hint="eastAsia"/>
          <w:bCs/>
          <w:sz w:val="24"/>
        </w:rPr>
        <w:t>；</w:t>
      </w:r>
      <w:r>
        <w:rPr>
          <w:bCs/>
          <w:sz w:val="24"/>
        </w:rPr>
        <w:t>加密地下水污染监控井的监测频率，并实时进行化验分析</w:t>
      </w:r>
      <w:r>
        <w:rPr>
          <w:rFonts w:hint="eastAsia"/>
          <w:bCs/>
          <w:sz w:val="24"/>
        </w:rPr>
        <w:t>；</w:t>
      </w:r>
      <w:r>
        <w:rPr>
          <w:bCs/>
          <w:sz w:val="24"/>
        </w:rPr>
        <w:t>一旦发现监控井地下水受到污染，立即启动抽水设施</w:t>
      </w:r>
      <w:r>
        <w:rPr>
          <w:rFonts w:hint="eastAsia"/>
          <w:bCs/>
          <w:sz w:val="24"/>
        </w:rPr>
        <w:t>；</w:t>
      </w:r>
      <w:r>
        <w:rPr>
          <w:bCs/>
          <w:sz w:val="24"/>
        </w:rPr>
        <w:t>探明地下水污染深度、范围和污染程度</w:t>
      </w:r>
      <w:r>
        <w:rPr>
          <w:rFonts w:hint="eastAsia"/>
          <w:bCs/>
          <w:sz w:val="24"/>
        </w:rPr>
        <w:t>；</w:t>
      </w:r>
      <w:r>
        <w:rPr>
          <w:bCs/>
          <w:sz w:val="24"/>
        </w:rPr>
        <w:t>依据探明的地下水污染情况和污染场地的含水层埋藏分布特征，结合拟采用的地下水污染治理技术方法，制定地下水污染治理实施方案</w:t>
      </w:r>
      <w:r>
        <w:rPr>
          <w:rFonts w:hint="eastAsia"/>
          <w:bCs/>
          <w:sz w:val="24"/>
        </w:rPr>
        <w:t>；</w:t>
      </w:r>
      <w:r>
        <w:rPr>
          <w:bCs/>
          <w:sz w:val="24"/>
        </w:rPr>
        <w:t>依据实施方案进行施工，抽取被污染的地下水体，并依据各井孔出水情况进行调整</w:t>
      </w:r>
      <w:r>
        <w:rPr>
          <w:rFonts w:hint="eastAsia"/>
          <w:bCs/>
          <w:sz w:val="24"/>
        </w:rPr>
        <w:t>；</w:t>
      </w:r>
      <w:r>
        <w:rPr>
          <w:bCs/>
          <w:sz w:val="24"/>
        </w:rPr>
        <w:t>将抽取的地下水进行集中收集处理，并送实验室进行化验分析</w:t>
      </w:r>
      <w:r>
        <w:rPr>
          <w:rFonts w:hint="eastAsia"/>
          <w:bCs/>
          <w:sz w:val="24"/>
        </w:rPr>
        <w:t>；</w:t>
      </w:r>
      <w:r>
        <w:rPr>
          <w:bCs/>
          <w:sz w:val="24"/>
        </w:rPr>
        <w:t>当地下水中的特征污染物浓度满足地下水功能区划的标准后，逐步停止井点抽水</w:t>
      </w:r>
      <w:r>
        <w:rPr>
          <w:rFonts w:hint="eastAsia"/>
          <w:bCs/>
          <w:sz w:val="24"/>
        </w:rPr>
        <w:t>等。</w:t>
      </w:r>
    </w:p>
    <w:p>
      <w:pPr>
        <w:widowControl/>
        <w:spacing w:line="500" w:lineRule="exact"/>
        <w:ind w:firstLine="480" w:firstLineChars="200"/>
        <w:jc w:val="left"/>
        <w:rPr>
          <w:bCs/>
          <w:sz w:val="24"/>
        </w:rPr>
      </w:pPr>
      <w:r>
        <w:rPr>
          <w:bCs/>
          <w:sz w:val="24"/>
        </w:rPr>
        <w:fldChar w:fldCharType="begin"/>
      </w:r>
      <w:r>
        <w:rPr>
          <w:bCs/>
          <w:sz w:val="24"/>
        </w:rPr>
        <w:instrText xml:space="preserve"> </w:instrText>
      </w:r>
      <w:r>
        <w:rPr>
          <w:rFonts w:hint="eastAsia"/>
          <w:bCs/>
          <w:sz w:val="24"/>
        </w:rPr>
        <w:instrText xml:space="preserve">= 3 \* GB3</w:instrText>
      </w:r>
      <w:r>
        <w:rPr>
          <w:bCs/>
          <w:sz w:val="24"/>
        </w:rPr>
        <w:instrText xml:space="preserve"> </w:instrText>
      </w:r>
      <w:r>
        <w:rPr>
          <w:bCs/>
          <w:sz w:val="24"/>
        </w:rPr>
        <w:fldChar w:fldCharType="separate"/>
      </w:r>
      <w:r>
        <w:rPr>
          <w:rFonts w:hint="eastAsia"/>
          <w:bCs/>
          <w:sz w:val="24"/>
        </w:rPr>
        <w:t>③</w:t>
      </w:r>
      <w:r>
        <w:rPr>
          <w:bCs/>
          <w:sz w:val="24"/>
        </w:rPr>
        <w:fldChar w:fldCharType="end"/>
      </w:r>
      <w:r>
        <w:rPr>
          <w:bCs/>
          <w:sz w:val="24"/>
        </w:rPr>
        <w:t>应急保障</w:t>
      </w:r>
    </w:p>
    <w:p>
      <w:pPr>
        <w:widowControl/>
        <w:spacing w:line="500" w:lineRule="exact"/>
        <w:ind w:firstLine="480" w:firstLineChars="200"/>
        <w:jc w:val="left"/>
        <w:rPr>
          <w:bCs/>
          <w:sz w:val="24"/>
        </w:rPr>
      </w:pPr>
      <w:r>
        <w:rPr>
          <w:bCs/>
          <w:sz w:val="24"/>
        </w:rPr>
        <w:t>人力资源保障：明确各类应急响应的人力资源，包括专业应急队伍、兼职应急队伍的组织与保障方案。</w:t>
      </w:r>
    </w:p>
    <w:p>
      <w:pPr>
        <w:widowControl/>
        <w:spacing w:line="500" w:lineRule="exact"/>
        <w:ind w:firstLine="480" w:firstLineChars="200"/>
        <w:jc w:val="left"/>
        <w:rPr>
          <w:bCs/>
          <w:sz w:val="24"/>
        </w:rPr>
      </w:pPr>
      <w:r>
        <w:rPr>
          <w:bCs/>
          <w:sz w:val="24"/>
        </w:rPr>
        <w:t>财力保障：明确应急专项经费来源、使用范围、数量和监督管理措施，保障应急状态时应急经费的及时到位。</w:t>
      </w:r>
    </w:p>
    <w:p>
      <w:pPr>
        <w:widowControl/>
        <w:spacing w:line="500" w:lineRule="exact"/>
        <w:ind w:firstLine="480" w:firstLineChars="200"/>
        <w:jc w:val="left"/>
        <w:rPr>
          <w:sz w:val="24"/>
        </w:rPr>
      </w:pPr>
      <w:r>
        <w:rPr>
          <w:bCs/>
          <w:sz w:val="24"/>
        </w:rPr>
        <w:t>物资保障：明确应急救援需要使用的应急物资、应急监测仪器、防护器材、装备的类型、数量、性能、存放位置、管理责任人等内容。</w:t>
      </w:r>
    </w:p>
    <w:p>
      <w:pPr>
        <w:pStyle w:val="2"/>
        <w:rPr>
          <w:rFonts w:ascii="Times New Roman" w:hAnsi="Times New Roman"/>
        </w:rPr>
      </w:pPr>
    </w:p>
    <w:p>
      <w:pPr>
        <w:snapToGrid w:val="0"/>
        <w:spacing w:line="360" w:lineRule="auto"/>
        <w:jc w:val="center"/>
      </w:pPr>
      <w:r>
        <w:rPr>
          <w:kern w:val="0"/>
        </w:rPr>
        <w:drawing>
          <wp:inline distT="0" distB="0" distL="114300" distR="114300">
            <wp:extent cx="3571240" cy="4629785"/>
            <wp:effectExtent l="0" t="0" r="10160" b="18415"/>
            <wp:docPr id="76" name="图片 3" descr="0QCW8OM42GMGF(}IPK2D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descr="0QCW8OM42GMGF(}IPK2DW17"/>
                    <pic:cNvPicPr>
                      <a:picLocks noChangeAspect="1"/>
                    </pic:cNvPicPr>
                  </pic:nvPicPr>
                  <pic:blipFill>
                    <a:blip r:embed="rId93" cstate="print"/>
                    <a:stretch>
                      <a:fillRect/>
                    </a:stretch>
                  </pic:blipFill>
                  <pic:spPr>
                    <a:xfrm>
                      <a:off x="0" y="0"/>
                      <a:ext cx="3571240" cy="4629785"/>
                    </a:xfrm>
                    <a:prstGeom prst="rect">
                      <a:avLst/>
                    </a:prstGeom>
                    <a:noFill/>
                    <a:ln w="9525">
                      <a:noFill/>
                    </a:ln>
                  </pic:spPr>
                </pic:pic>
              </a:graphicData>
            </a:graphic>
          </wp:inline>
        </w:drawing>
      </w:r>
    </w:p>
    <w:p>
      <w:pPr>
        <w:snapToGrid w:val="0"/>
        <w:spacing w:line="360" w:lineRule="auto"/>
        <w:jc w:val="center"/>
        <w:rPr>
          <w:b/>
          <w:spacing w:val="4"/>
          <w:kern w:val="0"/>
          <w:sz w:val="24"/>
        </w:rPr>
      </w:pPr>
      <w:r>
        <w:rPr>
          <w:b/>
          <w:spacing w:val="4"/>
          <w:kern w:val="0"/>
          <w:sz w:val="24"/>
        </w:rPr>
        <w:t>地下水污染应急治理程序</w:t>
      </w:r>
      <w:r>
        <w:rPr>
          <w:rFonts w:hint="eastAsia"/>
          <w:b/>
          <w:spacing w:val="4"/>
          <w:kern w:val="0"/>
          <w:sz w:val="24"/>
        </w:rPr>
        <w:t>框架</w:t>
      </w:r>
      <w:r>
        <w:rPr>
          <w:b/>
          <w:spacing w:val="4"/>
          <w:kern w:val="0"/>
          <w:sz w:val="24"/>
        </w:rPr>
        <w:t>图</w:t>
      </w:r>
    </w:p>
    <w:p>
      <w:pPr>
        <w:pStyle w:val="6"/>
        <w:spacing w:line="500" w:lineRule="exact"/>
      </w:pPr>
      <w:bookmarkStart w:id="152" w:name="_Toc479255198"/>
      <w:r>
        <w:t>5.</w:t>
      </w:r>
      <w:r>
        <w:rPr>
          <w:rFonts w:hint="eastAsia"/>
        </w:rPr>
        <w:t>3</w:t>
      </w:r>
      <w:r>
        <w:t>.</w:t>
      </w:r>
      <w:r>
        <w:rPr>
          <w:rFonts w:hint="eastAsia"/>
        </w:rPr>
        <w:t>6结论与建议</w:t>
      </w:r>
    </w:p>
    <w:bookmarkEnd w:id="152"/>
    <w:p>
      <w:pPr>
        <w:adjustRightInd w:val="0"/>
        <w:snapToGrid w:val="0"/>
        <w:spacing w:line="480" w:lineRule="exact"/>
        <w:ind w:firstLine="480" w:firstLineChars="200"/>
        <w:jc w:val="left"/>
        <w:rPr>
          <w:color w:val="FF0000"/>
          <w:sz w:val="24"/>
        </w:rPr>
      </w:pPr>
      <w:r>
        <w:rPr>
          <w:rFonts w:hint="eastAsia"/>
          <w:sz w:val="24"/>
        </w:rPr>
        <w:t>1、项目</w:t>
      </w:r>
      <w:r>
        <w:rPr>
          <w:sz w:val="24"/>
        </w:rPr>
        <w:t>评价区</w:t>
      </w:r>
      <w:r>
        <w:rPr>
          <w:rFonts w:hint="eastAsia"/>
          <w:sz w:val="24"/>
        </w:rPr>
        <w:t>及场地</w:t>
      </w:r>
      <w:r>
        <w:rPr>
          <w:sz w:val="24"/>
        </w:rPr>
        <w:t>内浅层水主要为新近纪、第四纪上层滞水，主要分布于区域河谷</w:t>
      </w:r>
      <w:r>
        <w:rPr>
          <w:rFonts w:hint="eastAsia"/>
          <w:sz w:val="24"/>
        </w:rPr>
        <w:t>地带</w:t>
      </w:r>
      <w:r>
        <w:rPr>
          <w:sz w:val="24"/>
        </w:rPr>
        <w:t>，该含水层埋深浅，受大气降水的补给，季节变化较大；区域可利用地下水含水层主要为奥陶系中统石灰岩岩溶含水层，下伏奥陶系灰岩之上覆盖第四系松散层黄土，形成—般山区覆盖型岩溶地下水，岩溶含水层埋藏深度大于350米，区域内第三、第四系地层直接覆盖于碳酸盐岩岩溶含水层之上，本区不能直接接受降水补给，只能通过上覆第四系松散层补给，同时有裸露区侧向径流补给，接受补给的岩溶地下水由东向西流向长治盆地，进入长治径流区，而后向北，到潞城再东流向排泄区。</w:t>
      </w:r>
    </w:p>
    <w:p>
      <w:pPr>
        <w:adjustRightInd w:val="0"/>
        <w:snapToGrid w:val="0"/>
        <w:spacing w:line="480" w:lineRule="exact"/>
        <w:ind w:firstLine="480" w:firstLineChars="200"/>
        <w:jc w:val="left"/>
        <w:rPr>
          <w:color w:val="FF0000"/>
          <w:sz w:val="24"/>
        </w:rPr>
      </w:pPr>
      <w:r>
        <w:rPr>
          <w:rFonts w:hint="eastAsia"/>
          <w:sz w:val="24"/>
        </w:rPr>
        <w:t>2、</w:t>
      </w:r>
      <w:r>
        <w:rPr>
          <w:sz w:val="24"/>
        </w:rPr>
        <w:t>本项目场地位于辛安泉域范围内，但不属于重点保护区，东北距最近的文王山地垒渗漏段重点保护区约16km，距离较远</w:t>
      </w:r>
      <w:r>
        <w:rPr>
          <w:rFonts w:hint="eastAsia"/>
          <w:sz w:val="24"/>
        </w:rPr>
        <w:t>；壶关县北关深井水源地、集店镇集中供水水源地、常平开发区集中供水水源地均位于场地的西南方向，不属于地下水流向下游位置，且与项目场地距离分别约为9.0km、7.0km、5.0km，相对均较远；经调查，本项目场地周边村庄主要利用各自乡镇集中供水水源，项目场地周边及评价范围内无具有供水意义的村庄分散式水源井。</w:t>
      </w:r>
    </w:p>
    <w:p>
      <w:pPr>
        <w:adjustRightInd w:val="0"/>
        <w:snapToGrid w:val="0"/>
        <w:spacing w:line="480" w:lineRule="exact"/>
        <w:ind w:firstLine="480" w:firstLineChars="200"/>
        <w:jc w:val="left"/>
        <w:rPr>
          <w:sz w:val="24"/>
        </w:rPr>
      </w:pPr>
      <w:r>
        <w:rPr>
          <w:rFonts w:hint="eastAsia"/>
          <w:sz w:val="24"/>
        </w:rPr>
        <w:t>3、</w:t>
      </w:r>
      <w:r>
        <w:rPr>
          <w:sz w:val="24"/>
        </w:rPr>
        <w:t>本项目正常情况下，</w:t>
      </w:r>
      <w:r>
        <w:rPr>
          <w:rFonts w:hint="eastAsia"/>
          <w:sz w:val="24"/>
        </w:rPr>
        <w:t>垃圾渗滤液及生活废水、洗车废水等经处理后全部回用于项目场地及县城城市绿化和道路清扫用水，不外排</w:t>
      </w:r>
      <w:r>
        <w:rPr>
          <w:sz w:val="24"/>
        </w:rPr>
        <w:t>，对区域地下水环境影响较小；非正常情况下渗滤液调节池发生泄露，按假设条件</w:t>
      </w:r>
      <w:r>
        <w:rPr>
          <w:rFonts w:hint="eastAsia"/>
          <w:sz w:val="24"/>
        </w:rPr>
        <w:t>库区底层防渗膜破裂后</w:t>
      </w:r>
      <w:r>
        <w:rPr>
          <w:sz w:val="24"/>
        </w:rPr>
        <w:t>进行预测，</w:t>
      </w:r>
      <w:r>
        <w:rPr>
          <w:bCs/>
          <w:sz w:val="24"/>
        </w:rPr>
        <w:t>根据模拟预测结果</w:t>
      </w:r>
      <w:r>
        <w:rPr>
          <w:rFonts w:hint="eastAsia"/>
          <w:bCs/>
          <w:sz w:val="24"/>
        </w:rPr>
        <w:t>，渗滤液中</w:t>
      </w:r>
      <w:r>
        <w:rPr>
          <w:bCs/>
          <w:sz w:val="24"/>
        </w:rPr>
        <w:t>氨氮沿地下水流方向向下游迁移，且随着时间</w:t>
      </w:r>
      <w:r>
        <w:rPr>
          <w:rFonts w:hint="eastAsia"/>
          <w:bCs/>
          <w:sz w:val="24"/>
        </w:rPr>
        <w:t>累计</w:t>
      </w:r>
      <w:r>
        <w:rPr>
          <w:bCs/>
          <w:sz w:val="24"/>
        </w:rPr>
        <w:t>迁移距离</w:t>
      </w:r>
      <w:r>
        <w:rPr>
          <w:rFonts w:hint="eastAsia"/>
          <w:bCs/>
          <w:sz w:val="24"/>
        </w:rPr>
        <w:t>逐渐</w:t>
      </w:r>
      <w:r>
        <w:rPr>
          <w:bCs/>
          <w:sz w:val="24"/>
        </w:rPr>
        <w:t>变长，最大运移距离473m</w:t>
      </w:r>
      <w:r>
        <w:rPr>
          <w:rFonts w:hint="eastAsia"/>
          <w:bCs/>
          <w:sz w:val="24"/>
        </w:rPr>
        <w:t>，</w:t>
      </w:r>
      <w:r>
        <w:rPr>
          <w:bCs/>
          <w:sz w:val="24"/>
        </w:rPr>
        <w:t>在污染源下游473m及更远距离处污染物浓度达到地下水</w:t>
      </w:r>
      <w:r>
        <w:rPr>
          <w:rFonts w:hint="eastAsia" w:cs="宋体"/>
          <w:bCs/>
          <w:sz w:val="24"/>
        </w:rPr>
        <w:t>Ⅲ</w:t>
      </w:r>
      <w:r>
        <w:rPr>
          <w:bCs/>
          <w:sz w:val="24"/>
        </w:rPr>
        <w:t>类水质标准要求</w:t>
      </w:r>
      <w:r>
        <w:rPr>
          <w:rFonts w:hint="eastAsia"/>
          <w:bCs/>
          <w:sz w:val="24"/>
        </w:rPr>
        <w:t>，影响范围相对较小，对壶关县北关深井水源地、集店镇集中供水水源地、常平开发区集中供水水源地等敏感目标不会产生大的影响。</w:t>
      </w:r>
    </w:p>
    <w:p>
      <w:pPr>
        <w:adjustRightInd w:val="0"/>
        <w:snapToGrid w:val="0"/>
        <w:spacing w:line="480" w:lineRule="exact"/>
        <w:ind w:firstLine="480" w:firstLineChars="200"/>
        <w:jc w:val="left"/>
        <w:rPr>
          <w:sz w:val="24"/>
        </w:rPr>
      </w:pPr>
      <w:r>
        <w:rPr>
          <w:rFonts w:hint="eastAsia"/>
          <w:sz w:val="24"/>
        </w:rPr>
        <w:t>4、场地运营过程中应按照“源头控制、末端防治、污染监控、应急响应”相结合的原则，严格落实各项地下水污染防治措施，按要求规范填埋作业、保证渗滤液正常收集处理、持续进行地下水跟踪监测等，</w:t>
      </w:r>
      <w:r>
        <w:rPr>
          <w:sz w:val="24"/>
        </w:rPr>
        <w:t>坚决杜绝污水的随意排放和渗漏，避免</w:t>
      </w:r>
      <w:r>
        <w:rPr>
          <w:rFonts w:hint="eastAsia"/>
          <w:sz w:val="24"/>
        </w:rPr>
        <w:t>对区域</w:t>
      </w:r>
      <w:r>
        <w:rPr>
          <w:sz w:val="24"/>
        </w:rPr>
        <w:t>地下水</w:t>
      </w:r>
      <w:r>
        <w:rPr>
          <w:rFonts w:hint="eastAsia"/>
          <w:sz w:val="24"/>
        </w:rPr>
        <w:t>造成</w:t>
      </w:r>
      <w:r>
        <w:rPr>
          <w:sz w:val="24"/>
        </w:rPr>
        <w:t>影响。</w:t>
      </w:r>
    </w:p>
    <w:p>
      <w:pPr>
        <w:adjustRightInd w:val="0"/>
        <w:snapToGrid w:val="0"/>
        <w:spacing w:line="500" w:lineRule="exact"/>
        <w:ind w:firstLine="480" w:firstLineChars="200"/>
        <w:jc w:val="left"/>
        <w:rPr>
          <w:sz w:val="24"/>
        </w:rPr>
      </w:pPr>
      <w:r>
        <w:rPr>
          <w:bCs/>
          <w:sz w:val="24"/>
        </w:rPr>
        <w:t>综上所述，</w:t>
      </w:r>
      <w:r>
        <w:rPr>
          <w:rFonts w:hint="eastAsia"/>
          <w:bCs/>
          <w:sz w:val="24"/>
        </w:rPr>
        <w:t>在</w:t>
      </w:r>
      <w:r>
        <w:rPr>
          <w:bCs/>
          <w:sz w:val="24"/>
        </w:rPr>
        <w:t>严格</w:t>
      </w:r>
      <w:r>
        <w:rPr>
          <w:rFonts w:hint="eastAsia"/>
          <w:bCs/>
          <w:sz w:val="24"/>
        </w:rPr>
        <w:t>落实各项环保</w:t>
      </w:r>
      <w:r>
        <w:rPr>
          <w:bCs/>
          <w:sz w:val="24"/>
        </w:rPr>
        <w:t>措施</w:t>
      </w:r>
      <w:r>
        <w:rPr>
          <w:rFonts w:hint="eastAsia"/>
          <w:bCs/>
          <w:sz w:val="24"/>
        </w:rPr>
        <w:t>后</w:t>
      </w:r>
      <w:r>
        <w:rPr>
          <w:bCs/>
          <w:sz w:val="24"/>
        </w:rPr>
        <w:t>，</w:t>
      </w:r>
      <w:r>
        <w:rPr>
          <w:rFonts w:hint="eastAsia"/>
          <w:bCs/>
          <w:sz w:val="24"/>
        </w:rPr>
        <w:t>本项目</w:t>
      </w:r>
      <w:r>
        <w:rPr>
          <w:bCs/>
          <w:sz w:val="24"/>
        </w:rPr>
        <w:t>对地下水环境的影响可接受。</w:t>
      </w:r>
    </w:p>
    <w:p>
      <w:pPr>
        <w:pStyle w:val="5"/>
        <w:spacing w:beforeLines="0" w:after="120" w:line="500" w:lineRule="exact"/>
        <w:rPr>
          <w:rFonts w:eastAsia="宋体"/>
          <w:b/>
          <w:bCs w:val="0"/>
          <w:color w:val="auto"/>
          <w:szCs w:val="30"/>
        </w:rPr>
      </w:pPr>
      <w:bookmarkStart w:id="153" w:name="_Toc1614402898"/>
      <w:r>
        <w:rPr>
          <w:rFonts w:eastAsia="宋体"/>
          <w:b/>
          <w:bCs w:val="0"/>
          <w:color w:val="auto"/>
          <w:szCs w:val="30"/>
        </w:rPr>
        <w:t>5.</w:t>
      </w:r>
      <w:r>
        <w:rPr>
          <w:rFonts w:hint="eastAsia" w:eastAsia="宋体"/>
          <w:b/>
          <w:bCs w:val="0"/>
          <w:color w:val="auto"/>
          <w:szCs w:val="30"/>
        </w:rPr>
        <w:t>4声环境影响评价</w:t>
      </w:r>
      <w:bookmarkEnd w:id="153"/>
    </w:p>
    <w:p>
      <w:pPr>
        <w:spacing w:line="500" w:lineRule="exact"/>
        <w:ind w:firstLine="482" w:firstLineChars="200"/>
        <w:rPr>
          <w:b/>
          <w:sz w:val="24"/>
        </w:rPr>
      </w:pPr>
      <w:r>
        <w:rPr>
          <w:rFonts w:hint="eastAsia"/>
          <w:b/>
          <w:bCs/>
          <w:sz w:val="24"/>
        </w:rPr>
        <w:t>1</w:t>
      </w:r>
      <w:r>
        <w:rPr>
          <w:b/>
          <w:bCs/>
          <w:sz w:val="24"/>
        </w:rPr>
        <w:t>、</w:t>
      </w:r>
      <w:r>
        <w:rPr>
          <w:rFonts w:hint="eastAsia"/>
          <w:b/>
          <w:bCs/>
          <w:sz w:val="24"/>
        </w:rPr>
        <w:t>场地噪声影响分析</w:t>
      </w:r>
    </w:p>
    <w:p>
      <w:pPr>
        <w:spacing w:line="500" w:lineRule="exact"/>
        <w:ind w:firstLine="480" w:firstLineChars="200"/>
        <w:rPr>
          <w:sz w:val="24"/>
        </w:rPr>
      </w:pPr>
      <w:r>
        <w:rPr>
          <w:rFonts w:hint="eastAsia"/>
          <w:sz w:val="24"/>
        </w:rPr>
        <w:t>项目运营过程中场内噪声源主要为填埋作业机械、渗滤液处理站水泵、填埋气抽气机房风机等，具体如下。</w:t>
      </w:r>
    </w:p>
    <w:p>
      <w:pPr>
        <w:spacing w:line="500" w:lineRule="exact"/>
        <w:jc w:val="center"/>
        <w:rPr>
          <w:b/>
          <w:sz w:val="24"/>
        </w:rPr>
      </w:pPr>
      <w:r>
        <w:rPr>
          <w:b/>
          <w:sz w:val="24"/>
        </w:rPr>
        <w:t>表</w:t>
      </w:r>
      <w:r>
        <w:rPr>
          <w:rFonts w:hint="eastAsia"/>
          <w:b/>
          <w:sz w:val="24"/>
        </w:rPr>
        <w:t>5.4-1项目场内主要噪声源强一览表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700"/>
        <w:gridCol w:w="798"/>
        <w:gridCol w:w="2128"/>
        <w:gridCol w:w="1386"/>
        <w:gridCol w:w="17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szCs w:val="21"/>
              </w:rPr>
              <w:t>序号</w:t>
            </w:r>
          </w:p>
        </w:tc>
        <w:tc>
          <w:tcPr>
            <w:tcW w:w="997" w:type="pct"/>
            <w:tcBorders>
              <w:tl2br w:val="nil"/>
              <w:tr2bl w:val="nil"/>
            </w:tcBorders>
            <w:vAlign w:val="center"/>
          </w:tcPr>
          <w:p>
            <w:pPr>
              <w:spacing w:line="280" w:lineRule="exact"/>
              <w:jc w:val="center"/>
              <w:rPr>
                <w:rFonts w:eastAsiaTheme="minorEastAsia"/>
                <w:szCs w:val="21"/>
              </w:rPr>
            </w:pPr>
            <w:r>
              <w:rPr>
                <w:rFonts w:hint="eastAsia"/>
                <w:szCs w:val="21"/>
              </w:rPr>
              <w:t>噪声源</w:t>
            </w:r>
          </w:p>
        </w:tc>
        <w:tc>
          <w:tcPr>
            <w:tcW w:w="468" w:type="pct"/>
            <w:tcBorders>
              <w:tl2br w:val="nil"/>
              <w:tr2bl w:val="nil"/>
            </w:tcBorders>
            <w:vAlign w:val="center"/>
          </w:tcPr>
          <w:p>
            <w:pPr>
              <w:spacing w:line="280" w:lineRule="exact"/>
              <w:jc w:val="center"/>
              <w:rPr>
                <w:rFonts w:eastAsiaTheme="minorEastAsia"/>
                <w:szCs w:val="21"/>
              </w:rPr>
            </w:pPr>
            <w:r>
              <w:rPr>
                <w:rFonts w:hint="eastAsia"/>
                <w:szCs w:val="21"/>
              </w:rPr>
              <w:t>台数</w:t>
            </w:r>
          </w:p>
        </w:tc>
        <w:tc>
          <w:tcPr>
            <w:tcW w:w="1248" w:type="pct"/>
            <w:tcBorders>
              <w:tl2br w:val="nil"/>
              <w:tr2bl w:val="nil"/>
            </w:tcBorders>
            <w:vAlign w:val="center"/>
          </w:tcPr>
          <w:p>
            <w:pPr>
              <w:spacing w:line="280" w:lineRule="exact"/>
              <w:jc w:val="center"/>
              <w:rPr>
                <w:szCs w:val="21"/>
              </w:rPr>
            </w:pPr>
            <w:r>
              <w:rPr>
                <w:rFonts w:hint="eastAsia"/>
                <w:szCs w:val="21"/>
              </w:rPr>
              <w:t>位置</w:t>
            </w:r>
          </w:p>
        </w:tc>
        <w:tc>
          <w:tcPr>
            <w:tcW w:w="813" w:type="pct"/>
            <w:tcBorders>
              <w:tl2br w:val="nil"/>
              <w:tr2bl w:val="nil"/>
            </w:tcBorders>
            <w:vAlign w:val="center"/>
          </w:tcPr>
          <w:p>
            <w:pPr>
              <w:spacing w:line="280" w:lineRule="exact"/>
              <w:jc w:val="center"/>
              <w:rPr>
                <w:rFonts w:eastAsiaTheme="minorEastAsia"/>
                <w:szCs w:val="21"/>
              </w:rPr>
            </w:pPr>
            <w:r>
              <w:rPr>
                <w:rFonts w:hint="eastAsia"/>
                <w:szCs w:val="21"/>
              </w:rPr>
              <w:t>噪声级</w:t>
            </w:r>
          </w:p>
        </w:tc>
        <w:tc>
          <w:tcPr>
            <w:tcW w:w="1045" w:type="pct"/>
            <w:tcBorders>
              <w:tl2br w:val="nil"/>
              <w:tr2bl w:val="nil"/>
            </w:tcBorders>
            <w:vAlign w:val="center"/>
          </w:tcPr>
          <w:p>
            <w:pPr>
              <w:spacing w:line="280" w:lineRule="exact"/>
              <w:jc w:val="center"/>
              <w:rPr>
                <w:szCs w:val="21"/>
              </w:rPr>
            </w:pPr>
            <w:r>
              <w:rPr>
                <w:rFonts w:hint="eastAsia"/>
                <w:szCs w:val="21"/>
              </w:rPr>
              <w:t>特性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1</w:t>
            </w:r>
          </w:p>
        </w:tc>
        <w:tc>
          <w:tcPr>
            <w:tcW w:w="997" w:type="pct"/>
            <w:tcBorders>
              <w:tl2br w:val="nil"/>
              <w:tr2bl w:val="nil"/>
            </w:tcBorders>
            <w:vAlign w:val="center"/>
          </w:tcPr>
          <w:p>
            <w:pPr>
              <w:tabs>
                <w:tab w:val="left" w:pos="640"/>
              </w:tabs>
              <w:snapToGrid w:val="0"/>
              <w:spacing w:line="24" w:lineRule="atLeast"/>
              <w:jc w:val="center"/>
              <w:rPr>
                <w:szCs w:val="21"/>
              </w:rPr>
            </w:pPr>
            <w:r>
              <w:rPr>
                <w:szCs w:val="21"/>
              </w:rPr>
              <w:t>履带式挖掘机</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248" w:type="pct"/>
            <w:tcBorders>
              <w:tl2br w:val="nil"/>
              <w:tr2bl w:val="nil"/>
            </w:tcBorders>
            <w:shd w:val="clear" w:color="auto" w:fill="auto"/>
            <w:vAlign w:val="center"/>
          </w:tcPr>
          <w:p>
            <w:pPr>
              <w:autoSpaceDE w:val="0"/>
              <w:autoSpaceDN w:val="0"/>
              <w:adjustRightInd w:val="0"/>
              <w:jc w:val="center"/>
              <w:rPr>
                <w:szCs w:val="21"/>
              </w:rPr>
            </w:pPr>
            <w:r>
              <w:rPr>
                <w:rFonts w:hint="eastAsia"/>
                <w:szCs w:val="21"/>
              </w:rPr>
              <w:t>场内临时堆土场</w:t>
            </w:r>
          </w:p>
        </w:tc>
        <w:tc>
          <w:tcPr>
            <w:tcW w:w="813" w:type="pct"/>
            <w:tcBorders>
              <w:tl2br w:val="nil"/>
              <w:tr2bl w:val="nil"/>
            </w:tcBorders>
            <w:shd w:val="clear" w:color="auto" w:fill="auto"/>
            <w:vAlign w:val="center"/>
          </w:tcPr>
          <w:p>
            <w:pPr>
              <w:autoSpaceDE w:val="0"/>
              <w:autoSpaceDN w:val="0"/>
              <w:adjustRightInd w:val="0"/>
              <w:jc w:val="center"/>
              <w:rPr>
                <w:rFonts w:eastAsiaTheme="minorEastAsia"/>
                <w:szCs w:val="21"/>
              </w:rPr>
            </w:pPr>
            <w:r>
              <w:rPr>
                <w:rFonts w:hint="eastAsia"/>
                <w:szCs w:val="21"/>
              </w:rPr>
              <w:t>85dB(A)</w:t>
            </w:r>
          </w:p>
        </w:tc>
        <w:tc>
          <w:tcPr>
            <w:tcW w:w="1045" w:type="pct"/>
            <w:tcBorders>
              <w:tl2br w:val="nil"/>
              <w:tr2bl w:val="nil"/>
            </w:tcBorders>
            <w:vAlign w:val="center"/>
          </w:tcPr>
          <w:p>
            <w:pPr>
              <w:autoSpaceDE w:val="0"/>
              <w:autoSpaceDN w:val="0"/>
              <w:adjustRightInd w:val="0"/>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2</w:t>
            </w:r>
          </w:p>
        </w:tc>
        <w:tc>
          <w:tcPr>
            <w:tcW w:w="997" w:type="pct"/>
            <w:tcBorders>
              <w:tl2br w:val="nil"/>
              <w:tr2bl w:val="nil"/>
            </w:tcBorders>
            <w:vAlign w:val="center"/>
          </w:tcPr>
          <w:p>
            <w:pPr>
              <w:tabs>
                <w:tab w:val="left" w:pos="640"/>
              </w:tabs>
              <w:snapToGrid w:val="0"/>
              <w:spacing w:line="24" w:lineRule="atLeast"/>
              <w:jc w:val="center"/>
              <w:rPr>
                <w:szCs w:val="21"/>
              </w:rPr>
            </w:pPr>
            <w:r>
              <w:rPr>
                <w:spacing w:val="-1"/>
                <w:szCs w:val="21"/>
              </w:rPr>
              <w:t>自</w:t>
            </w:r>
            <w:r>
              <w:rPr>
                <w:color w:val="000000"/>
                <w:szCs w:val="21"/>
              </w:rPr>
              <w:t>卸</w:t>
            </w:r>
            <w:r>
              <w:rPr>
                <w:spacing w:val="-1"/>
                <w:szCs w:val="21"/>
              </w:rPr>
              <w:t>汽车</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rFonts w:hint="eastAsia"/>
                <w:color w:val="000000"/>
                <w:szCs w:val="21"/>
              </w:rPr>
              <w:t>2</w:t>
            </w:r>
          </w:p>
        </w:tc>
        <w:tc>
          <w:tcPr>
            <w:tcW w:w="1248" w:type="pct"/>
            <w:tcBorders>
              <w:tl2br w:val="nil"/>
              <w:tr2bl w:val="nil"/>
            </w:tcBorders>
            <w:shd w:val="clear" w:color="auto" w:fill="auto"/>
            <w:vAlign w:val="center"/>
          </w:tcPr>
          <w:p>
            <w:pPr>
              <w:autoSpaceDE w:val="0"/>
              <w:autoSpaceDN w:val="0"/>
              <w:adjustRightInd w:val="0"/>
              <w:jc w:val="center"/>
              <w:rPr>
                <w:szCs w:val="21"/>
              </w:rPr>
            </w:pPr>
            <w:r>
              <w:rPr>
                <w:rFonts w:hint="eastAsia"/>
                <w:szCs w:val="21"/>
              </w:rPr>
              <w:t>场内道路及填埋区</w:t>
            </w:r>
          </w:p>
        </w:tc>
        <w:tc>
          <w:tcPr>
            <w:tcW w:w="813" w:type="pct"/>
            <w:tcBorders>
              <w:tl2br w:val="nil"/>
              <w:tr2bl w:val="nil"/>
            </w:tcBorders>
            <w:shd w:val="clear" w:color="auto" w:fill="auto"/>
            <w:vAlign w:val="center"/>
          </w:tcPr>
          <w:p>
            <w:pPr>
              <w:autoSpaceDE w:val="0"/>
              <w:autoSpaceDN w:val="0"/>
              <w:adjustRightInd w:val="0"/>
              <w:jc w:val="center"/>
              <w:rPr>
                <w:szCs w:val="21"/>
              </w:rPr>
            </w:pPr>
            <w:r>
              <w:rPr>
                <w:szCs w:val="21"/>
              </w:rPr>
              <w:t>85</w:t>
            </w:r>
            <w:r>
              <w:rPr>
                <w:rFonts w:hint="eastAsia"/>
                <w:szCs w:val="21"/>
              </w:rPr>
              <w:t>dB(A)</w:t>
            </w:r>
          </w:p>
        </w:tc>
        <w:tc>
          <w:tcPr>
            <w:tcW w:w="1045" w:type="pct"/>
            <w:tcBorders>
              <w:tl2br w:val="nil"/>
              <w:tr2bl w:val="nil"/>
            </w:tcBorders>
            <w:vAlign w:val="center"/>
          </w:tcPr>
          <w:p>
            <w:pPr>
              <w:autoSpaceDE w:val="0"/>
              <w:autoSpaceDN w:val="0"/>
              <w:adjustRightInd w:val="0"/>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3</w:t>
            </w:r>
          </w:p>
        </w:tc>
        <w:tc>
          <w:tcPr>
            <w:tcW w:w="997" w:type="pct"/>
            <w:tcBorders>
              <w:tl2br w:val="nil"/>
              <w:tr2bl w:val="nil"/>
            </w:tcBorders>
            <w:vAlign w:val="center"/>
          </w:tcPr>
          <w:p>
            <w:pPr>
              <w:tabs>
                <w:tab w:val="left" w:pos="640"/>
              </w:tabs>
              <w:snapToGrid w:val="0"/>
              <w:spacing w:line="24" w:lineRule="atLeast"/>
              <w:jc w:val="center"/>
              <w:rPr>
                <w:szCs w:val="21"/>
              </w:rPr>
            </w:pPr>
            <w:r>
              <w:rPr>
                <w:color w:val="000000"/>
                <w:szCs w:val="21"/>
              </w:rPr>
              <w:t>履带式</w:t>
            </w:r>
            <w:r>
              <w:rPr>
                <w:szCs w:val="21"/>
              </w:rPr>
              <w:t>推土机</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rFonts w:hint="eastAsia"/>
                <w:color w:val="000000"/>
                <w:szCs w:val="21"/>
              </w:rPr>
              <w:t>2</w:t>
            </w:r>
          </w:p>
        </w:tc>
        <w:tc>
          <w:tcPr>
            <w:tcW w:w="1248" w:type="pct"/>
            <w:tcBorders>
              <w:tl2br w:val="nil"/>
              <w:tr2bl w:val="nil"/>
            </w:tcBorders>
            <w:shd w:val="clear" w:color="auto" w:fill="auto"/>
            <w:vAlign w:val="center"/>
          </w:tcPr>
          <w:p>
            <w:pPr>
              <w:autoSpaceDE w:val="0"/>
              <w:autoSpaceDN w:val="0"/>
              <w:adjustRightInd w:val="0"/>
              <w:jc w:val="center"/>
              <w:rPr>
                <w:szCs w:val="21"/>
              </w:rPr>
            </w:pPr>
            <w:r>
              <w:rPr>
                <w:rFonts w:hint="eastAsia"/>
                <w:szCs w:val="21"/>
              </w:rPr>
              <w:t>填埋区</w:t>
            </w:r>
          </w:p>
        </w:tc>
        <w:tc>
          <w:tcPr>
            <w:tcW w:w="813" w:type="pct"/>
            <w:tcBorders>
              <w:tl2br w:val="nil"/>
              <w:tr2bl w:val="nil"/>
            </w:tcBorders>
            <w:shd w:val="clear" w:color="auto" w:fill="auto"/>
            <w:vAlign w:val="center"/>
          </w:tcPr>
          <w:p>
            <w:pPr>
              <w:autoSpaceDE w:val="0"/>
              <w:autoSpaceDN w:val="0"/>
              <w:adjustRightInd w:val="0"/>
              <w:jc w:val="center"/>
              <w:rPr>
                <w:rFonts w:eastAsiaTheme="minorEastAsia"/>
                <w:szCs w:val="21"/>
              </w:rPr>
            </w:pPr>
            <w:r>
              <w:rPr>
                <w:rFonts w:hint="eastAsia"/>
                <w:szCs w:val="21"/>
              </w:rPr>
              <w:t>85dB(A)</w:t>
            </w:r>
          </w:p>
        </w:tc>
        <w:tc>
          <w:tcPr>
            <w:tcW w:w="1045" w:type="pct"/>
            <w:tcBorders>
              <w:tl2br w:val="nil"/>
              <w:tr2bl w:val="nil"/>
            </w:tcBorders>
            <w:vAlign w:val="center"/>
          </w:tcPr>
          <w:p>
            <w:pPr>
              <w:autoSpaceDE w:val="0"/>
              <w:autoSpaceDN w:val="0"/>
              <w:adjustRightInd w:val="0"/>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rFonts w:eastAsia="华文中宋"/>
                <w:szCs w:val="21"/>
              </w:rPr>
            </w:pPr>
            <w:r>
              <w:rPr>
                <w:rFonts w:hint="eastAsia"/>
                <w:szCs w:val="21"/>
              </w:rPr>
              <w:t>4</w:t>
            </w:r>
          </w:p>
        </w:tc>
        <w:tc>
          <w:tcPr>
            <w:tcW w:w="997" w:type="pct"/>
            <w:tcBorders>
              <w:tl2br w:val="nil"/>
              <w:tr2bl w:val="nil"/>
            </w:tcBorders>
            <w:vAlign w:val="center"/>
          </w:tcPr>
          <w:p>
            <w:pPr>
              <w:tabs>
                <w:tab w:val="left" w:pos="640"/>
              </w:tabs>
              <w:snapToGrid w:val="0"/>
              <w:spacing w:line="24" w:lineRule="atLeast"/>
              <w:jc w:val="center"/>
              <w:rPr>
                <w:szCs w:val="21"/>
              </w:rPr>
            </w:pPr>
            <w:r>
              <w:rPr>
                <w:szCs w:val="21"/>
              </w:rPr>
              <w:t>压</w:t>
            </w:r>
            <w:r>
              <w:rPr>
                <w:color w:val="000000"/>
                <w:szCs w:val="21"/>
              </w:rPr>
              <w:t>实</w:t>
            </w:r>
            <w:r>
              <w:rPr>
                <w:szCs w:val="21"/>
              </w:rPr>
              <w:t>机</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248" w:type="pct"/>
            <w:tcBorders>
              <w:tl2br w:val="nil"/>
              <w:tr2bl w:val="nil"/>
            </w:tcBorders>
            <w:vAlign w:val="center"/>
          </w:tcPr>
          <w:p>
            <w:pPr>
              <w:jc w:val="center"/>
              <w:rPr>
                <w:szCs w:val="21"/>
              </w:rPr>
            </w:pPr>
            <w:r>
              <w:rPr>
                <w:rFonts w:hint="eastAsia"/>
                <w:szCs w:val="21"/>
              </w:rPr>
              <w:t>填埋区</w:t>
            </w:r>
          </w:p>
        </w:tc>
        <w:tc>
          <w:tcPr>
            <w:tcW w:w="813" w:type="pct"/>
            <w:tcBorders>
              <w:tl2br w:val="nil"/>
              <w:tr2bl w:val="nil"/>
            </w:tcBorders>
            <w:vAlign w:val="center"/>
          </w:tcPr>
          <w:p>
            <w:pPr>
              <w:jc w:val="center"/>
              <w:rPr>
                <w:szCs w:val="21"/>
              </w:rPr>
            </w:pPr>
            <w:r>
              <w:rPr>
                <w:rFonts w:hint="eastAsia"/>
                <w:szCs w:val="21"/>
              </w:rPr>
              <w:t>85dB(A)</w:t>
            </w:r>
          </w:p>
        </w:tc>
        <w:tc>
          <w:tcPr>
            <w:tcW w:w="1045" w:type="pct"/>
            <w:tcBorders>
              <w:tl2br w:val="nil"/>
              <w:tr2bl w:val="nil"/>
            </w:tcBorders>
            <w:vAlign w:val="center"/>
          </w:tcPr>
          <w:p>
            <w:pPr>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5</w:t>
            </w:r>
          </w:p>
        </w:tc>
        <w:tc>
          <w:tcPr>
            <w:tcW w:w="997" w:type="pct"/>
            <w:tcBorders>
              <w:tl2br w:val="nil"/>
              <w:tr2bl w:val="nil"/>
            </w:tcBorders>
            <w:vAlign w:val="center"/>
          </w:tcPr>
          <w:p>
            <w:pPr>
              <w:tabs>
                <w:tab w:val="left" w:pos="640"/>
              </w:tabs>
              <w:snapToGrid w:val="0"/>
              <w:spacing w:line="24" w:lineRule="atLeast"/>
              <w:jc w:val="center"/>
              <w:rPr>
                <w:szCs w:val="21"/>
              </w:rPr>
            </w:pPr>
            <w:r>
              <w:rPr>
                <w:color w:val="000000"/>
                <w:szCs w:val="21"/>
              </w:rPr>
              <w:t>洒</w:t>
            </w:r>
            <w:r>
              <w:rPr>
                <w:szCs w:val="21"/>
              </w:rPr>
              <w:t>水车</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248" w:type="pct"/>
            <w:tcBorders>
              <w:tl2br w:val="nil"/>
              <w:tr2bl w:val="nil"/>
            </w:tcBorders>
            <w:vAlign w:val="center"/>
          </w:tcPr>
          <w:p>
            <w:pPr>
              <w:jc w:val="center"/>
              <w:rPr>
                <w:szCs w:val="21"/>
              </w:rPr>
            </w:pPr>
            <w:r>
              <w:rPr>
                <w:rFonts w:hint="eastAsia"/>
                <w:szCs w:val="21"/>
              </w:rPr>
              <w:t>进场及场内道路</w:t>
            </w:r>
          </w:p>
        </w:tc>
        <w:tc>
          <w:tcPr>
            <w:tcW w:w="813" w:type="pct"/>
            <w:tcBorders>
              <w:tl2br w:val="nil"/>
              <w:tr2bl w:val="nil"/>
            </w:tcBorders>
            <w:vAlign w:val="center"/>
          </w:tcPr>
          <w:p>
            <w:pPr>
              <w:jc w:val="center"/>
              <w:rPr>
                <w:szCs w:val="21"/>
              </w:rPr>
            </w:pPr>
            <w:r>
              <w:rPr>
                <w:rFonts w:hint="eastAsia"/>
                <w:szCs w:val="21"/>
              </w:rPr>
              <w:t>70dB(A)</w:t>
            </w:r>
          </w:p>
        </w:tc>
        <w:tc>
          <w:tcPr>
            <w:tcW w:w="1045" w:type="pct"/>
            <w:tcBorders>
              <w:tl2br w:val="nil"/>
              <w:tr2bl w:val="nil"/>
            </w:tcBorders>
            <w:vAlign w:val="center"/>
          </w:tcPr>
          <w:p>
            <w:pPr>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6</w:t>
            </w:r>
          </w:p>
        </w:tc>
        <w:tc>
          <w:tcPr>
            <w:tcW w:w="997" w:type="pct"/>
            <w:tcBorders>
              <w:tl2br w:val="nil"/>
              <w:tr2bl w:val="nil"/>
            </w:tcBorders>
            <w:vAlign w:val="center"/>
          </w:tcPr>
          <w:p>
            <w:pPr>
              <w:tabs>
                <w:tab w:val="left" w:pos="640"/>
              </w:tabs>
              <w:snapToGrid w:val="0"/>
              <w:spacing w:line="24" w:lineRule="atLeast"/>
              <w:jc w:val="center"/>
              <w:rPr>
                <w:szCs w:val="21"/>
              </w:rPr>
            </w:pPr>
            <w:r>
              <w:rPr>
                <w:color w:val="000000"/>
                <w:szCs w:val="21"/>
              </w:rPr>
              <w:t>喷药</w:t>
            </w:r>
            <w:r>
              <w:rPr>
                <w:szCs w:val="21"/>
              </w:rPr>
              <w:t>车</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248" w:type="pct"/>
            <w:tcBorders>
              <w:tl2br w:val="nil"/>
              <w:tr2bl w:val="nil"/>
            </w:tcBorders>
            <w:vAlign w:val="center"/>
          </w:tcPr>
          <w:p>
            <w:pPr>
              <w:jc w:val="center"/>
              <w:rPr>
                <w:szCs w:val="21"/>
              </w:rPr>
            </w:pPr>
            <w:r>
              <w:rPr>
                <w:rFonts w:hint="eastAsia"/>
                <w:szCs w:val="21"/>
              </w:rPr>
              <w:t>填埋区</w:t>
            </w:r>
          </w:p>
        </w:tc>
        <w:tc>
          <w:tcPr>
            <w:tcW w:w="813" w:type="pct"/>
            <w:tcBorders>
              <w:tl2br w:val="nil"/>
              <w:tr2bl w:val="nil"/>
            </w:tcBorders>
            <w:vAlign w:val="center"/>
          </w:tcPr>
          <w:p>
            <w:pPr>
              <w:jc w:val="center"/>
              <w:rPr>
                <w:szCs w:val="21"/>
              </w:rPr>
            </w:pPr>
            <w:r>
              <w:rPr>
                <w:rFonts w:hint="eastAsia"/>
                <w:szCs w:val="21"/>
              </w:rPr>
              <w:t>70dB(A)</w:t>
            </w:r>
          </w:p>
        </w:tc>
        <w:tc>
          <w:tcPr>
            <w:tcW w:w="1045" w:type="pct"/>
            <w:tcBorders>
              <w:tl2br w:val="nil"/>
              <w:tr2bl w:val="nil"/>
            </w:tcBorders>
            <w:vAlign w:val="center"/>
          </w:tcPr>
          <w:p>
            <w:pPr>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7</w:t>
            </w:r>
          </w:p>
        </w:tc>
        <w:tc>
          <w:tcPr>
            <w:tcW w:w="997" w:type="pct"/>
            <w:tcBorders>
              <w:tl2br w:val="nil"/>
              <w:tr2bl w:val="nil"/>
            </w:tcBorders>
            <w:vAlign w:val="center"/>
          </w:tcPr>
          <w:p>
            <w:pPr>
              <w:tabs>
                <w:tab w:val="left" w:pos="640"/>
              </w:tabs>
              <w:snapToGrid w:val="0"/>
              <w:spacing w:line="24" w:lineRule="atLeast"/>
              <w:jc w:val="center"/>
              <w:rPr>
                <w:szCs w:val="21"/>
              </w:rPr>
            </w:pPr>
            <w:r>
              <w:rPr>
                <w:szCs w:val="21"/>
              </w:rPr>
              <w:t>吸</w:t>
            </w:r>
            <w:r>
              <w:rPr>
                <w:color w:val="000000"/>
                <w:szCs w:val="21"/>
              </w:rPr>
              <w:t>污</w:t>
            </w:r>
            <w:r>
              <w:rPr>
                <w:szCs w:val="21"/>
              </w:rPr>
              <w:t>车</w:t>
            </w:r>
          </w:p>
        </w:tc>
        <w:tc>
          <w:tcPr>
            <w:tcW w:w="468" w:type="pct"/>
            <w:tcBorders>
              <w:tl2br w:val="nil"/>
              <w:tr2bl w:val="nil"/>
            </w:tcBorders>
            <w:vAlign w:val="center"/>
          </w:tcPr>
          <w:p>
            <w:pPr>
              <w:tabs>
                <w:tab w:val="left" w:pos="640"/>
              </w:tabs>
              <w:snapToGrid w:val="0"/>
              <w:spacing w:line="24" w:lineRule="atLeast"/>
              <w:jc w:val="center"/>
              <w:rPr>
                <w:rFonts w:eastAsia="华文中宋"/>
                <w:szCs w:val="21"/>
              </w:rPr>
            </w:pPr>
            <w:r>
              <w:rPr>
                <w:color w:val="000000"/>
                <w:szCs w:val="21"/>
              </w:rPr>
              <w:t>1</w:t>
            </w:r>
          </w:p>
        </w:tc>
        <w:tc>
          <w:tcPr>
            <w:tcW w:w="1248" w:type="pct"/>
            <w:tcBorders>
              <w:tl2br w:val="nil"/>
              <w:tr2bl w:val="nil"/>
            </w:tcBorders>
            <w:vAlign w:val="center"/>
          </w:tcPr>
          <w:p>
            <w:pPr>
              <w:jc w:val="center"/>
              <w:rPr>
                <w:szCs w:val="21"/>
              </w:rPr>
            </w:pPr>
            <w:r>
              <w:rPr>
                <w:rFonts w:hint="eastAsia"/>
                <w:szCs w:val="21"/>
              </w:rPr>
              <w:t>渗滤液处理站</w:t>
            </w:r>
          </w:p>
        </w:tc>
        <w:tc>
          <w:tcPr>
            <w:tcW w:w="813" w:type="pct"/>
            <w:tcBorders>
              <w:tl2br w:val="nil"/>
              <w:tr2bl w:val="nil"/>
            </w:tcBorders>
            <w:vAlign w:val="center"/>
          </w:tcPr>
          <w:p>
            <w:pPr>
              <w:jc w:val="center"/>
              <w:rPr>
                <w:szCs w:val="21"/>
              </w:rPr>
            </w:pPr>
            <w:r>
              <w:rPr>
                <w:rFonts w:hint="eastAsia"/>
                <w:szCs w:val="21"/>
              </w:rPr>
              <w:t>70dB(A)</w:t>
            </w:r>
          </w:p>
        </w:tc>
        <w:tc>
          <w:tcPr>
            <w:tcW w:w="1045" w:type="pct"/>
            <w:tcBorders>
              <w:tl2br w:val="nil"/>
              <w:tr2bl w:val="nil"/>
            </w:tcBorders>
            <w:vAlign w:val="center"/>
          </w:tcPr>
          <w:p>
            <w:pPr>
              <w:jc w:val="center"/>
              <w:rPr>
                <w:szCs w:val="21"/>
              </w:rPr>
            </w:pPr>
            <w:r>
              <w:rPr>
                <w:rFonts w:hint="eastAsia"/>
                <w:szCs w:val="21"/>
              </w:rPr>
              <w:t>流动源，间歇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8</w:t>
            </w:r>
          </w:p>
        </w:tc>
        <w:tc>
          <w:tcPr>
            <w:tcW w:w="997" w:type="pct"/>
            <w:tcBorders>
              <w:tl2br w:val="nil"/>
              <w:tr2bl w:val="nil"/>
            </w:tcBorders>
            <w:vAlign w:val="center"/>
          </w:tcPr>
          <w:p>
            <w:pPr>
              <w:jc w:val="center"/>
              <w:rPr>
                <w:szCs w:val="21"/>
              </w:rPr>
            </w:pPr>
            <w:r>
              <w:rPr>
                <w:rFonts w:hint="eastAsia"/>
                <w:szCs w:val="21"/>
              </w:rPr>
              <w:t>水泵</w:t>
            </w:r>
          </w:p>
        </w:tc>
        <w:tc>
          <w:tcPr>
            <w:tcW w:w="468" w:type="pct"/>
            <w:tcBorders>
              <w:tl2br w:val="nil"/>
              <w:tr2bl w:val="nil"/>
            </w:tcBorders>
            <w:vAlign w:val="center"/>
          </w:tcPr>
          <w:p>
            <w:pPr>
              <w:jc w:val="center"/>
              <w:rPr>
                <w:rFonts w:eastAsia="华文中宋"/>
                <w:szCs w:val="21"/>
              </w:rPr>
            </w:pPr>
            <w:r>
              <w:rPr>
                <w:rFonts w:hint="eastAsia" w:asciiTheme="minorEastAsia" w:hAnsiTheme="minorEastAsia" w:eastAsiaTheme="minorEastAsia" w:cstheme="minorEastAsia"/>
                <w:szCs w:val="21"/>
              </w:rPr>
              <w:t>14</w:t>
            </w:r>
          </w:p>
        </w:tc>
        <w:tc>
          <w:tcPr>
            <w:tcW w:w="1248" w:type="pct"/>
            <w:tcBorders>
              <w:tl2br w:val="nil"/>
              <w:tr2bl w:val="nil"/>
            </w:tcBorders>
            <w:vAlign w:val="center"/>
          </w:tcPr>
          <w:p>
            <w:pPr>
              <w:jc w:val="center"/>
              <w:rPr>
                <w:szCs w:val="21"/>
              </w:rPr>
            </w:pPr>
            <w:r>
              <w:rPr>
                <w:rFonts w:hint="eastAsia"/>
                <w:szCs w:val="21"/>
              </w:rPr>
              <w:t>渗滤液处理站内</w:t>
            </w:r>
          </w:p>
        </w:tc>
        <w:tc>
          <w:tcPr>
            <w:tcW w:w="813" w:type="pct"/>
            <w:tcBorders>
              <w:tl2br w:val="nil"/>
              <w:tr2bl w:val="nil"/>
            </w:tcBorders>
            <w:vAlign w:val="center"/>
          </w:tcPr>
          <w:p>
            <w:pPr>
              <w:jc w:val="center"/>
              <w:rPr>
                <w:szCs w:val="21"/>
              </w:rPr>
            </w:pPr>
            <w:r>
              <w:rPr>
                <w:rFonts w:hint="eastAsia"/>
                <w:szCs w:val="21"/>
              </w:rPr>
              <w:t>85dB(A)</w:t>
            </w:r>
          </w:p>
        </w:tc>
        <w:tc>
          <w:tcPr>
            <w:tcW w:w="1045" w:type="pct"/>
            <w:tcBorders>
              <w:tl2br w:val="nil"/>
              <w:tr2bl w:val="nil"/>
            </w:tcBorders>
            <w:vAlign w:val="center"/>
          </w:tcPr>
          <w:p>
            <w:pPr>
              <w:jc w:val="center"/>
              <w:rPr>
                <w:szCs w:val="21"/>
              </w:rPr>
            </w:pPr>
            <w:r>
              <w:rPr>
                <w:rFonts w:hint="eastAsia"/>
                <w:szCs w:val="21"/>
              </w:rPr>
              <w:t>固定源，连续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5" w:type="pct"/>
            <w:tcBorders>
              <w:tl2br w:val="nil"/>
              <w:tr2bl w:val="nil"/>
            </w:tcBorders>
            <w:vAlign w:val="center"/>
          </w:tcPr>
          <w:p>
            <w:pPr>
              <w:spacing w:line="280" w:lineRule="exact"/>
              <w:jc w:val="center"/>
              <w:rPr>
                <w:szCs w:val="21"/>
              </w:rPr>
            </w:pPr>
            <w:r>
              <w:rPr>
                <w:rFonts w:hint="eastAsia"/>
                <w:szCs w:val="21"/>
              </w:rPr>
              <w:t>9</w:t>
            </w:r>
          </w:p>
        </w:tc>
        <w:tc>
          <w:tcPr>
            <w:tcW w:w="997" w:type="pct"/>
            <w:tcBorders>
              <w:tl2br w:val="nil"/>
              <w:tr2bl w:val="nil"/>
            </w:tcBorders>
            <w:vAlign w:val="center"/>
          </w:tcPr>
          <w:p>
            <w:pPr>
              <w:jc w:val="center"/>
              <w:rPr>
                <w:szCs w:val="21"/>
              </w:rPr>
            </w:pPr>
            <w:r>
              <w:rPr>
                <w:rFonts w:hint="eastAsia"/>
                <w:szCs w:val="21"/>
              </w:rPr>
              <w:t>风机</w:t>
            </w:r>
          </w:p>
        </w:tc>
        <w:tc>
          <w:tcPr>
            <w:tcW w:w="468" w:type="pct"/>
            <w:tcBorders>
              <w:tl2br w:val="nil"/>
              <w:tr2bl w:val="nil"/>
            </w:tcBorders>
            <w:vAlign w:val="center"/>
          </w:tcPr>
          <w:p>
            <w:pPr>
              <w:jc w:val="center"/>
              <w:rPr>
                <w:rFonts w:eastAsia="华文中宋"/>
                <w:szCs w:val="21"/>
              </w:rPr>
            </w:pPr>
            <w:r>
              <w:rPr>
                <w:rFonts w:hint="eastAsia" w:eastAsia="华文中宋"/>
                <w:szCs w:val="21"/>
              </w:rPr>
              <w:t>1</w:t>
            </w:r>
          </w:p>
        </w:tc>
        <w:tc>
          <w:tcPr>
            <w:tcW w:w="1248" w:type="pct"/>
            <w:tcBorders>
              <w:tl2br w:val="nil"/>
              <w:tr2bl w:val="nil"/>
            </w:tcBorders>
            <w:vAlign w:val="center"/>
          </w:tcPr>
          <w:p>
            <w:pPr>
              <w:jc w:val="center"/>
              <w:rPr>
                <w:szCs w:val="21"/>
              </w:rPr>
            </w:pPr>
            <w:r>
              <w:rPr>
                <w:rFonts w:hint="eastAsia"/>
                <w:szCs w:val="21"/>
              </w:rPr>
              <w:t>填埋气抽气机房内</w:t>
            </w:r>
          </w:p>
        </w:tc>
        <w:tc>
          <w:tcPr>
            <w:tcW w:w="813" w:type="pct"/>
            <w:tcBorders>
              <w:tl2br w:val="nil"/>
              <w:tr2bl w:val="nil"/>
            </w:tcBorders>
            <w:vAlign w:val="center"/>
          </w:tcPr>
          <w:p>
            <w:pPr>
              <w:jc w:val="center"/>
              <w:rPr>
                <w:szCs w:val="21"/>
              </w:rPr>
            </w:pPr>
            <w:r>
              <w:rPr>
                <w:rFonts w:hint="eastAsia"/>
                <w:szCs w:val="21"/>
              </w:rPr>
              <w:t>95dB(A)</w:t>
            </w:r>
          </w:p>
        </w:tc>
        <w:tc>
          <w:tcPr>
            <w:tcW w:w="1045" w:type="pct"/>
            <w:tcBorders>
              <w:tl2br w:val="nil"/>
              <w:tr2bl w:val="nil"/>
            </w:tcBorders>
            <w:vAlign w:val="center"/>
          </w:tcPr>
          <w:p>
            <w:pPr>
              <w:jc w:val="center"/>
              <w:rPr>
                <w:szCs w:val="21"/>
              </w:rPr>
            </w:pPr>
            <w:r>
              <w:rPr>
                <w:rFonts w:hint="eastAsia"/>
                <w:szCs w:val="21"/>
              </w:rPr>
              <w:t>固定源，连续</w:t>
            </w:r>
          </w:p>
        </w:tc>
      </w:tr>
    </w:tbl>
    <w:p>
      <w:pPr>
        <w:spacing w:line="500" w:lineRule="exact"/>
        <w:ind w:firstLine="480" w:firstLineChars="200"/>
        <w:rPr>
          <w:sz w:val="24"/>
        </w:rPr>
      </w:pPr>
      <w:r>
        <w:rPr>
          <w:rFonts w:hint="eastAsia"/>
          <w:sz w:val="24"/>
        </w:rPr>
        <w:t>本项目场内噪声源强数量及高噪声源强相对较少，其中填埋区主要是填埋作业机械，为间歇排放，渗滤液处理区水泵及填埋气抽气机房风机等噪声采取隔声减震措施后噪声源强较小，项目运营时间为白天8小时工作制，场地周边主要为农田及荒地，距离最近的敏感点为南侧约670m处的逢善村，其次为西侧约700m处的辛村村，在采取加强机械、车辆管理，制定操作规程，合理安排填埋作业时间；各水泵、风机均进行基础减震，布置在密闭车间内，风机安装柔性接头；加强场地及周边绿化，形成隔离带等降噪措施后，项目场地运营对区域声环境及村庄等敏感点影响较小。</w:t>
      </w:r>
    </w:p>
    <w:p>
      <w:pPr>
        <w:spacing w:line="500" w:lineRule="exact"/>
        <w:ind w:firstLine="480" w:firstLineChars="200"/>
        <w:rPr>
          <w:sz w:val="24"/>
        </w:rPr>
      </w:pPr>
      <w:r>
        <w:rPr>
          <w:rFonts w:hint="eastAsia"/>
          <w:sz w:val="24"/>
        </w:rPr>
        <w:t>2022年9月，监测单位对项目场界噪声进行了现场监测，监测结果详见下表。</w:t>
      </w:r>
    </w:p>
    <w:p>
      <w:pPr>
        <w:adjustRightInd w:val="0"/>
        <w:snapToGrid w:val="0"/>
        <w:spacing w:line="500" w:lineRule="exact"/>
        <w:jc w:val="center"/>
        <w:rPr>
          <w:rFonts w:hint="eastAsia"/>
          <w:b/>
          <w:sz w:val="24"/>
        </w:rPr>
      </w:pPr>
      <w:r>
        <w:rPr>
          <w:b/>
          <w:sz w:val="24"/>
        </w:rPr>
        <w:t>表</w:t>
      </w:r>
      <w:r>
        <w:rPr>
          <w:rFonts w:hint="eastAsia"/>
          <w:b/>
          <w:sz w:val="24"/>
        </w:rPr>
        <w:t>5.4</w:t>
      </w:r>
      <w:r>
        <w:rPr>
          <w:b/>
          <w:sz w:val="24"/>
        </w:rPr>
        <w:t>-</w:t>
      </w:r>
      <w:r>
        <w:rPr>
          <w:rFonts w:hint="eastAsia"/>
          <w:b/>
          <w:sz w:val="24"/>
        </w:rPr>
        <w:t>2 场界</w:t>
      </w:r>
      <w:r>
        <w:rPr>
          <w:b/>
          <w:sz w:val="24"/>
        </w:rPr>
        <w:t>噪声现状监测结果</w:t>
      </w:r>
      <w:r>
        <w:rPr>
          <w:rFonts w:hint="eastAsia"/>
          <w:b/>
          <w:sz w:val="24"/>
        </w:rPr>
        <w:t>一览</w:t>
      </w:r>
      <w:r>
        <w:rPr>
          <w:b/>
          <w:sz w:val="24"/>
        </w:rPr>
        <w:t>表</w:t>
      </w:r>
      <w:r>
        <w:rPr>
          <w:rFonts w:hint="eastAsia" w:cstheme="minorEastAsia"/>
          <w:b/>
          <w:sz w:val="24"/>
        </w:rPr>
        <w:t xml:space="preserve">    单位：</w:t>
      </w:r>
      <w:r>
        <w:rPr>
          <w:rFonts w:hint="eastAsia"/>
          <w:b/>
          <w:sz w:val="24"/>
        </w:rPr>
        <w:t>dB（A）</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7"/>
        <w:gridCol w:w="775"/>
        <w:gridCol w:w="1644"/>
        <w:gridCol w:w="1418"/>
        <w:gridCol w:w="1418"/>
        <w:gridCol w:w="1418"/>
        <w:gridCol w:w="14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vMerge w:val="restart"/>
            <w:tcBorders>
              <w:tl2br w:val="nil"/>
              <w:tr2bl w:val="nil"/>
            </w:tcBorders>
            <w:vAlign w:val="center"/>
          </w:tcPr>
          <w:p>
            <w:pPr>
              <w:jc w:val="center"/>
              <w:rPr>
                <w:b/>
                <w:bCs/>
                <w:kern w:val="0"/>
                <w:szCs w:val="21"/>
              </w:rPr>
            </w:pPr>
            <w:r>
              <w:rPr>
                <w:b/>
                <w:bCs/>
                <w:kern w:val="0"/>
                <w:szCs w:val="21"/>
              </w:rPr>
              <w:t>序号</w:t>
            </w:r>
          </w:p>
        </w:tc>
        <w:tc>
          <w:tcPr>
            <w:tcW w:w="1419" w:type="pct"/>
            <w:gridSpan w:val="2"/>
            <w:vMerge w:val="restart"/>
            <w:tcBorders>
              <w:tl2br w:val="nil"/>
              <w:tr2bl w:val="nil"/>
            </w:tcBorders>
            <w:vAlign w:val="center"/>
          </w:tcPr>
          <w:p>
            <w:pPr>
              <w:jc w:val="center"/>
              <w:rPr>
                <w:b/>
                <w:bCs/>
                <w:kern w:val="0"/>
                <w:szCs w:val="21"/>
              </w:rPr>
            </w:pPr>
            <w:r>
              <w:rPr>
                <w:b/>
                <w:bCs/>
                <w:kern w:val="0"/>
                <w:szCs w:val="21"/>
              </w:rPr>
              <w:t>监测点位</w:t>
            </w:r>
          </w:p>
        </w:tc>
        <w:tc>
          <w:tcPr>
            <w:tcW w:w="3330" w:type="pct"/>
            <w:gridSpan w:val="4"/>
            <w:tcBorders>
              <w:tl2br w:val="nil"/>
              <w:tr2bl w:val="nil"/>
            </w:tcBorders>
            <w:vAlign w:val="center"/>
          </w:tcPr>
          <w:p>
            <w:pPr>
              <w:jc w:val="center"/>
              <w:rPr>
                <w:b/>
                <w:bCs/>
                <w:kern w:val="0"/>
                <w:szCs w:val="21"/>
              </w:rPr>
            </w:pPr>
            <w:r>
              <w:rPr>
                <w:b/>
                <w:bCs/>
                <w:kern w:val="0"/>
                <w:szCs w:val="21"/>
              </w:rPr>
              <w:t>监测结果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vMerge w:val="continue"/>
            <w:tcBorders>
              <w:tl2br w:val="nil"/>
              <w:tr2bl w:val="nil"/>
            </w:tcBorders>
            <w:vAlign w:val="center"/>
          </w:tcPr>
          <w:p>
            <w:pPr>
              <w:jc w:val="center"/>
              <w:rPr>
                <w:b/>
                <w:bCs/>
                <w:kern w:val="0"/>
                <w:szCs w:val="21"/>
              </w:rPr>
            </w:pPr>
          </w:p>
        </w:tc>
        <w:tc>
          <w:tcPr>
            <w:tcW w:w="1419" w:type="pct"/>
            <w:gridSpan w:val="2"/>
            <w:vMerge w:val="continue"/>
            <w:tcBorders>
              <w:tl2br w:val="nil"/>
              <w:tr2bl w:val="nil"/>
            </w:tcBorders>
            <w:vAlign w:val="center"/>
          </w:tcPr>
          <w:p>
            <w:pPr>
              <w:jc w:val="center"/>
              <w:rPr>
                <w:b/>
                <w:bCs/>
                <w:kern w:val="0"/>
                <w:szCs w:val="21"/>
              </w:rPr>
            </w:pPr>
          </w:p>
        </w:tc>
        <w:tc>
          <w:tcPr>
            <w:tcW w:w="1664" w:type="pct"/>
            <w:gridSpan w:val="2"/>
            <w:tcBorders>
              <w:tl2br w:val="nil"/>
              <w:tr2bl w:val="nil"/>
            </w:tcBorders>
            <w:vAlign w:val="center"/>
          </w:tcPr>
          <w:p>
            <w:pPr>
              <w:jc w:val="center"/>
              <w:rPr>
                <w:kern w:val="0"/>
                <w:szCs w:val="21"/>
              </w:rPr>
            </w:pPr>
            <w:r>
              <w:rPr>
                <w:rFonts w:hint="eastAsia"/>
                <w:kern w:val="0"/>
                <w:szCs w:val="21"/>
              </w:rPr>
              <w:t>2022年9月24日</w:t>
            </w:r>
          </w:p>
        </w:tc>
        <w:tc>
          <w:tcPr>
            <w:tcW w:w="1666" w:type="pct"/>
            <w:gridSpan w:val="2"/>
            <w:tcBorders>
              <w:tl2br w:val="nil"/>
              <w:tr2bl w:val="nil"/>
            </w:tcBorders>
            <w:vAlign w:val="center"/>
          </w:tcPr>
          <w:p>
            <w:pPr>
              <w:jc w:val="center"/>
              <w:rPr>
                <w:kern w:val="0"/>
                <w:szCs w:val="21"/>
              </w:rPr>
            </w:pPr>
            <w:r>
              <w:rPr>
                <w:rFonts w:hint="eastAsia"/>
                <w:kern w:val="0"/>
                <w:szCs w:val="21"/>
              </w:rPr>
              <w:t>2022年9月25日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vMerge w:val="continue"/>
            <w:tcBorders>
              <w:tl2br w:val="nil"/>
              <w:tr2bl w:val="nil"/>
            </w:tcBorders>
            <w:vAlign w:val="center"/>
          </w:tcPr>
          <w:p>
            <w:pPr>
              <w:jc w:val="center"/>
              <w:rPr>
                <w:kern w:val="0"/>
                <w:szCs w:val="21"/>
              </w:rPr>
            </w:pPr>
          </w:p>
        </w:tc>
        <w:tc>
          <w:tcPr>
            <w:tcW w:w="1419" w:type="pct"/>
            <w:gridSpan w:val="2"/>
            <w:vMerge w:val="continue"/>
            <w:tcBorders>
              <w:tl2br w:val="nil"/>
              <w:tr2bl w:val="nil"/>
            </w:tcBorders>
            <w:vAlign w:val="center"/>
          </w:tcPr>
          <w:p>
            <w:pPr>
              <w:jc w:val="center"/>
              <w:rPr>
                <w:kern w:val="0"/>
                <w:szCs w:val="21"/>
              </w:rPr>
            </w:pPr>
          </w:p>
        </w:tc>
        <w:tc>
          <w:tcPr>
            <w:tcW w:w="832" w:type="pct"/>
            <w:tcBorders>
              <w:tl2br w:val="nil"/>
              <w:tr2bl w:val="nil"/>
            </w:tcBorders>
            <w:shd w:val="clear" w:color="auto" w:fill="auto"/>
            <w:vAlign w:val="center"/>
          </w:tcPr>
          <w:p>
            <w:pPr>
              <w:jc w:val="center"/>
              <w:rPr>
                <w:kern w:val="0"/>
                <w:szCs w:val="21"/>
              </w:rPr>
            </w:pPr>
            <w:r>
              <w:rPr>
                <w:kern w:val="0"/>
                <w:szCs w:val="21"/>
              </w:rPr>
              <w:t>昼间</w:t>
            </w:r>
          </w:p>
        </w:tc>
        <w:tc>
          <w:tcPr>
            <w:tcW w:w="832" w:type="pct"/>
            <w:tcBorders>
              <w:tl2br w:val="nil"/>
              <w:tr2bl w:val="nil"/>
            </w:tcBorders>
            <w:shd w:val="clear" w:color="auto" w:fill="auto"/>
            <w:vAlign w:val="center"/>
          </w:tcPr>
          <w:p>
            <w:pPr>
              <w:jc w:val="center"/>
              <w:rPr>
                <w:kern w:val="0"/>
                <w:szCs w:val="21"/>
              </w:rPr>
            </w:pPr>
            <w:r>
              <w:rPr>
                <w:kern w:val="0"/>
                <w:szCs w:val="21"/>
              </w:rPr>
              <w:t>夜间</w:t>
            </w:r>
          </w:p>
        </w:tc>
        <w:tc>
          <w:tcPr>
            <w:tcW w:w="1418" w:type="dxa"/>
            <w:tcBorders>
              <w:tl2br w:val="nil"/>
              <w:tr2bl w:val="nil"/>
            </w:tcBorders>
            <w:shd w:val="clear" w:color="auto" w:fill="auto"/>
            <w:vAlign w:val="center"/>
          </w:tcPr>
          <w:p>
            <w:pPr>
              <w:jc w:val="center"/>
              <w:rPr>
                <w:kern w:val="0"/>
                <w:szCs w:val="21"/>
              </w:rPr>
            </w:pPr>
            <w:r>
              <w:rPr>
                <w:kern w:val="0"/>
                <w:szCs w:val="21"/>
              </w:rPr>
              <w:t>昼间</w:t>
            </w:r>
          </w:p>
        </w:tc>
        <w:tc>
          <w:tcPr>
            <w:tcW w:w="1421" w:type="dxa"/>
            <w:tcBorders>
              <w:tl2br w:val="nil"/>
              <w:tr2bl w:val="nil"/>
            </w:tcBorders>
            <w:shd w:val="clear" w:color="auto" w:fill="auto"/>
            <w:vAlign w:val="center"/>
          </w:tcPr>
          <w:p>
            <w:pPr>
              <w:jc w:val="center"/>
              <w:rPr>
                <w:kern w:val="0"/>
                <w:szCs w:val="21"/>
              </w:rPr>
            </w:pPr>
            <w:r>
              <w:rPr>
                <w:kern w:val="0"/>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tcBorders>
              <w:tl2br w:val="nil"/>
              <w:tr2bl w:val="nil"/>
            </w:tcBorders>
            <w:vAlign w:val="center"/>
          </w:tcPr>
          <w:p>
            <w:pPr>
              <w:jc w:val="center"/>
              <w:rPr>
                <w:kern w:val="0"/>
                <w:szCs w:val="21"/>
              </w:rPr>
            </w:pPr>
            <w:r>
              <w:rPr>
                <w:color w:val="000000"/>
                <w:szCs w:val="21"/>
              </w:rPr>
              <w:t>1#</w:t>
            </w:r>
          </w:p>
        </w:tc>
        <w:tc>
          <w:tcPr>
            <w:tcW w:w="454" w:type="pct"/>
            <w:vMerge w:val="restart"/>
            <w:tcBorders>
              <w:tl2br w:val="nil"/>
              <w:tr2bl w:val="nil"/>
            </w:tcBorders>
            <w:shd w:val="clear" w:color="auto" w:fill="auto"/>
            <w:vAlign w:val="center"/>
          </w:tcPr>
          <w:p>
            <w:pPr>
              <w:jc w:val="center"/>
              <w:rPr>
                <w:kern w:val="0"/>
                <w:szCs w:val="21"/>
              </w:rPr>
            </w:pPr>
            <w:r>
              <w:rPr>
                <w:kern w:val="0"/>
                <w:szCs w:val="21"/>
              </w:rPr>
              <w:t>场界</w:t>
            </w:r>
          </w:p>
        </w:tc>
        <w:tc>
          <w:tcPr>
            <w:tcW w:w="964" w:type="pct"/>
            <w:tcBorders>
              <w:tl2br w:val="nil"/>
              <w:tr2bl w:val="nil"/>
            </w:tcBorders>
            <w:shd w:val="clear" w:color="auto" w:fill="auto"/>
            <w:vAlign w:val="center"/>
          </w:tcPr>
          <w:p>
            <w:pPr>
              <w:widowControl/>
              <w:spacing w:line="240" w:lineRule="exact"/>
              <w:jc w:val="center"/>
              <w:rPr>
                <w:szCs w:val="21"/>
              </w:rPr>
            </w:pPr>
            <w:r>
              <w:rPr>
                <w:rFonts w:hint="eastAsia"/>
                <w:szCs w:val="21"/>
              </w:rPr>
              <w:t>北</w:t>
            </w:r>
            <w:r>
              <w:rPr>
                <w:rFonts w:hint="eastAsia" w:cstheme="minorEastAsia"/>
                <w:szCs w:val="21"/>
              </w:rPr>
              <w:t>场界</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53.2</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41.3</w:t>
            </w:r>
          </w:p>
        </w:tc>
        <w:tc>
          <w:tcPr>
            <w:tcW w:w="1418"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52.5</w:t>
            </w:r>
          </w:p>
        </w:tc>
        <w:tc>
          <w:tcPr>
            <w:tcW w:w="1421"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43.6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tcBorders>
              <w:tl2br w:val="nil"/>
              <w:tr2bl w:val="nil"/>
            </w:tcBorders>
            <w:vAlign w:val="center"/>
          </w:tcPr>
          <w:p>
            <w:pPr>
              <w:jc w:val="center"/>
              <w:rPr>
                <w:kern w:val="0"/>
                <w:szCs w:val="21"/>
              </w:rPr>
            </w:pPr>
            <w:r>
              <w:rPr>
                <w:color w:val="000000"/>
                <w:szCs w:val="21"/>
              </w:rPr>
              <w:t>2#</w:t>
            </w:r>
          </w:p>
        </w:tc>
        <w:tc>
          <w:tcPr>
            <w:tcW w:w="454" w:type="pct"/>
            <w:vMerge w:val="continue"/>
            <w:tcBorders>
              <w:tl2br w:val="nil"/>
              <w:tr2bl w:val="nil"/>
            </w:tcBorders>
            <w:shd w:val="clear" w:color="auto" w:fill="auto"/>
            <w:vAlign w:val="center"/>
          </w:tcPr>
          <w:p>
            <w:pPr>
              <w:jc w:val="center"/>
              <w:rPr>
                <w:kern w:val="0"/>
                <w:szCs w:val="21"/>
              </w:rPr>
            </w:pPr>
          </w:p>
        </w:tc>
        <w:tc>
          <w:tcPr>
            <w:tcW w:w="964" w:type="pct"/>
            <w:tcBorders>
              <w:tl2br w:val="nil"/>
              <w:tr2bl w:val="nil"/>
            </w:tcBorders>
            <w:shd w:val="clear" w:color="auto" w:fill="auto"/>
            <w:vAlign w:val="center"/>
          </w:tcPr>
          <w:p>
            <w:pPr>
              <w:widowControl/>
              <w:spacing w:line="240" w:lineRule="exact"/>
              <w:jc w:val="center"/>
              <w:rPr>
                <w:kern w:val="0"/>
                <w:szCs w:val="21"/>
              </w:rPr>
            </w:pPr>
            <w:r>
              <w:rPr>
                <w:rFonts w:hint="eastAsia"/>
                <w:szCs w:val="21"/>
              </w:rPr>
              <w:t>东</w:t>
            </w:r>
            <w:r>
              <w:rPr>
                <w:rFonts w:hint="eastAsia" w:cstheme="minorEastAsia"/>
                <w:szCs w:val="21"/>
              </w:rPr>
              <w:t>场界</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rPr>
              <w:t>5</w:t>
            </w:r>
            <w:r>
              <w:rPr>
                <w:rFonts w:hint="eastAsia"/>
                <w:kern w:val="0"/>
                <w:szCs w:val="21"/>
                <w:lang w:val="en-US" w:eastAsia="zh-CN"/>
              </w:rPr>
              <w:t>2.1</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42.0</w:t>
            </w:r>
          </w:p>
        </w:tc>
        <w:tc>
          <w:tcPr>
            <w:tcW w:w="1418"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50.7</w:t>
            </w:r>
          </w:p>
        </w:tc>
        <w:tc>
          <w:tcPr>
            <w:tcW w:w="1421"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39.2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tcBorders>
              <w:tl2br w:val="nil"/>
              <w:tr2bl w:val="nil"/>
            </w:tcBorders>
            <w:vAlign w:val="center"/>
          </w:tcPr>
          <w:p>
            <w:pPr>
              <w:jc w:val="center"/>
              <w:rPr>
                <w:color w:val="000000"/>
                <w:szCs w:val="21"/>
              </w:rPr>
            </w:pPr>
            <w:r>
              <w:rPr>
                <w:color w:val="000000"/>
                <w:szCs w:val="21"/>
              </w:rPr>
              <w:t>3#</w:t>
            </w:r>
          </w:p>
        </w:tc>
        <w:tc>
          <w:tcPr>
            <w:tcW w:w="454" w:type="pct"/>
            <w:vMerge w:val="continue"/>
            <w:tcBorders>
              <w:tl2br w:val="nil"/>
              <w:tr2bl w:val="nil"/>
            </w:tcBorders>
            <w:shd w:val="clear" w:color="auto" w:fill="auto"/>
            <w:vAlign w:val="center"/>
          </w:tcPr>
          <w:p>
            <w:pPr>
              <w:jc w:val="center"/>
              <w:rPr>
                <w:szCs w:val="21"/>
              </w:rPr>
            </w:pPr>
          </w:p>
        </w:tc>
        <w:tc>
          <w:tcPr>
            <w:tcW w:w="964" w:type="pct"/>
            <w:tcBorders>
              <w:tl2br w:val="nil"/>
              <w:tr2bl w:val="nil"/>
            </w:tcBorders>
            <w:shd w:val="clear" w:color="auto" w:fill="auto"/>
            <w:vAlign w:val="center"/>
          </w:tcPr>
          <w:p>
            <w:pPr>
              <w:widowControl/>
              <w:spacing w:line="240" w:lineRule="exact"/>
              <w:jc w:val="center"/>
              <w:rPr>
                <w:szCs w:val="21"/>
              </w:rPr>
            </w:pPr>
            <w:r>
              <w:rPr>
                <w:rFonts w:hint="eastAsia" w:cstheme="minorEastAsia"/>
                <w:szCs w:val="21"/>
              </w:rPr>
              <w:t>南场界</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rPr>
              <w:t>5</w:t>
            </w:r>
            <w:r>
              <w:rPr>
                <w:rFonts w:hint="eastAsia"/>
                <w:kern w:val="0"/>
                <w:szCs w:val="21"/>
                <w:lang w:val="en-US" w:eastAsia="zh-CN"/>
              </w:rPr>
              <w:t>2.7</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39.0</w:t>
            </w:r>
          </w:p>
        </w:tc>
        <w:tc>
          <w:tcPr>
            <w:tcW w:w="1418"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52.1</w:t>
            </w:r>
          </w:p>
        </w:tc>
        <w:tc>
          <w:tcPr>
            <w:tcW w:w="1421"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42.4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250" w:type="pct"/>
            <w:tcBorders>
              <w:tl2br w:val="nil"/>
              <w:tr2bl w:val="nil"/>
            </w:tcBorders>
            <w:vAlign w:val="center"/>
          </w:tcPr>
          <w:p>
            <w:pPr>
              <w:jc w:val="center"/>
              <w:rPr>
                <w:kern w:val="0"/>
                <w:szCs w:val="21"/>
              </w:rPr>
            </w:pPr>
            <w:r>
              <w:rPr>
                <w:kern w:val="0"/>
                <w:szCs w:val="21"/>
              </w:rPr>
              <w:t>4</w:t>
            </w:r>
            <w:r>
              <w:rPr>
                <w:color w:val="000000"/>
                <w:szCs w:val="21"/>
              </w:rPr>
              <w:t>#</w:t>
            </w:r>
          </w:p>
        </w:tc>
        <w:tc>
          <w:tcPr>
            <w:tcW w:w="454" w:type="pct"/>
            <w:vMerge w:val="continue"/>
            <w:tcBorders>
              <w:tl2br w:val="nil"/>
              <w:tr2bl w:val="nil"/>
            </w:tcBorders>
            <w:shd w:val="clear" w:color="auto" w:fill="auto"/>
            <w:vAlign w:val="center"/>
          </w:tcPr>
          <w:p>
            <w:pPr>
              <w:jc w:val="center"/>
              <w:rPr>
                <w:b/>
                <w:bCs/>
                <w:i/>
                <w:iCs/>
                <w:kern w:val="0"/>
                <w:szCs w:val="21"/>
              </w:rPr>
            </w:pPr>
          </w:p>
        </w:tc>
        <w:tc>
          <w:tcPr>
            <w:tcW w:w="964" w:type="pct"/>
            <w:tcBorders>
              <w:tl2br w:val="nil"/>
              <w:tr2bl w:val="nil"/>
            </w:tcBorders>
            <w:shd w:val="clear" w:color="auto" w:fill="auto"/>
            <w:vAlign w:val="center"/>
          </w:tcPr>
          <w:p>
            <w:pPr>
              <w:widowControl/>
              <w:spacing w:line="240" w:lineRule="exact"/>
              <w:jc w:val="center"/>
              <w:rPr>
                <w:szCs w:val="21"/>
              </w:rPr>
            </w:pPr>
            <w:r>
              <w:rPr>
                <w:rFonts w:hint="eastAsia" w:cstheme="minorEastAsia"/>
                <w:szCs w:val="21"/>
              </w:rPr>
              <w:t>西场界</w:t>
            </w:r>
          </w:p>
        </w:tc>
        <w:tc>
          <w:tcPr>
            <w:tcW w:w="832" w:type="pct"/>
            <w:tcBorders>
              <w:tl2br w:val="nil"/>
              <w:tr2bl w:val="nil"/>
            </w:tcBorders>
            <w:shd w:val="clear" w:color="auto" w:fill="auto"/>
            <w:vAlign w:val="center"/>
          </w:tcPr>
          <w:p>
            <w:pPr>
              <w:jc w:val="center"/>
              <w:rPr>
                <w:rFonts w:hint="eastAsia" w:eastAsia="宋体"/>
                <w:kern w:val="0"/>
                <w:szCs w:val="21"/>
                <w:lang w:val="en-US" w:eastAsia="zh-CN"/>
              </w:rPr>
            </w:pPr>
            <w:r>
              <w:rPr>
                <w:rFonts w:hint="eastAsia"/>
                <w:kern w:val="0"/>
                <w:szCs w:val="21"/>
              </w:rPr>
              <w:t>54.</w:t>
            </w:r>
            <w:r>
              <w:rPr>
                <w:rFonts w:hint="eastAsia"/>
                <w:kern w:val="0"/>
                <w:szCs w:val="21"/>
                <w:lang w:val="en-US" w:eastAsia="zh-CN"/>
              </w:rPr>
              <w:t>0</w:t>
            </w:r>
          </w:p>
        </w:tc>
        <w:tc>
          <w:tcPr>
            <w:tcW w:w="832" w:type="pct"/>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41.8</w:t>
            </w:r>
          </w:p>
        </w:tc>
        <w:tc>
          <w:tcPr>
            <w:tcW w:w="1418"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53.6</w:t>
            </w:r>
          </w:p>
        </w:tc>
        <w:tc>
          <w:tcPr>
            <w:tcW w:w="1421" w:type="dxa"/>
            <w:tcBorders>
              <w:tl2br w:val="nil"/>
              <w:tr2bl w:val="nil"/>
            </w:tcBorders>
            <w:shd w:val="clear" w:color="auto" w:fill="auto"/>
            <w:vAlign w:val="center"/>
          </w:tcPr>
          <w:p>
            <w:pPr>
              <w:jc w:val="center"/>
              <w:rPr>
                <w:rFonts w:hint="default" w:eastAsia="宋体"/>
                <w:kern w:val="0"/>
                <w:szCs w:val="21"/>
                <w:lang w:val="en-US" w:eastAsia="zh-CN"/>
              </w:rPr>
            </w:pPr>
            <w:r>
              <w:rPr>
                <w:rFonts w:hint="eastAsia"/>
                <w:kern w:val="0"/>
                <w:szCs w:val="21"/>
                <w:lang w:val="en-US" w:eastAsia="zh-CN"/>
              </w:rPr>
              <w:t>43.4</w:t>
            </w:r>
          </w:p>
        </w:tc>
      </w:tr>
    </w:tbl>
    <w:p>
      <w:pPr>
        <w:spacing w:line="500" w:lineRule="exact"/>
        <w:ind w:firstLine="480" w:firstLineChars="200"/>
        <w:rPr>
          <w:sz w:val="24"/>
        </w:rPr>
      </w:pPr>
      <w:r>
        <w:rPr>
          <w:rFonts w:hint="eastAsia"/>
          <w:sz w:val="24"/>
        </w:rPr>
        <w:t>由监测结果可知，项目场界噪声均可满足《工业企业厂界环境噪声排放标准》（GB12348-2008）中2类标准限值要求，满足达标排放。</w:t>
      </w:r>
    </w:p>
    <w:p>
      <w:pPr>
        <w:spacing w:line="500" w:lineRule="exact"/>
        <w:ind w:firstLine="482" w:firstLineChars="200"/>
        <w:rPr>
          <w:b/>
          <w:sz w:val="24"/>
        </w:rPr>
      </w:pPr>
      <w:r>
        <w:rPr>
          <w:rFonts w:hint="eastAsia"/>
          <w:b/>
          <w:bCs/>
          <w:sz w:val="24"/>
        </w:rPr>
        <w:t>2</w:t>
      </w:r>
      <w:r>
        <w:rPr>
          <w:b/>
          <w:bCs/>
          <w:sz w:val="24"/>
        </w:rPr>
        <w:t>、</w:t>
      </w:r>
      <w:r>
        <w:rPr>
          <w:rFonts w:hint="eastAsia"/>
          <w:b/>
          <w:bCs/>
          <w:sz w:val="24"/>
        </w:rPr>
        <w:t>交通运输噪声影响分析</w:t>
      </w:r>
    </w:p>
    <w:p>
      <w:pPr>
        <w:spacing w:line="500" w:lineRule="exact"/>
        <w:ind w:firstLine="480" w:firstLineChars="200"/>
        <w:rPr>
          <w:sz w:val="24"/>
        </w:rPr>
      </w:pPr>
      <w:r>
        <w:rPr>
          <w:rFonts w:hint="eastAsia"/>
          <w:sz w:val="24"/>
        </w:rPr>
        <w:t>项目入场生活垃圾采用厢式压缩车进行运输，单车运输量约10～15t，运输车次平均约10车次/天，运输路线主要为“县城西城路—省道李东线（S325）—进场道路”，其中进场道路段长约</w:t>
      </w:r>
      <w:r>
        <w:rPr>
          <w:rFonts w:hint="eastAsia"/>
          <w:kern w:val="28"/>
          <w:sz w:val="24"/>
        </w:rPr>
        <w:t>约0.65km，两侧无居民村庄等敏感点分布，</w:t>
      </w:r>
      <w:r>
        <w:rPr>
          <w:rFonts w:hint="eastAsia"/>
          <w:sz w:val="24"/>
        </w:rPr>
        <w:t>省道李东线行驶距离约4.8km，两侧分布有北皇村、辛村村等村庄敏感点，省道李东线车流量较大，本项目厢式压缩车噪声源强相对较小，运输车次及频次相对均较少，非连续噪声源，且运输时间均集中在白天8小时工作时间内，本项目交通运输对不会明显改变其道路两侧声环境现状，对道路沿线居民村庄及临街住户影响较小。</w:t>
      </w:r>
    </w:p>
    <w:p>
      <w:pPr>
        <w:pStyle w:val="5"/>
        <w:spacing w:beforeLines="0" w:after="120"/>
        <w:rPr>
          <w:rFonts w:eastAsia="宋体"/>
          <w:b/>
          <w:bCs w:val="0"/>
          <w:color w:val="auto"/>
          <w:szCs w:val="30"/>
        </w:rPr>
      </w:pPr>
      <w:bookmarkStart w:id="154" w:name="_Toc501313128"/>
      <w:r>
        <w:rPr>
          <w:rFonts w:eastAsia="宋体"/>
          <w:b/>
          <w:bCs w:val="0"/>
          <w:color w:val="auto"/>
          <w:szCs w:val="30"/>
        </w:rPr>
        <w:t>5.</w:t>
      </w:r>
      <w:r>
        <w:rPr>
          <w:rFonts w:hint="eastAsia" w:eastAsia="宋体"/>
          <w:b/>
          <w:bCs w:val="0"/>
          <w:color w:val="auto"/>
          <w:szCs w:val="30"/>
        </w:rPr>
        <w:t>5固体废物环境影响评价</w:t>
      </w:r>
      <w:bookmarkEnd w:id="154"/>
    </w:p>
    <w:p>
      <w:pPr>
        <w:pStyle w:val="6"/>
        <w:spacing w:line="480" w:lineRule="exact"/>
      </w:pPr>
      <w:r>
        <w:t>5.</w:t>
      </w:r>
      <w:r>
        <w:rPr>
          <w:rFonts w:hint="eastAsia"/>
        </w:rPr>
        <w:t>5</w:t>
      </w:r>
      <w:r>
        <w:t xml:space="preserve">.1 </w:t>
      </w:r>
      <w:r>
        <w:rPr>
          <w:rFonts w:hint="eastAsia"/>
        </w:rPr>
        <w:t>施工期固体废物环境影响分析</w:t>
      </w:r>
    </w:p>
    <w:p>
      <w:pPr>
        <w:spacing w:line="500" w:lineRule="exact"/>
        <w:ind w:firstLine="480" w:firstLineChars="200"/>
        <w:rPr>
          <w:sz w:val="24"/>
        </w:rPr>
      </w:pPr>
      <w:r>
        <w:rPr>
          <w:rFonts w:hint="eastAsia"/>
          <w:sz w:val="24"/>
        </w:rPr>
        <w:t>项目施工期已结束，施工期固体废物主要为场地平整及清库工程等产生遗留的多余弃土方，约22万m</w:t>
      </w:r>
      <w:r>
        <w:rPr>
          <w:rFonts w:hint="eastAsia"/>
          <w:sz w:val="24"/>
          <w:vertAlign w:val="superscript"/>
        </w:rPr>
        <w:t>3</w:t>
      </w:r>
      <w:r>
        <w:rPr>
          <w:rFonts w:hint="eastAsia"/>
          <w:sz w:val="24"/>
        </w:rPr>
        <w:t>。上述弃土均在场内西南角空地进行临时堆存，其中其中9.335万m</w:t>
      </w:r>
      <w:r>
        <w:rPr>
          <w:rFonts w:hint="eastAsia"/>
          <w:sz w:val="24"/>
          <w:vertAlign w:val="superscript"/>
        </w:rPr>
        <w:t>3</w:t>
      </w:r>
      <w:r>
        <w:rPr>
          <w:rFonts w:hint="eastAsia"/>
          <w:sz w:val="24"/>
        </w:rPr>
        <w:t>回用于本项目场地填埋作业和封场用土，剩余12.665万m</w:t>
      </w:r>
      <w:r>
        <w:rPr>
          <w:rFonts w:hint="eastAsia"/>
          <w:sz w:val="24"/>
          <w:vertAlign w:val="superscript"/>
        </w:rPr>
        <w:t>3</w:t>
      </w:r>
      <w:r>
        <w:rPr>
          <w:rFonts w:hint="eastAsia"/>
          <w:sz w:val="24"/>
        </w:rPr>
        <w:t>由壶关县住房和城乡建设管理局进行综合调配，可以全部合理处置。</w:t>
      </w:r>
    </w:p>
    <w:p>
      <w:pPr>
        <w:pStyle w:val="6"/>
        <w:spacing w:line="480" w:lineRule="exact"/>
      </w:pPr>
      <w:r>
        <w:t>5.</w:t>
      </w:r>
      <w:r>
        <w:rPr>
          <w:rFonts w:hint="eastAsia"/>
        </w:rPr>
        <w:t>5</w:t>
      </w:r>
      <w:r>
        <w:t>.</w:t>
      </w:r>
      <w:r>
        <w:rPr>
          <w:rFonts w:hint="eastAsia"/>
        </w:rPr>
        <w:t>2运营期固体废物环境影响分析</w:t>
      </w:r>
    </w:p>
    <w:p>
      <w:pPr>
        <w:spacing w:line="500" w:lineRule="exact"/>
        <w:ind w:firstLine="480" w:firstLineChars="200"/>
        <w:rPr>
          <w:sz w:val="24"/>
        </w:rPr>
      </w:pPr>
      <w:r>
        <w:rPr>
          <w:rFonts w:hint="eastAsia"/>
          <w:sz w:val="24"/>
        </w:rPr>
        <w:t>项目为垃圾卫生填埋工程，运营产生的固废主要为渗滤液处理车间废水处理过程产生的部分滤渣及少量职工生活垃圾。</w:t>
      </w:r>
    </w:p>
    <w:p>
      <w:pPr>
        <w:spacing w:line="500" w:lineRule="exact"/>
        <w:ind w:firstLine="482" w:firstLineChars="200"/>
        <w:rPr>
          <w:sz w:val="24"/>
        </w:rPr>
      </w:pPr>
      <w:r>
        <w:rPr>
          <w:rFonts w:hint="eastAsia"/>
          <w:b/>
          <w:bCs/>
          <w:sz w:val="24"/>
        </w:rPr>
        <w:t>滤渣</w:t>
      </w:r>
      <w:r>
        <w:rPr>
          <w:rFonts w:hint="eastAsia"/>
          <w:sz w:val="24"/>
        </w:rPr>
        <w:t>：项目渗滤液处理车间处理工艺为“预处理+两级DTRO反渗透”，设计SS处理率大于99%，其处理过程中将会产生一定量的过滤渣，项目年废水处理量约7876.7m</w:t>
      </w:r>
      <w:r>
        <w:rPr>
          <w:rFonts w:hint="eastAsia"/>
          <w:sz w:val="24"/>
          <w:vertAlign w:val="superscript"/>
        </w:rPr>
        <w:t>3</w:t>
      </w:r>
      <w:r>
        <w:rPr>
          <w:rFonts w:hint="eastAsia"/>
          <w:sz w:val="24"/>
        </w:rPr>
        <w:t>，滤渣产生量约1.18t/a，性质较为简单，均送至场内库区进行填埋处置。</w:t>
      </w:r>
    </w:p>
    <w:p>
      <w:pPr>
        <w:spacing w:line="500" w:lineRule="exact"/>
        <w:ind w:firstLine="482" w:firstLineChars="200"/>
        <w:rPr>
          <w:sz w:val="24"/>
        </w:rPr>
      </w:pPr>
      <w:r>
        <w:rPr>
          <w:rFonts w:hint="eastAsia"/>
          <w:b/>
          <w:bCs/>
          <w:sz w:val="24"/>
        </w:rPr>
        <w:t>职工生活垃圾</w:t>
      </w:r>
      <w:r>
        <w:rPr>
          <w:rFonts w:hint="eastAsia"/>
          <w:sz w:val="24"/>
        </w:rPr>
        <w:t>：场内劳动定员11人，生活垃圾产生量约3.65t/a，场内设密闭垃圾桶，经收集后送至场内库区进行填埋处置。</w:t>
      </w:r>
    </w:p>
    <w:p>
      <w:pPr>
        <w:spacing w:line="500" w:lineRule="exact"/>
        <w:ind w:firstLine="482" w:firstLineChars="200"/>
      </w:pPr>
      <w:r>
        <w:rPr>
          <w:rFonts w:hint="eastAsia"/>
          <w:b/>
          <w:bCs/>
          <w:sz w:val="24"/>
        </w:rPr>
        <w:t>粪渣：</w:t>
      </w:r>
      <w:r>
        <w:rPr>
          <w:rFonts w:hint="eastAsia"/>
          <w:sz w:val="24"/>
        </w:rPr>
        <w:t>场区办公生活区设化粪池1个，粪渣产生量按照0.2Kg/人·d计算，产生量约0.8t/a，由县城环卫部门定期清掏，妥善处置后用于农田施肥。</w:t>
      </w:r>
    </w:p>
    <w:p>
      <w:pPr>
        <w:spacing w:line="480" w:lineRule="exact"/>
        <w:ind w:firstLine="496" w:firstLineChars="200"/>
        <w:jc w:val="left"/>
        <w:rPr>
          <w:color w:val="FF0000"/>
          <w:spacing w:val="4"/>
          <w:sz w:val="24"/>
          <w:lang w:val="zh-CN"/>
        </w:rPr>
      </w:pPr>
      <w:r>
        <w:rPr>
          <w:spacing w:val="4"/>
          <w:sz w:val="24"/>
          <w:lang w:val="zh-CN"/>
        </w:rPr>
        <w:t>项目</w:t>
      </w:r>
      <w:r>
        <w:rPr>
          <w:rFonts w:hint="eastAsia"/>
          <w:spacing w:val="4"/>
          <w:sz w:val="24"/>
          <w:lang w:val="zh-CN"/>
        </w:rPr>
        <w:t>运营过程产生的固废种类和数量较少，</w:t>
      </w:r>
      <w:r>
        <w:rPr>
          <w:spacing w:val="4"/>
          <w:sz w:val="24"/>
          <w:lang w:val="zh-CN"/>
        </w:rPr>
        <w:t>均</w:t>
      </w:r>
      <w:r>
        <w:rPr>
          <w:rFonts w:hint="eastAsia"/>
          <w:spacing w:val="4"/>
          <w:sz w:val="24"/>
          <w:lang w:val="zh-CN"/>
        </w:rPr>
        <w:t>可</w:t>
      </w:r>
      <w:r>
        <w:rPr>
          <w:spacing w:val="4"/>
          <w:sz w:val="24"/>
          <w:lang w:val="zh-CN"/>
        </w:rPr>
        <w:t>得到妥善有效处置，对周围环境影响</w:t>
      </w:r>
      <w:r>
        <w:rPr>
          <w:rFonts w:hint="eastAsia"/>
          <w:spacing w:val="4"/>
          <w:sz w:val="24"/>
          <w:lang w:val="zh-CN"/>
        </w:rPr>
        <w:t>较小</w:t>
      </w:r>
      <w:r>
        <w:rPr>
          <w:spacing w:val="4"/>
          <w:sz w:val="24"/>
          <w:lang w:val="zh-CN"/>
        </w:rPr>
        <w:t>。</w:t>
      </w:r>
    </w:p>
    <w:p>
      <w:pPr>
        <w:pStyle w:val="5"/>
        <w:spacing w:beforeLines="0" w:after="120" w:line="500" w:lineRule="exact"/>
        <w:rPr>
          <w:rFonts w:eastAsia="宋体"/>
          <w:b/>
          <w:bCs w:val="0"/>
          <w:color w:val="auto"/>
          <w:szCs w:val="30"/>
        </w:rPr>
      </w:pPr>
      <w:bookmarkStart w:id="155" w:name="_Toc817121426"/>
      <w:r>
        <w:rPr>
          <w:rFonts w:eastAsia="宋体"/>
          <w:b/>
          <w:bCs w:val="0"/>
          <w:color w:val="auto"/>
          <w:szCs w:val="30"/>
        </w:rPr>
        <w:t>5.</w:t>
      </w:r>
      <w:r>
        <w:rPr>
          <w:rFonts w:hint="eastAsia" w:eastAsia="宋体"/>
          <w:b/>
          <w:bCs w:val="0"/>
          <w:color w:val="auto"/>
          <w:szCs w:val="30"/>
        </w:rPr>
        <w:t>6生态环境影响评价</w:t>
      </w:r>
      <w:bookmarkEnd w:id="155"/>
    </w:p>
    <w:p>
      <w:pPr>
        <w:spacing w:line="500" w:lineRule="exact"/>
        <w:ind w:firstLine="482" w:firstLineChars="200"/>
        <w:rPr>
          <w:b/>
          <w:bCs/>
          <w:sz w:val="24"/>
        </w:rPr>
      </w:pPr>
      <w:r>
        <w:rPr>
          <w:rFonts w:hint="eastAsia"/>
          <w:b/>
          <w:bCs/>
          <w:sz w:val="24"/>
        </w:rPr>
        <w:t>1</w:t>
      </w:r>
      <w:r>
        <w:rPr>
          <w:b/>
          <w:bCs/>
          <w:sz w:val="24"/>
        </w:rPr>
        <w:t>、</w:t>
      </w:r>
      <w:r>
        <w:rPr>
          <w:rFonts w:hint="eastAsia"/>
          <w:b/>
          <w:bCs/>
          <w:sz w:val="24"/>
        </w:rPr>
        <w:t>对区域景观的影响</w:t>
      </w:r>
    </w:p>
    <w:p>
      <w:pPr>
        <w:spacing w:line="500" w:lineRule="exact"/>
        <w:ind w:firstLine="496" w:firstLineChars="200"/>
        <w:jc w:val="left"/>
        <w:rPr>
          <w:spacing w:val="4"/>
          <w:sz w:val="24"/>
          <w:lang w:val="zh-CN"/>
        </w:rPr>
      </w:pPr>
      <w:r>
        <w:rPr>
          <w:rFonts w:hint="eastAsia"/>
          <w:spacing w:val="4"/>
          <w:sz w:val="24"/>
          <w:lang w:val="zh-CN"/>
        </w:rPr>
        <w:t>项目建设将改变区域的景观组成，主要表现在填埋场覆盖的改变，道路及辅助设施等建构筑物的修建，把原来以农田植被为主的自然景观变成完全人工景观，填埋气可能与周边景观产生一定的不协调和视觉影响，但随着场地封场后生态恢复，上述影响将逐渐减弱和消失。</w:t>
      </w:r>
    </w:p>
    <w:p>
      <w:pPr>
        <w:spacing w:line="500" w:lineRule="exact"/>
        <w:ind w:firstLine="482" w:firstLineChars="200"/>
        <w:rPr>
          <w:b/>
          <w:bCs/>
          <w:sz w:val="24"/>
        </w:rPr>
      </w:pPr>
      <w:r>
        <w:rPr>
          <w:rFonts w:hint="eastAsia"/>
          <w:b/>
          <w:bCs/>
          <w:sz w:val="24"/>
        </w:rPr>
        <w:t>2</w:t>
      </w:r>
      <w:r>
        <w:rPr>
          <w:b/>
          <w:bCs/>
          <w:sz w:val="24"/>
        </w:rPr>
        <w:t>、</w:t>
      </w:r>
      <w:r>
        <w:rPr>
          <w:rFonts w:hint="eastAsia"/>
          <w:b/>
          <w:bCs/>
          <w:sz w:val="24"/>
        </w:rPr>
        <w:t>对区域植被的影响</w:t>
      </w:r>
    </w:p>
    <w:p>
      <w:pPr>
        <w:spacing w:line="500" w:lineRule="exact"/>
        <w:ind w:firstLine="482" w:firstLineChars="200"/>
        <w:jc w:val="left"/>
        <w:rPr>
          <w:b/>
          <w:bCs/>
          <w:sz w:val="24"/>
        </w:rPr>
      </w:pPr>
      <w:r>
        <w:rPr>
          <w:b/>
          <w:bCs/>
          <w:sz w:val="24"/>
        </w:rPr>
        <w:t>（</w:t>
      </w:r>
      <w:r>
        <w:rPr>
          <w:rFonts w:hint="eastAsia"/>
          <w:b/>
          <w:bCs/>
          <w:sz w:val="24"/>
        </w:rPr>
        <w:t>1</w:t>
      </w:r>
      <w:r>
        <w:rPr>
          <w:b/>
          <w:bCs/>
          <w:sz w:val="24"/>
        </w:rPr>
        <w:t>）</w:t>
      </w:r>
      <w:r>
        <w:rPr>
          <w:rFonts w:hint="eastAsia"/>
          <w:b/>
          <w:bCs/>
          <w:sz w:val="24"/>
        </w:rPr>
        <w:t>对区域植被的影响</w:t>
      </w:r>
    </w:p>
    <w:p>
      <w:pPr>
        <w:spacing w:line="500" w:lineRule="exact"/>
        <w:ind w:firstLine="496" w:firstLineChars="200"/>
        <w:jc w:val="left"/>
        <w:rPr>
          <w:color w:val="FF0000"/>
          <w:spacing w:val="4"/>
          <w:sz w:val="24"/>
        </w:rPr>
      </w:pPr>
      <w:r>
        <w:rPr>
          <w:rFonts w:hint="eastAsia"/>
          <w:spacing w:val="4"/>
          <w:sz w:val="24"/>
          <w:lang w:val="zh-CN"/>
        </w:rPr>
        <w:t>项目场地面积约</w:t>
      </w:r>
      <w:r>
        <w:rPr>
          <w:sz w:val="24"/>
        </w:rPr>
        <w:t>53397.44</w:t>
      </w:r>
      <w:r>
        <w:rPr>
          <w:rFonts w:hint="eastAsia"/>
          <w:sz w:val="24"/>
        </w:rPr>
        <w:t>m</w:t>
      </w:r>
      <w:r>
        <w:rPr>
          <w:rFonts w:hint="eastAsia"/>
          <w:sz w:val="24"/>
          <w:vertAlign w:val="superscript"/>
        </w:rPr>
        <w:t>2</w:t>
      </w:r>
      <w:r>
        <w:rPr>
          <w:rFonts w:hint="eastAsia"/>
          <w:sz w:val="24"/>
        </w:rPr>
        <w:t>，原有植被主要为农田及绣线菊、白羊草等灌草丛，项目占地填埋将导致上述植被被破坏损失，但场地原有植被均为区域常见类型，且相对于周边整体区域，上述植被损失量占比较小，不会改变区域整体生态环境功能，另外，上述植被破坏属暂时性的，随着封场后生态恢复，场地地表植被也将逐渐得到恢复和改善。</w:t>
      </w:r>
    </w:p>
    <w:p>
      <w:pPr>
        <w:spacing w:line="500" w:lineRule="exact"/>
        <w:ind w:firstLine="482" w:firstLineChars="200"/>
        <w:jc w:val="left"/>
        <w:rPr>
          <w:b/>
          <w:bCs/>
          <w:sz w:val="24"/>
        </w:rPr>
      </w:pPr>
      <w:r>
        <w:rPr>
          <w:b/>
          <w:bCs/>
          <w:sz w:val="24"/>
        </w:rPr>
        <w:t>（</w:t>
      </w:r>
      <w:r>
        <w:rPr>
          <w:rFonts w:hint="eastAsia"/>
          <w:b/>
          <w:bCs/>
          <w:sz w:val="24"/>
        </w:rPr>
        <w:t>2</w:t>
      </w:r>
      <w:r>
        <w:rPr>
          <w:b/>
          <w:bCs/>
          <w:sz w:val="24"/>
        </w:rPr>
        <w:t>）</w:t>
      </w:r>
      <w:r>
        <w:rPr>
          <w:rFonts w:hint="eastAsia"/>
          <w:b/>
          <w:bCs/>
          <w:sz w:val="24"/>
        </w:rPr>
        <w:t>对周边农田及土壤的影响</w:t>
      </w:r>
    </w:p>
    <w:p>
      <w:pPr>
        <w:spacing w:line="500" w:lineRule="exact"/>
        <w:ind w:firstLine="496" w:firstLineChars="200"/>
        <w:jc w:val="left"/>
        <w:rPr>
          <w:color w:val="FF0000"/>
          <w:spacing w:val="4"/>
          <w:sz w:val="24"/>
          <w:lang w:val="zh-CN"/>
        </w:rPr>
      </w:pPr>
      <w:r>
        <w:rPr>
          <w:rFonts w:hint="eastAsia"/>
          <w:spacing w:val="4"/>
          <w:sz w:val="24"/>
          <w:lang w:val="zh-CN"/>
        </w:rPr>
        <w:t>项目填埋过程中粉尘排放随大气扩散后在一定距离内沉降，而降尘的主要承接面是土壤和植物，粉尘降落后参与土壤的理化过程，被植物叶片截留后，会堵塞叶片气孔，降低植物的呼吸作用和光合作用，影响农作物的正常生长，可能导致作物产量和品质的下降，本项目粉尘量相对较少，在严格落实评价提出的各抑尘措施后，对周边农田及土壤的影响相对较小。</w:t>
      </w:r>
    </w:p>
    <w:p>
      <w:pPr>
        <w:spacing w:line="500" w:lineRule="exact"/>
        <w:ind w:firstLine="482" w:firstLineChars="200"/>
        <w:rPr>
          <w:b/>
          <w:bCs/>
          <w:sz w:val="24"/>
        </w:rPr>
      </w:pPr>
      <w:r>
        <w:rPr>
          <w:rFonts w:hint="eastAsia"/>
          <w:b/>
          <w:bCs/>
          <w:sz w:val="24"/>
        </w:rPr>
        <w:t>3</w:t>
      </w:r>
      <w:r>
        <w:rPr>
          <w:b/>
          <w:bCs/>
          <w:sz w:val="24"/>
        </w:rPr>
        <w:t>、</w:t>
      </w:r>
      <w:r>
        <w:rPr>
          <w:rFonts w:hint="eastAsia"/>
          <w:b/>
          <w:bCs/>
          <w:sz w:val="24"/>
        </w:rPr>
        <w:t>对区域动物的影响</w:t>
      </w:r>
    </w:p>
    <w:p>
      <w:pPr>
        <w:spacing w:line="500" w:lineRule="exact"/>
        <w:ind w:firstLine="496" w:firstLineChars="200"/>
        <w:rPr>
          <w:sz w:val="24"/>
        </w:rPr>
      </w:pPr>
      <w:r>
        <w:rPr>
          <w:rFonts w:hint="eastAsia"/>
          <w:spacing w:val="4"/>
          <w:sz w:val="24"/>
          <w:lang w:val="zh-CN"/>
        </w:rPr>
        <w:t>受工业发展、人类活动等影响，区域野生动物种类主要为鸟类（麻雀、喜鹊等）与昆虫（蝉、蝴蝶、蚂蚱等），大型及爬行动物很少，亦无珍稀、濒危野生动植物分布，项目对区域动物的影响主要为垃圾填埋为蚊蝇的生存和繁殖提供了有利条件和场所，可能导致蚊蝇滋扰，因此，场地运营过程中应</w:t>
      </w:r>
      <w:r>
        <w:rPr>
          <w:rFonts w:hint="eastAsia"/>
          <w:sz w:val="24"/>
        </w:rPr>
        <w:t>科学作业，及时喷洒药物，</w:t>
      </w:r>
      <w:r>
        <w:rPr>
          <w:sz w:val="24"/>
        </w:rPr>
        <w:t>对蚊蝇实行分季度、有重点的杀灭成虫</w:t>
      </w:r>
      <w:r>
        <w:rPr>
          <w:rFonts w:hint="eastAsia"/>
          <w:sz w:val="24"/>
        </w:rPr>
        <w:t>，</w:t>
      </w:r>
      <w:r>
        <w:rPr>
          <w:sz w:val="24"/>
        </w:rPr>
        <w:t>控制蚊蝇世代繁殖，减少蚊蝇和鼠类繁殖。</w:t>
      </w:r>
    </w:p>
    <w:p>
      <w:pPr>
        <w:spacing w:line="500" w:lineRule="exact"/>
        <w:ind w:firstLine="482" w:firstLineChars="200"/>
        <w:rPr>
          <w:b/>
          <w:bCs/>
          <w:sz w:val="24"/>
        </w:rPr>
      </w:pPr>
      <w:r>
        <w:rPr>
          <w:rFonts w:hint="eastAsia"/>
          <w:b/>
          <w:bCs/>
          <w:sz w:val="24"/>
        </w:rPr>
        <w:t>4</w:t>
      </w:r>
      <w:r>
        <w:rPr>
          <w:b/>
          <w:bCs/>
          <w:sz w:val="24"/>
        </w:rPr>
        <w:t>、</w:t>
      </w:r>
      <w:r>
        <w:rPr>
          <w:rFonts w:hint="eastAsia"/>
          <w:b/>
          <w:bCs/>
          <w:sz w:val="24"/>
        </w:rPr>
        <w:t>临时堆土场影响</w:t>
      </w:r>
    </w:p>
    <w:p>
      <w:pPr>
        <w:spacing w:line="500" w:lineRule="exact"/>
        <w:ind w:firstLine="496" w:firstLineChars="200"/>
        <w:jc w:val="left"/>
        <w:rPr>
          <w:color w:val="FF0000"/>
          <w:spacing w:val="4"/>
          <w:sz w:val="24"/>
        </w:rPr>
      </w:pPr>
      <w:r>
        <w:rPr>
          <w:rFonts w:hint="eastAsia"/>
          <w:spacing w:val="4"/>
          <w:sz w:val="24"/>
          <w:lang w:val="zh-CN"/>
        </w:rPr>
        <w:t>项目</w:t>
      </w:r>
      <w:r>
        <w:rPr>
          <w:rFonts w:hint="eastAsia"/>
          <w:sz w:val="24"/>
        </w:rPr>
        <w:t>施工过程中场地平整及清库工程等遗留约22万m</w:t>
      </w:r>
      <w:r>
        <w:rPr>
          <w:rFonts w:hint="eastAsia"/>
          <w:sz w:val="24"/>
          <w:vertAlign w:val="superscript"/>
        </w:rPr>
        <w:t>3</w:t>
      </w:r>
      <w:r>
        <w:rPr>
          <w:rFonts w:hint="eastAsia"/>
          <w:sz w:val="24"/>
        </w:rPr>
        <w:t>多余弃土方，均在场内西南角空地进行临时堆存，如不妥善管理将会产生水土流失问题，因此，针对上述临时堆土场，需采取以下防治措施：土堆应按要求进行整形，对边坡及坡脚进行防护，周边设临时截排水沟，土堆表面进行覆盖或播撒草籽等，在落实上述措施后，项目临时堆土场水土流失影响相对较小。</w:t>
      </w:r>
    </w:p>
    <w:p>
      <w:pPr>
        <w:spacing w:line="500" w:lineRule="exact"/>
        <w:ind w:firstLine="482" w:firstLineChars="200"/>
        <w:rPr>
          <w:b/>
          <w:bCs/>
          <w:sz w:val="24"/>
        </w:rPr>
      </w:pPr>
      <w:r>
        <w:rPr>
          <w:rFonts w:hint="eastAsia"/>
          <w:b/>
          <w:bCs/>
          <w:sz w:val="24"/>
        </w:rPr>
        <w:t>5</w:t>
      </w:r>
      <w:r>
        <w:rPr>
          <w:b/>
          <w:bCs/>
          <w:sz w:val="24"/>
        </w:rPr>
        <w:t>、</w:t>
      </w:r>
      <w:r>
        <w:rPr>
          <w:rFonts w:hint="eastAsia"/>
          <w:b/>
          <w:bCs/>
          <w:sz w:val="24"/>
        </w:rPr>
        <w:t>生态恢复措施</w:t>
      </w:r>
    </w:p>
    <w:p>
      <w:pPr>
        <w:spacing w:line="500" w:lineRule="exact"/>
        <w:ind w:firstLine="496" w:firstLineChars="200"/>
        <w:jc w:val="left"/>
        <w:rPr>
          <w:spacing w:val="4"/>
          <w:sz w:val="24"/>
          <w:lang w:val="zh-CN"/>
        </w:rPr>
      </w:pPr>
      <w:r>
        <w:rPr>
          <w:rFonts w:hint="eastAsia"/>
          <w:spacing w:val="4"/>
          <w:sz w:val="24"/>
          <w:lang w:val="zh-CN"/>
        </w:rPr>
        <w:t>项目场地填埋结束后应进行封场工程和生态恢复，并根据区域气候、植被分布、植物特性等自然条件及经济状况确定封场后场地植被恢复方案，评价主要提出以下生态恢复措施建议：</w:t>
      </w:r>
    </w:p>
    <w:p>
      <w:pPr>
        <w:spacing w:line="500" w:lineRule="exact"/>
        <w:ind w:firstLine="480" w:firstLineChars="200"/>
        <w:jc w:val="left"/>
        <w:rPr>
          <w:sz w:val="24"/>
        </w:rPr>
      </w:pPr>
      <w:r>
        <w:rPr>
          <w:sz w:val="24"/>
        </w:rPr>
        <w:t>（</w:t>
      </w:r>
      <w:r>
        <w:rPr>
          <w:rFonts w:hint="eastAsia"/>
          <w:sz w:val="24"/>
        </w:rPr>
        <w:t>1</w:t>
      </w:r>
      <w:r>
        <w:rPr>
          <w:sz w:val="24"/>
        </w:rPr>
        <w:t>）</w:t>
      </w:r>
      <w:r>
        <w:rPr>
          <w:rFonts w:hint="eastAsia"/>
          <w:sz w:val="24"/>
        </w:rPr>
        <w:t>结合区域气候、植被分布、植物特性等自然条件及经济状况制定本项目封场后土地复垦总体规划和场地植被恢复方案，提出实施的具体要求。</w:t>
      </w:r>
    </w:p>
    <w:p>
      <w:pPr>
        <w:spacing w:line="500" w:lineRule="exact"/>
        <w:ind w:firstLine="480" w:firstLineChars="200"/>
        <w:jc w:val="left"/>
        <w:rPr>
          <w:sz w:val="24"/>
        </w:rPr>
      </w:pPr>
      <w:r>
        <w:rPr>
          <w:sz w:val="24"/>
        </w:rPr>
        <w:t>（</w:t>
      </w:r>
      <w:r>
        <w:rPr>
          <w:rFonts w:hint="eastAsia"/>
          <w:sz w:val="24"/>
        </w:rPr>
        <w:t>2</w:t>
      </w:r>
      <w:r>
        <w:rPr>
          <w:sz w:val="24"/>
        </w:rPr>
        <w:t>）</w:t>
      </w:r>
      <w:r>
        <w:rPr>
          <w:rFonts w:hint="eastAsia"/>
          <w:sz w:val="24"/>
        </w:rPr>
        <w:t>垃圾填埋场封场初期由于沉降不均与沉陷，需对垃圾堆体进行维护稳定，避免垃圾流失并美化环境。</w:t>
      </w:r>
    </w:p>
    <w:p>
      <w:pPr>
        <w:spacing w:line="500" w:lineRule="exact"/>
        <w:ind w:firstLine="480" w:firstLineChars="200"/>
        <w:jc w:val="left"/>
        <w:rPr>
          <w:sz w:val="24"/>
        </w:rPr>
      </w:pPr>
      <w:r>
        <w:rPr>
          <w:sz w:val="24"/>
        </w:rPr>
        <w:t>（</w:t>
      </w:r>
      <w:r>
        <w:rPr>
          <w:rFonts w:hint="eastAsia"/>
          <w:sz w:val="24"/>
        </w:rPr>
        <w:t>3</w:t>
      </w:r>
      <w:r>
        <w:rPr>
          <w:sz w:val="24"/>
        </w:rPr>
        <w:t>）</w:t>
      </w:r>
      <w:r>
        <w:rPr>
          <w:rFonts w:hint="eastAsia"/>
          <w:sz w:val="24"/>
        </w:rPr>
        <w:t>填埋场终场植被恢复应采取分区边填埋边恢复的方针，植物配置宜与周围景观和封场后土地利用规划相协调，遵循先绿后好的原则，先种植宜生存的草本植物，通过植物根系对土壤进行改善，为灌木、乔木的生长创造条件，待草本群落较稳定时，种植灌木和乔木，逐渐引入生态效应和观赏性更高的植物类群，提高场地的多样性和系统稳定性。垃圾填埋场生长环境恶劣，终场后垃圾堆体中不断放散出填埋气且堆体的温度较高，植被种类宜选择抗逆性强又耐干旱、耐贫瘠、易管护的类型。另外，场地植被恢复应防止植物根系对封场土工膜的损害。</w:t>
      </w:r>
    </w:p>
    <w:p>
      <w:pPr>
        <w:spacing w:line="500" w:lineRule="exact"/>
        <w:ind w:firstLine="480" w:firstLineChars="200"/>
        <w:jc w:val="left"/>
        <w:rPr>
          <w:sz w:val="24"/>
        </w:rPr>
      </w:pPr>
      <w:r>
        <w:rPr>
          <w:sz w:val="24"/>
        </w:rPr>
        <w:t>（</w:t>
      </w:r>
      <w:r>
        <w:rPr>
          <w:rFonts w:hint="eastAsia"/>
          <w:sz w:val="24"/>
        </w:rPr>
        <w:t>4</w:t>
      </w:r>
      <w:r>
        <w:rPr>
          <w:sz w:val="24"/>
        </w:rPr>
        <w:t>）</w:t>
      </w:r>
      <w:r>
        <w:rPr>
          <w:rFonts w:hint="eastAsia"/>
          <w:sz w:val="24"/>
        </w:rPr>
        <w:t>临时堆土场土方进行科学合理调配，避免长期堆存，场地覆土结束后，及时对堆土场地进行生态绿化恢复。</w:t>
      </w:r>
    </w:p>
    <w:p>
      <w:pPr>
        <w:pStyle w:val="5"/>
        <w:spacing w:beforeLines="0" w:after="120" w:line="500" w:lineRule="exact"/>
        <w:rPr>
          <w:rFonts w:eastAsia="宋体"/>
          <w:b/>
          <w:bCs w:val="0"/>
          <w:color w:val="auto"/>
          <w:szCs w:val="30"/>
        </w:rPr>
      </w:pPr>
      <w:bookmarkStart w:id="156" w:name="_Toc2102006670"/>
      <w:r>
        <w:rPr>
          <w:rFonts w:eastAsia="宋体"/>
          <w:b/>
          <w:bCs w:val="0"/>
          <w:color w:val="auto"/>
          <w:szCs w:val="30"/>
        </w:rPr>
        <w:t>5.</w:t>
      </w:r>
      <w:r>
        <w:rPr>
          <w:rFonts w:hint="eastAsia" w:eastAsia="宋体"/>
          <w:b/>
          <w:bCs w:val="0"/>
          <w:color w:val="auto"/>
          <w:szCs w:val="30"/>
        </w:rPr>
        <w:t>7土壤环境影响预测与评价</w:t>
      </w:r>
      <w:bookmarkEnd w:id="156"/>
    </w:p>
    <w:p>
      <w:pPr>
        <w:spacing w:line="500" w:lineRule="exact"/>
        <w:ind w:firstLine="482" w:firstLineChars="200"/>
        <w:rPr>
          <w:b/>
          <w:bCs/>
          <w:sz w:val="24"/>
          <w:szCs w:val="20"/>
        </w:rPr>
      </w:pPr>
      <w:r>
        <w:rPr>
          <w:rFonts w:hint="eastAsia"/>
          <w:b/>
          <w:bCs/>
          <w:sz w:val="24"/>
          <w:szCs w:val="20"/>
        </w:rPr>
        <w:t>1、预测情景与预测因子识别</w:t>
      </w:r>
    </w:p>
    <w:p>
      <w:pPr>
        <w:spacing w:line="500" w:lineRule="exact"/>
        <w:ind w:firstLine="480" w:firstLineChars="200"/>
        <w:rPr>
          <w:sz w:val="24"/>
          <w:szCs w:val="20"/>
        </w:rPr>
      </w:pPr>
      <w:r>
        <w:rPr>
          <w:rFonts w:hint="eastAsia"/>
          <w:sz w:val="24"/>
          <w:szCs w:val="20"/>
        </w:rPr>
        <w:t>正常情况下项目场内渗滤液及职工生活、洗车废水均进入调节池和渗滤液处理车间进行处理，达标后全部回用场地及县城道路洒水及绿化等，无外排废水，不会对土壤环境产生污染影响。本项目主要考虑非正常工况下，场地防渗膜发生破裂后，库区垃圾渗滤液可能出现垂直下渗对土壤环境产生的影响。</w:t>
      </w:r>
    </w:p>
    <w:p>
      <w:pPr>
        <w:pStyle w:val="10"/>
        <w:spacing w:line="500" w:lineRule="exact"/>
        <w:ind w:firstLine="0" w:firstLineChars="0"/>
        <w:jc w:val="center"/>
        <w:rPr>
          <w:b/>
          <w:bCs/>
          <w:sz w:val="24"/>
          <w:szCs w:val="24"/>
        </w:rPr>
      </w:pPr>
      <w:r>
        <w:rPr>
          <w:b/>
          <w:bCs/>
          <w:sz w:val="24"/>
          <w:szCs w:val="24"/>
        </w:rPr>
        <w:t>表5.</w:t>
      </w:r>
      <w:r>
        <w:rPr>
          <w:rFonts w:hint="eastAsia"/>
          <w:b/>
          <w:bCs/>
          <w:sz w:val="24"/>
          <w:szCs w:val="24"/>
        </w:rPr>
        <w:t>7</w:t>
      </w:r>
      <w:r>
        <w:rPr>
          <w:b/>
          <w:bCs/>
          <w:sz w:val="24"/>
          <w:szCs w:val="24"/>
        </w:rPr>
        <w:t>-1 项目土壤影响类型与影响途径表</w:t>
      </w:r>
    </w:p>
    <w:tbl>
      <w:tblPr>
        <w:tblStyle w:val="30"/>
        <w:tblW w:w="8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710"/>
        <w:gridCol w:w="1710"/>
        <w:gridCol w:w="1711"/>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710" w:type="dxa"/>
            <w:vMerge w:val="restart"/>
            <w:vAlign w:val="center"/>
          </w:tcPr>
          <w:p>
            <w:pPr>
              <w:adjustRightInd w:val="0"/>
              <w:snapToGrid w:val="0"/>
              <w:spacing w:line="300" w:lineRule="exact"/>
              <w:jc w:val="center"/>
              <w:rPr>
                <w:b/>
                <w:bCs/>
                <w:kern w:val="0"/>
                <w:szCs w:val="21"/>
              </w:rPr>
            </w:pPr>
            <w:r>
              <w:rPr>
                <w:b/>
                <w:bCs/>
                <w:kern w:val="0"/>
                <w:szCs w:val="21"/>
              </w:rPr>
              <w:t>时段</w:t>
            </w:r>
          </w:p>
        </w:tc>
        <w:tc>
          <w:tcPr>
            <w:tcW w:w="6842" w:type="dxa"/>
            <w:gridSpan w:val="4"/>
            <w:vAlign w:val="center"/>
          </w:tcPr>
          <w:p>
            <w:pPr>
              <w:adjustRightInd w:val="0"/>
              <w:snapToGrid w:val="0"/>
              <w:spacing w:line="300" w:lineRule="exact"/>
              <w:jc w:val="center"/>
              <w:rPr>
                <w:b/>
                <w:bCs/>
                <w:kern w:val="0"/>
                <w:szCs w:val="21"/>
              </w:rPr>
            </w:pPr>
            <w:r>
              <w:rPr>
                <w:b/>
                <w:bCs/>
                <w:kern w:val="0"/>
                <w:szCs w:val="21"/>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trPr>
        <w:tc>
          <w:tcPr>
            <w:tcW w:w="1710" w:type="dxa"/>
            <w:vMerge w:val="continue"/>
            <w:vAlign w:val="center"/>
          </w:tcPr>
          <w:p>
            <w:pPr>
              <w:adjustRightInd w:val="0"/>
              <w:snapToGrid w:val="0"/>
              <w:spacing w:line="300" w:lineRule="exact"/>
              <w:jc w:val="center"/>
              <w:rPr>
                <w:b/>
                <w:bCs/>
                <w:kern w:val="0"/>
                <w:szCs w:val="21"/>
              </w:rPr>
            </w:pPr>
          </w:p>
        </w:tc>
        <w:tc>
          <w:tcPr>
            <w:tcW w:w="1710" w:type="dxa"/>
            <w:vAlign w:val="center"/>
          </w:tcPr>
          <w:p>
            <w:pPr>
              <w:adjustRightInd w:val="0"/>
              <w:snapToGrid w:val="0"/>
              <w:spacing w:line="300" w:lineRule="exact"/>
              <w:jc w:val="center"/>
              <w:rPr>
                <w:b/>
                <w:bCs/>
                <w:kern w:val="0"/>
                <w:szCs w:val="21"/>
              </w:rPr>
            </w:pPr>
            <w:r>
              <w:rPr>
                <w:b/>
                <w:bCs/>
                <w:kern w:val="0"/>
                <w:szCs w:val="21"/>
              </w:rPr>
              <w:t>大气沉降</w:t>
            </w:r>
          </w:p>
        </w:tc>
        <w:tc>
          <w:tcPr>
            <w:tcW w:w="1710" w:type="dxa"/>
            <w:vAlign w:val="center"/>
          </w:tcPr>
          <w:p>
            <w:pPr>
              <w:adjustRightInd w:val="0"/>
              <w:snapToGrid w:val="0"/>
              <w:spacing w:line="300" w:lineRule="exact"/>
              <w:jc w:val="center"/>
              <w:rPr>
                <w:b/>
                <w:bCs/>
                <w:kern w:val="0"/>
                <w:szCs w:val="21"/>
              </w:rPr>
            </w:pPr>
            <w:r>
              <w:rPr>
                <w:b/>
                <w:bCs/>
                <w:kern w:val="0"/>
                <w:szCs w:val="21"/>
              </w:rPr>
              <w:t>地表漫流</w:t>
            </w:r>
          </w:p>
        </w:tc>
        <w:tc>
          <w:tcPr>
            <w:tcW w:w="1711" w:type="dxa"/>
            <w:vAlign w:val="center"/>
          </w:tcPr>
          <w:p>
            <w:pPr>
              <w:adjustRightInd w:val="0"/>
              <w:snapToGrid w:val="0"/>
              <w:spacing w:line="300" w:lineRule="exact"/>
              <w:jc w:val="center"/>
              <w:rPr>
                <w:b/>
                <w:bCs/>
                <w:kern w:val="0"/>
                <w:szCs w:val="21"/>
              </w:rPr>
            </w:pPr>
            <w:r>
              <w:rPr>
                <w:b/>
                <w:bCs/>
                <w:kern w:val="0"/>
                <w:szCs w:val="21"/>
              </w:rPr>
              <w:t>垂直入渗</w:t>
            </w:r>
          </w:p>
        </w:tc>
        <w:tc>
          <w:tcPr>
            <w:tcW w:w="1711" w:type="dxa"/>
            <w:vAlign w:val="center"/>
          </w:tcPr>
          <w:p>
            <w:pPr>
              <w:adjustRightInd w:val="0"/>
              <w:snapToGrid w:val="0"/>
              <w:spacing w:line="300" w:lineRule="exact"/>
              <w:jc w:val="center"/>
              <w:rPr>
                <w:b/>
                <w:bCs/>
                <w:kern w:val="0"/>
                <w:szCs w:val="21"/>
              </w:rPr>
            </w:pPr>
            <w:r>
              <w:rPr>
                <w:b/>
                <w:bCs/>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710" w:type="dxa"/>
            <w:vAlign w:val="center"/>
          </w:tcPr>
          <w:p>
            <w:pPr>
              <w:adjustRightInd w:val="0"/>
              <w:snapToGrid w:val="0"/>
              <w:spacing w:line="300" w:lineRule="exact"/>
              <w:jc w:val="center"/>
              <w:rPr>
                <w:kern w:val="0"/>
                <w:szCs w:val="21"/>
              </w:rPr>
            </w:pPr>
            <w:r>
              <w:rPr>
                <w:rFonts w:hint="eastAsia"/>
                <w:kern w:val="0"/>
                <w:szCs w:val="21"/>
              </w:rPr>
              <w:t>运营</w:t>
            </w:r>
            <w:r>
              <w:rPr>
                <w:kern w:val="0"/>
                <w:szCs w:val="21"/>
              </w:rPr>
              <w:t>期</w:t>
            </w:r>
          </w:p>
        </w:tc>
        <w:tc>
          <w:tcPr>
            <w:tcW w:w="1710" w:type="dxa"/>
            <w:vAlign w:val="center"/>
          </w:tcPr>
          <w:p>
            <w:pPr>
              <w:adjustRightInd w:val="0"/>
              <w:snapToGrid w:val="0"/>
              <w:spacing w:line="300" w:lineRule="exact"/>
              <w:jc w:val="center"/>
              <w:rPr>
                <w:kern w:val="0"/>
                <w:szCs w:val="21"/>
              </w:rPr>
            </w:pPr>
          </w:p>
        </w:tc>
        <w:tc>
          <w:tcPr>
            <w:tcW w:w="1710" w:type="dxa"/>
            <w:vAlign w:val="center"/>
          </w:tcPr>
          <w:p>
            <w:pPr>
              <w:adjustRightInd w:val="0"/>
              <w:snapToGrid w:val="0"/>
              <w:spacing w:line="300" w:lineRule="exact"/>
              <w:jc w:val="center"/>
              <w:rPr>
                <w:kern w:val="0"/>
                <w:szCs w:val="21"/>
              </w:rPr>
            </w:pPr>
          </w:p>
        </w:tc>
        <w:tc>
          <w:tcPr>
            <w:tcW w:w="1711" w:type="dxa"/>
            <w:vAlign w:val="center"/>
          </w:tcPr>
          <w:p>
            <w:pPr>
              <w:adjustRightInd w:val="0"/>
              <w:snapToGrid w:val="0"/>
              <w:spacing w:line="300" w:lineRule="exact"/>
              <w:jc w:val="center"/>
              <w:rPr>
                <w:kern w:val="0"/>
                <w:szCs w:val="21"/>
              </w:rPr>
            </w:pPr>
            <w:r>
              <w:rPr>
                <w:kern w:val="0"/>
                <w:szCs w:val="21"/>
              </w:rPr>
              <w:t>√</w:t>
            </w:r>
          </w:p>
        </w:tc>
        <w:tc>
          <w:tcPr>
            <w:tcW w:w="1711" w:type="dxa"/>
            <w:vAlign w:val="center"/>
          </w:tcPr>
          <w:p>
            <w:pPr>
              <w:adjustRightInd w:val="0"/>
              <w:snapToGrid w:val="0"/>
              <w:spacing w:line="30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710" w:type="dxa"/>
            <w:vAlign w:val="center"/>
          </w:tcPr>
          <w:p>
            <w:pPr>
              <w:adjustRightInd w:val="0"/>
              <w:snapToGrid w:val="0"/>
              <w:spacing w:line="300" w:lineRule="exact"/>
              <w:jc w:val="center"/>
              <w:rPr>
                <w:kern w:val="0"/>
                <w:szCs w:val="21"/>
              </w:rPr>
            </w:pPr>
            <w:r>
              <w:rPr>
                <w:rFonts w:hint="eastAsia"/>
                <w:kern w:val="0"/>
                <w:szCs w:val="21"/>
              </w:rPr>
              <w:t>封场期</w:t>
            </w:r>
          </w:p>
        </w:tc>
        <w:tc>
          <w:tcPr>
            <w:tcW w:w="1710" w:type="dxa"/>
            <w:vAlign w:val="center"/>
          </w:tcPr>
          <w:p>
            <w:pPr>
              <w:adjustRightInd w:val="0"/>
              <w:snapToGrid w:val="0"/>
              <w:spacing w:line="300" w:lineRule="exact"/>
              <w:jc w:val="center"/>
              <w:rPr>
                <w:kern w:val="0"/>
                <w:szCs w:val="21"/>
              </w:rPr>
            </w:pPr>
          </w:p>
        </w:tc>
        <w:tc>
          <w:tcPr>
            <w:tcW w:w="1710" w:type="dxa"/>
            <w:vAlign w:val="center"/>
          </w:tcPr>
          <w:p>
            <w:pPr>
              <w:adjustRightInd w:val="0"/>
              <w:snapToGrid w:val="0"/>
              <w:spacing w:line="300" w:lineRule="exact"/>
              <w:jc w:val="center"/>
              <w:rPr>
                <w:kern w:val="0"/>
                <w:szCs w:val="21"/>
              </w:rPr>
            </w:pPr>
          </w:p>
        </w:tc>
        <w:tc>
          <w:tcPr>
            <w:tcW w:w="1711" w:type="dxa"/>
            <w:vAlign w:val="center"/>
          </w:tcPr>
          <w:p>
            <w:pPr>
              <w:adjustRightInd w:val="0"/>
              <w:snapToGrid w:val="0"/>
              <w:spacing w:line="300" w:lineRule="exact"/>
              <w:jc w:val="center"/>
              <w:rPr>
                <w:kern w:val="0"/>
                <w:szCs w:val="21"/>
              </w:rPr>
            </w:pPr>
            <w:r>
              <w:rPr>
                <w:kern w:val="0"/>
                <w:szCs w:val="21"/>
              </w:rPr>
              <w:t>√</w:t>
            </w:r>
          </w:p>
        </w:tc>
        <w:tc>
          <w:tcPr>
            <w:tcW w:w="1711" w:type="dxa"/>
            <w:vAlign w:val="center"/>
          </w:tcPr>
          <w:p>
            <w:pPr>
              <w:adjustRightInd w:val="0"/>
              <w:snapToGrid w:val="0"/>
              <w:spacing w:line="300" w:lineRule="exact"/>
              <w:jc w:val="center"/>
              <w:rPr>
                <w:kern w:val="0"/>
                <w:szCs w:val="21"/>
              </w:rPr>
            </w:pPr>
          </w:p>
        </w:tc>
      </w:tr>
    </w:tbl>
    <w:p>
      <w:pPr>
        <w:pStyle w:val="10"/>
        <w:spacing w:line="500" w:lineRule="exact"/>
        <w:ind w:firstLine="480"/>
        <w:rPr>
          <w:sz w:val="24"/>
          <w:szCs w:val="24"/>
        </w:rPr>
      </w:pPr>
      <w:r>
        <w:rPr>
          <w:rFonts w:hint="eastAsia"/>
          <w:sz w:val="24"/>
          <w:szCs w:val="24"/>
        </w:rPr>
        <w:t>项目</w:t>
      </w:r>
      <w:r>
        <w:rPr>
          <w:sz w:val="24"/>
          <w:szCs w:val="24"/>
        </w:rPr>
        <w:t>意外情况下</w:t>
      </w:r>
      <w:r>
        <w:rPr>
          <w:rFonts w:hint="eastAsia"/>
          <w:sz w:val="24"/>
          <w:szCs w:val="24"/>
        </w:rPr>
        <w:t>渗滤液源强及</w:t>
      </w:r>
      <w:r>
        <w:rPr>
          <w:sz w:val="24"/>
          <w:szCs w:val="24"/>
        </w:rPr>
        <w:t>垂直下渗对土壤环境的影响</w:t>
      </w:r>
      <w:r>
        <w:rPr>
          <w:rFonts w:hint="eastAsia"/>
          <w:sz w:val="24"/>
          <w:szCs w:val="24"/>
        </w:rPr>
        <w:t>途径</w:t>
      </w:r>
      <w:r>
        <w:rPr>
          <w:sz w:val="24"/>
          <w:szCs w:val="24"/>
        </w:rPr>
        <w:t>与地下水</w:t>
      </w:r>
      <w:r>
        <w:rPr>
          <w:rFonts w:hint="eastAsia"/>
          <w:sz w:val="24"/>
          <w:szCs w:val="24"/>
        </w:rPr>
        <w:t>评价</w:t>
      </w:r>
      <w:r>
        <w:rPr>
          <w:sz w:val="24"/>
          <w:szCs w:val="24"/>
        </w:rPr>
        <w:t>类似，渗滤液主要污染物源强</w:t>
      </w:r>
      <w:r>
        <w:rPr>
          <w:rFonts w:hint="eastAsia"/>
          <w:sz w:val="24"/>
          <w:szCs w:val="24"/>
        </w:rPr>
        <w:t>亦</w:t>
      </w:r>
      <w:r>
        <w:rPr>
          <w:sz w:val="24"/>
          <w:szCs w:val="24"/>
        </w:rPr>
        <w:t>参照监测单位2022年9月6日、7日对渗滤液处理设施进口水样的监测结果</w:t>
      </w:r>
      <w:r>
        <w:rPr>
          <w:rFonts w:hint="eastAsia"/>
          <w:sz w:val="24"/>
          <w:szCs w:val="24"/>
        </w:rPr>
        <w:t>，并与GB36600-2018对比分析后，本次土壤评价</w:t>
      </w:r>
      <w:r>
        <w:rPr>
          <w:sz w:val="24"/>
          <w:szCs w:val="24"/>
        </w:rPr>
        <w:t>选取预测因子为六价铬，浓度</w:t>
      </w:r>
      <w:r>
        <w:rPr>
          <w:rFonts w:hint="eastAsia"/>
          <w:sz w:val="24"/>
          <w:szCs w:val="24"/>
        </w:rPr>
        <w:t>按</w:t>
      </w:r>
      <w:r>
        <w:rPr>
          <w:sz w:val="24"/>
          <w:szCs w:val="24"/>
        </w:rPr>
        <w:t>0.01</w:t>
      </w:r>
      <w:r>
        <w:rPr>
          <w:rFonts w:hint="eastAsia"/>
          <w:sz w:val="24"/>
          <w:szCs w:val="24"/>
        </w:rPr>
        <w:t>1</w:t>
      </w:r>
      <w:r>
        <w:rPr>
          <w:sz w:val="24"/>
          <w:szCs w:val="24"/>
        </w:rPr>
        <w:t>mg/L</w:t>
      </w:r>
      <w:r>
        <w:rPr>
          <w:rFonts w:hint="eastAsia"/>
          <w:sz w:val="24"/>
          <w:szCs w:val="24"/>
        </w:rPr>
        <w:t>计</w:t>
      </w:r>
      <w:r>
        <w:rPr>
          <w:sz w:val="24"/>
          <w:szCs w:val="24"/>
        </w:rPr>
        <w:t>。</w:t>
      </w:r>
    </w:p>
    <w:p>
      <w:pPr>
        <w:spacing w:line="500" w:lineRule="exact"/>
        <w:ind w:firstLine="482" w:firstLineChars="200"/>
        <w:rPr>
          <w:b/>
          <w:bCs/>
          <w:sz w:val="24"/>
          <w:szCs w:val="20"/>
        </w:rPr>
      </w:pPr>
      <w:r>
        <w:rPr>
          <w:rFonts w:hint="eastAsia"/>
          <w:b/>
          <w:bCs/>
          <w:sz w:val="24"/>
          <w:szCs w:val="20"/>
        </w:rPr>
        <w:t>2、预测分析与评价</w:t>
      </w:r>
    </w:p>
    <w:p>
      <w:pPr>
        <w:spacing w:line="500" w:lineRule="exact"/>
        <w:ind w:firstLine="482"/>
        <w:rPr>
          <w:rFonts w:cs="宋体" w:asciiTheme="minorEastAsia" w:hAnsiTheme="minorEastAsia"/>
          <w:spacing w:val="-4"/>
          <w:kern w:val="0"/>
          <w:sz w:val="24"/>
          <w:lang w:bidi="zh-CN"/>
        </w:rPr>
      </w:pPr>
      <w:r>
        <w:rPr>
          <w:rFonts w:hint="eastAsia" w:cs="宋体" w:asciiTheme="minorEastAsia" w:hAnsiTheme="minorEastAsia"/>
          <w:spacing w:val="-4"/>
          <w:kern w:val="0"/>
          <w:sz w:val="24"/>
          <w:lang w:bidi="zh-CN"/>
        </w:rPr>
        <w:t>根据污染物在土壤环境中的迁移特性，本次</w:t>
      </w:r>
      <w:r>
        <w:rPr>
          <w:spacing w:val="-4"/>
          <w:kern w:val="0"/>
          <w:sz w:val="24"/>
          <w:lang w:bidi="zh-CN"/>
        </w:rPr>
        <w:t>模拟预测运用HYDRUS-1D软件中水</w:t>
      </w:r>
      <w:r>
        <w:rPr>
          <w:rFonts w:hint="eastAsia" w:cs="宋体" w:asciiTheme="minorEastAsia" w:hAnsiTheme="minorEastAsia"/>
          <w:spacing w:val="-4"/>
          <w:kern w:val="0"/>
          <w:sz w:val="24"/>
          <w:lang w:bidi="zh-CN"/>
        </w:rPr>
        <w:t>流及溶质运移两大模块模拟污染物在土壤中水分运移和溶质迁移。</w:t>
      </w:r>
    </w:p>
    <w:p>
      <w:pPr>
        <w:pStyle w:val="10"/>
        <w:spacing w:line="500" w:lineRule="exact"/>
        <w:ind w:firstLine="482"/>
        <w:rPr>
          <w:b/>
          <w:bCs/>
          <w:sz w:val="24"/>
          <w:szCs w:val="24"/>
        </w:rPr>
      </w:pPr>
      <w:r>
        <w:rPr>
          <w:b/>
          <w:bCs/>
          <w:sz w:val="24"/>
          <w:szCs w:val="24"/>
        </w:rPr>
        <w:t>（1）、模型建立</w:t>
      </w:r>
    </w:p>
    <w:p>
      <w:pPr>
        <w:pStyle w:val="76"/>
        <w:spacing w:beforeLines="0" w:line="500" w:lineRule="exact"/>
        <w:contextualSpacing/>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①水流模型</w:t>
      </w:r>
    </w:p>
    <w:p>
      <w:pPr>
        <w:pStyle w:val="76"/>
        <w:spacing w:beforeLines="0" w:line="500" w:lineRule="exact"/>
        <w:contextualSpacing/>
        <w:rPr>
          <w:color w:val="auto"/>
        </w:rPr>
      </w:pPr>
      <w:r>
        <w:rPr>
          <w:color w:val="auto"/>
        </w:rPr>
        <w:t>土壤水流数学模型选择各向同性的土壤、不可压缩的液体（水）、一维情形的非饱和土壤水流运动的控制方程，即HYDRUS-1D中使用的经典Richards方程描述一维平衡水流运动。公式如下：</w:t>
      </w:r>
    </w:p>
    <w:p>
      <w:pPr>
        <w:jc w:val="center"/>
      </w:pPr>
      <w:r>
        <w:drawing>
          <wp:inline distT="0" distB="0" distL="0" distR="0">
            <wp:extent cx="2476500" cy="619125"/>
            <wp:effectExtent l="0" t="0" r="0" b="889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76500" cy="619125"/>
                    </a:xfrm>
                    <a:prstGeom prst="rect">
                      <a:avLst/>
                    </a:prstGeom>
                    <a:noFill/>
                  </pic:spPr>
                </pic:pic>
              </a:graphicData>
            </a:graphic>
          </wp:inline>
        </w:drawing>
      </w:r>
    </w:p>
    <w:p>
      <w:pPr>
        <w:pStyle w:val="76"/>
        <w:spacing w:before="78" w:line="500" w:lineRule="exact"/>
        <w:contextualSpacing/>
        <w:rPr>
          <w:color w:val="auto"/>
        </w:rPr>
      </w:pPr>
      <w:r>
        <w:rPr>
          <w:color w:val="auto"/>
        </w:rPr>
        <w:t>式中，h为压力水头；θ为体积含水率；t为模拟时间；S为源汇项；α为水流方向为纵轴夹角；K(h,x)为非饱和渗透系数函数，可由方程K(h,x)=Ks(x)Kr(h,x)计算得出。其中，Ks为饱和渗透系数；Kr为相对渗透系数。</w:t>
      </w:r>
    </w:p>
    <w:p>
      <w:pPr>
        <w:pStyle w:val="76"/>
        <w:spacing w:before="78" w:line="500" w:lineRule="exact"/>
        <w:contextualSpacing/>
        <w:rPr>
          <w:color w:val="auto"/>
        </w:rPr>
      </w:pPr>
      <w:r>
        <w:rPr>
          <w:color w:val="auto"/>
        </w:rPr>
        <w:t>HYDRUS-1D软件中对土壤水力特性的描述提供了5种土壤水力模型，本次评价选用目前使用最广发的vanGenuchten-Mualem模型计算土壤水力特性参数θ（h）、K（h），且不考虑水流运动的滞后现象。公式如下：</w:t>
      </w:r>
    </w:p>
    <w:p>
      <w:pPr>
        <w:jc w:val="center"/>
        <w:rPr>
          <w:b/>
          <w:bCs/>
        </w:rPr>
      </w:pPr>
      <w:r>
        <w:object>
          <v:shape id="_x0000_i1037" o:spt="75" type="#_x0000_t75" style="height:163pt;width:284.85pt;" o:ole="t" filled="f" o:preferrelative="t" stroked="f" coordsize="21600,21600">
            <v:path/>
            <v:fill on="f" focussize="0,0"/>
            <v:stroke on="f" joinstyle="miter"/>
            <v:imagedata r:id="rId96" o:title=""/>
            <o:lock v:ext="edit" aspectratio="t"/>
            <w10:wrap type="none"/>
            <w10:anchorlock/>
          </v:shape>
          <o:OLEObject Type="Embed" ProgID="Equation.DSMT4" ShapeID="_x0000_i1037" DrawAspect="Content" ObjectID="_1468075739" r:id="rId95">
            <o:LockedField>false</o:LockedField>
          </o:OLEObject>
        </w:object>
      </w:r>
    </w:p>
    <w:p>
      <w:pPr>
        <w:pStyle w:val="76"/>
        <w:spacing w:beforeLines="0" w:line="500" w:lineRule="exact"/>
        <w:contextualSpacing/>
        <w:rPr>
          <w:color w:val="auto"/>
        </w:rPr>
      </w:pPr>
      <w:r>
        <w:rPr>
          <w:color w:val="auto"/>
        </w:rPr>
        <w:t>式中，θr为土壤的残余含水率；θs为土壤的饱和含水率；α、n为土壤水力特性经验参数；l为土壤介质孔隙连通性能参数，一般取经验值。</w:t>
      </w:r>
    </w:p>
    <w:p>
      <w:pPr>
        <w:spacing w:line="500" w:lineRule="exact"/>
        <w:ind w:firstLine="480" w:firstLineChars="200"/>
        <w:rPr>
          <w:bCs/>
          <w:sz w:val="24"/>
        </w:rPr>
      </w:pPr>
      <w:r>
        <w:rPr>
          <w:rFonts w:hint="eastAsia" w:asciiTheme="minorEastAsia" w:hAnsiTheme="minorEastAsia" w:eastAsiaTheme="minorEastAsia" w:cstheme="minorEastAsia"/>
          <w:bCs/>
          <w:sz w:val="24"/>
        </w:rPr>
        <w:t>②</w:t>
      </w:r>
      <w:r>
        <w:rPr>
          <w:bCs/>
          <w:sz w:val="24"/>
        </w:rPr>
        <w:t>溶质运移模型</w:t>
      </w:r>
    </w:p>
    <w:p>
      <w:pPr>
        <w:pStyle w:val="76"/>
        <w:spacing w:before="78" w:line="500" w:lineRule="exact"/>
        <w:contextualSpacing/>
        <w:rPr>
          <w:color w:val="auto"/>
        </w:rPr>
      </w:pPr>
      <w:r>
        <w:rPr>
          <w:color w:val="auto"/>
        </w:rPr>
        <w:t>本次评价土壤入渗影响采用《环境影响评价技术导则  土壤环境（试行）》（HJ964-2018）推荐的一维非饱和溶质运移模型进行预测，预测软件为HYDRUS。使用经典对流-弥散方程描述一维溶质运移。公式如下：</w:t>
      </w:r>
    </w:p>
    <w:p>
      <w:pPr>
        <w:ind w:firstLine="560"/>
        <w:jc w:val="center"/>
        <w:rPr>
          <w:sz w:val="28"/>
          <w:szCs w:val="28"/>
        </w:rPr>
      </w:pPr>
      <w:r>
        <w:rPr>
          <w:position w:val="-24"/>
          <w:sz w:val="28"/>
          <w:szCs w:val="28"/>
        </w:rPr>
        <w:object>
          <v:shape id="_x0000_i1038" o:spt="75" type="#_x0000_t75" style="height:38pt;width:170.9pt;" o:ole="t" filled="f" o:preferrelative="t" stroked="f" coordsize="21600,21600">
            <v:path/>
            <v:fill on="f" focussize="0,0"/>
            <v:stroke on="f" joinstyle="miter"/>
            <v:imagedata r:id="rId98" o:title=""/>
            <o:lock v:ext="edit" aspectratio="t"/>
            <w10:wrap type="none"/>
            <w10:anchorlock/>
          </v:shape>
          <o:OLEObject Type="Embed" ProgID="Equation.DSMT4" ShapeID="_x0000_i1038" DrawAspect="Content" ObjectID="_1468075740" r:id="rId97">
            <o:LockedField>false</o:LockedField>
          </o:OLEObject>
        </w:object>
      </w:r>
    </w:p>
    <w:p>
      <w:pPr>
        <w:pStyle w:val="76"/>
        <w:spacing w:before="78" w:line="500" w:lineRule="exact"/>
        <w:contextualSpacing/>
        <w:rPr>
          <w:color w:val="auto"/>
        </w:rPr>
      </w:pPr>
      <w:r>
        <w:rPr>
          <w:color w:val="auto"/>
        </w:rPr>
        <w:t>式中，c为污染物介质中的浓度，mg/L；D为弥散系数，m</w:t>
      </w:r>
      <w:r>
        <w:rPr>
          <w:color w:val="auto"/>
          <w:vertAlign w:val="superscript"/>
        </w:rPr>
        <w:t>2</w:t>
      </w:r>
      <w:r>
        <w:rPr>
          <w:color w:val="auto"/>
        </w:rPr>
        <w:t>/d,代表分子扩散及水动力弥散，反映土壤中溶质分子扩散和弥散；q为渗流速率，m/d；z为沿z轴的距离，m；t时间变量，d；θ土壤含水率，%。</w:t>
      </w:r>
    </w:p>
    <w:p>
      <w:pPr>
        <w:pStyle w:val="76"/>
        <w:spacing w:before="78" w:line="240" w:lineRule="auto"/>
        <w:ind w:firstLine="0" w:firstLineChars="0"/>
        <w:contextualSpacing/>
        <w:jc w:val="center"/>
        <w:rPr>
          <w:color w:val="auto"/>
        </w:rPr>
      </w:pPr>
      <w:r>
        <w:rPr>
          <w:b/>
          <w:color w:val="auto"/>
        </w:rPr>
        <w:drawing>
          <wp:inline distT="0" distB="0" distL="0" distR="0">
            <wp:extent cx="5422900" cy="2434590"/>
            <wp:effectExtent l="0" t="0" r="6350" b="381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422900" cy="2434590"/>
                    </a:xfrm>
                    <a:prstGeom prst="rect">
                      <a:avLst/>
                    </a:prstGeom>
                    <a:noFill/>
                    <a:ln>
                      <a:noFill/>
                    </a:ln>
                  </pic:spPr>
                </pic:pic>
              </a:graphicData>
            </a:graphic>
          </wp:inline>
        </w:drawing>
      </w:r>
    </w:p>
    <w:p>
      <w:pPr>
        <w:spacing w:line="500" w:lineRule="exact"/>
        <w:ind w:firstLine="480" w:firstLineChars="200"/>
        <w:rPr>
          <w:sz w:val="24"/>
        </w:rPr>
      </w:pPr>
      <w:r>
        <w:rPr>
          <w:sz w:val="24"/>
        </w:rPr>
        <w:t>本次预测与评价中应用HYDRUS软件求解包气带中的水分与溶质迁移方程。HYDRUS是由美国国家盐改中心（US Salinity laboratory）于1991年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它地下水、地表水模型相结合，从宏观上分析水资源的转化规律。后经过众多学者的开发研究，HYDRUS的功能更加完善，已经非常成功的应用于世界各地地下饱和、非饱和带污染物运移研究。</w:t>
      </w:r>
    </w:p>
    <w:p>
      <w:pPr>
        <w:spacing w:line="500" w:lineRule="exact"/>
        <w:ind w:firstLine="482"/>
        <w:rPr>
          <w:b/>
          <w:bCs/>
          <w:spacing w:val="-4"/>
          <w:kern w:val="0"/>
          <w:sz w:val="24"/>
          <w:lang w:bidi="zh-CN"/>
        </w:rPr>
      </w:pPr>
      <w:r>
        <w:rPr>
          <w:b/>
          <w:bCs/>
          <w:spacing w:val="-4"/>
          <w:kern w:val="0"/>
          <w:sz w:val="24"/>
          <w:lang w:bidi="zh-CN"/>
        </w:rPr>
        <w:t>（</w:t>
      </w:r>
      <w:r>
        <w:rPr>
          <w:rFonts w:hint="eastAsia"/>
          <w:b/>
          <w:bCs/>
          <w:spacing w:val="-4"/>
          <w:kern w:val="0"/>
          <w:sz w:val="24"/>
          <w:lang w:bidi="zh-CN"/>
        </w:rPr>
        <w:t>2</w:t>
      </w:r>
      <w:r>
        <w:rPr>
          <w:b/>
          <w:bCs/>
          <w:spacing w:val="-4"/>
          <w:kern w:val="0"/>
          <w:sz w:val="24"/>
          <w:lang w:bidi="zh-CN"/>
        </w:rPr>
        <w:t>）模型概化</w:t>
      </w:r>
    </w:p>
    <w:p>
      <w:pPr>
        <w:spacing w:line="500" w:lineRule="exact"/>
        <w:ind w:firstLine="482"/>
        <w:rPr>
          <w:spacing w:val="-4"/>
          <w:kern w:val="0"/>
          <w:sz w:val="24"/>
          <w:lang w:bidi="zh-CN"/>
        </w:rPr>
      </w:pPr>
      <w:r>
        <w:rPr>
          <w:spacing w:val="-4"/>
          <w:kern w:val="0"/>
          <w:sz w:val="24"/>
          <w:lang w:bidi="zh-CN"/>
        </w:rPr>
        <w:fldChar w:fldCharType="begin"/>
      </w:r>
      <w:r>
        <w:rPr>
          <w:spacing w:val="-4"/>
          <w:kern w:val="0"/>
          <w:sz w:val="24"/>
          <w:lang w:bidi="zh-CN"/>
        </w:rPr>
        <w:instrText xml:space="preserve"> </w:instrText>
      </w:r>
      <w:r>
        <w:rPr>
          <w:rFonts w:hint="eastAsia"/>
          <w:spacing w:val="-4"/>
          <w:kern w:val="0"/>
          <w:sz w:val="24"/>
          <w:lang w:bidi="zh-CN"/>
        </w:rPr>
        <w:instrText xml:space="preserve">= 1 \* GB3</w:instrText>
      </w:r>
      <w:r>
        <w:rPr>
          <w:spacing w:val="-4"/>
          <w:kern w:val="0"/>
          <w:sz w:val="24"/>
          <w:lang w:bidi="zh-CN"/>
        </w:rPr>
        <w:instrText xml:space="preserve"> </w:instrText>
      </w:r>
      <w:r>
        <w:rPr>
          <w:spacing w:val="-4"/>
          <w:kern w:val="0"/>
          <w:sz w:val="24"/>
          <w:lang w:bidi="zh-CN"/>
        </w:rPr>
        <w:fldChar w:fldCharType="separate"/>
      </w:r>
      <w:r>
        <w:rPr>
          <w:rFonts w:hint="eastAsia"/>
          <w:spacing w:val="-4"/>
          <w:kern w:val="0"/>
          <w:sz w:val="24"/>
          <w:lang w:bidi="zh-CN"/>
        </w:rPr>
        <w:t>①</w:t>
      </w:r>
      <w:r>
        <w:rPr>
          <w:spacing w:val="-4"/>
          <w:kern w:val="0"/>
          <w:sz w:val="24"/>
          <w:lang w:bidi="zh-CN"/>
        </w:rPr>
        <w:fldChar w:fldCharType="end"/>
      </w:r>
      <w:r>
        <w:rPr>
          <w:spacing w:val="-4"/>
          <w:kern w:val="0"/>
          <w:sz w:val="24"/>
          <w:lang w:bidi="zh-CN"/>
        </w:rPr>
        <w:t>包气带分层</w:t>
      </w:r>
    </w:p>
    <w:p>
      <w:pPr>
        <w:spacing w:line="500" w:lineRule="exact"/>
        <w:ind w:firstLine="482"/>
        <w:rPr>
          <w:spacing w:val="-4"/>
          <w:kern w:val="0"/>
          <w:sz w:val="24"/>
          <w:lang w:bidi="zh-CN"/>
        </w:rPr>
      </w:pPr>
      <w:r>
        <w:rPr>
          <w:rFonts w:hint="eastAsia"/>
          <w:spacing w:val="-4"/>
          <w:kern w:val="0"/>
          <w:sz w:val="24"/>
          <w:lang w:bidi="zh-CN"/>
        </w:rPr>
        <w:t>根据项目场地工程勘察及评价区地质情况，</w:t>
      </w:r>
      <w:r>
        <w:rPr>
          <w:spacing w:val="-4"/>
          <w:kern w:val="0"/>
          <w:sz w:val="24"/>
          <w:lang w:bidi="zh-CN"/>
        </w:rPr>
        <w:t>项目土壤类型为粉质粘土，土壤层厚度</w:t>
      </w:r>
      <w:r>
        <w:rPr>
          <w:rFonts w:hint="eastAsia"/>
          <w:spacing w:val="-4"/>
          <w:kern w:val="0"/>
          <w:sz w:val="24"/>
          <w:lang w:bidi="zh-CN"/>
        </w:rPr>
        <w:t>按85</w:t>
      </w:r>
      <w:r>
        <w:rPr>
          <w:spacing w:val="-4"/>
          <w:kern w:val="0"/>
          <w:sz w:val="24"/>
          <w:lang w:bidi="zh-CN"/>
        </w:rPr>
        <w:t>m</w:t>
      </w:r>
      <w:r>
        <w:rPr>
          <w:rFonts w:hint="eastAsia"/>
          <w:spacing w:val="-4"/>
          <w:kern w:val="0"/>
          <w:sz w:val="24"/>
          <w:lang w:bidi="zh-CN"/>
        </w:rPr>
        <w:t>计</w:t>
      </w:r>
      <w:r>
        <w:rPr>
          <w:spacing w:val="-4"/>
          <w:kern w:val="0"/>
          <w:sz w:val="24"/>
          <w:lang w:bidi="zh-CN"/>
        </w:rPr>
        <w:t>。</w:t>
      </w:r>
    </w:p>
    <w:p>
      <w:pPr>
        <w:spacing w:line="500" w:lineRule="exact"/>
        <w:ind w:firstLine="482"/>
        <w:rPr>
          <w:spacing w:val="-4"/>
          <w:kern w:val="0"/>
          <w:sz w:val="24"/>
          <w:lang w:bidi="zh-CN"/>
        </w:rPr>
      </w:pPr>
      <w:r>
        <w:rPr>
          <w:spacing w:val="-4"/>
          <w:kern w:val="0"/>
          <w:sz w:val="24"/>
          <w:lang w:bidi="zh-CN"/>
        </w:rPr>
        <w:fldChar w:fldCharType="begin"/>
      </w:r>
      <w:r>
        <w:rPr>
          <w:spacing w:val="-4"/>
          <w:kern w:val="0"/>
          <w:sz w:val="24"/>
          <w:lang w:bidi="zh-CN"/>
        </w:rPr>
        <w:instrText xml:space="preserve"> </w:instrText>
      </w:r>
      <w:r>
        <w:rPr>
          <w:rFonts w:hint="eastAsia"/>
          <w:spacing w:val="-4"/>
          <w:kern w:val="0"/>
          <w:sz w:val="24"/>
          <w:lang w:bidi="zh-CN"/>
        </w:rPr>
        <w:instrText xml:space="preserve">= 2 \* GB3</w:instrText>
      </w:r>
      <w:r>
        <w:rPr>
          <w:spacing w:val="-4"/>
          <w:kern w:val="0"/>
          <w:sz w:val="24"/>
          <w:lang w:bidi="zh-CN"/>
        </w:rPr>
        <w:instrText xml:space="preserve"> </w:instrText>
      </w:r>
      <w:r>
        <w:rPr>
          <w:spacing w:val="-4"/>
          <w:kern w:val="0"/>
          <w:sz w:val="24"/>
          <w:lang w:bidi="zh-CN"/>
        </w:rPr>
        <w:fldChar w:fldCharType="separate"/>
      </w:r>
      <w:r>
        <w:rPr>
          <w:rFonts w:hint="eastAsia"/>
          <w:spacing w:val="-4"/>
          <w:kern w:val="0"/>
          <w:sz w:val="24"/>
          <w:lang w:bidi="zh-CN"/>
        </w:rPr>
        <w:t>②</w:t>
      </w:r>
      <w:r>
        <w:rPr>
          <w:spacing w:val="-4"/>
          <w:kern w:val="0"/>
          <w:sz w:val="24"/>
          <w:lang w:bidi="zh-CN"/>
        </w:rPr>
        <w:fldChar w:fldCharType="end"/>
      </w:r>
      <w:r>
        <w:rPr>
          <w:spacing w:val="-4"/>
          <w:kern w:val="0"/>
          <w:sz w:val="24"/>
          <w:lang w:bidi="zh-CN"/>
        </w:rPr>
        <w:t>初始条件和上边界条</w:t>
      </w:r>
    </w:p>
    <w:p>
      <w:pPr>
        <w:spacing w:line="500" w:lineRule="exact"/>
        <w:ind w:firstLine="482"/>
        <w:rPr>
          <w:spacing w:val="-4"/>
          <w:kern w:val="0"/>
          <w:sz w:val="24"/>
          <w:lang w:bidi="zh-CN"/>
        </w:rPr>
      </w:pPr>
      <w:r>
        <w:rPr>
          <w:spacing w:val="-4"/>
          <w:kern w:val="0"/>
          <w:sz w:val="24"/>
          <w:lang w:bidi="zh-CN"/>
        </w:rPr>
        <w:t>a、水流模型</w:t>
      </w:r>
    </w:p>
    <w:p>
      <w:pPr>
        <w:spacing w:line="500" w:lineRule="exact"/>
        <w:ind w:firstLine="482"/>
        <w:rPr>
          <w:spacing w:val="-4"/>
          <w:kern w:val="0"/>
          <w:sz w:val="24"/>
          <w:lang w:bidi="zh-CN"/>
        </w:rPr>
      </w:pPr>
      <w:r>
        <w:rPr>
          <w:spacing w:val="-4"/>
          <w:kern w:val="0"/>
          <w:sz w:val="24"/>
          <w:lang w:bidi="zh-CN"/>
        </w:rPr>
        <w:t>初始条件：以模型上边界持续渗漏作为初始条件。</w:t>
      </w:r>
    </w:p>
    <w:p>
      <w:pPr>
        <w:spacing w:line="500" w:lineRule="exact"/>
        <w:ind w:firstLine="482"/>
        <w:rPr>
          <w:spacing w:val="-4"/>
          <w:kern w:val="0"/>
          <w:sz w:val="24"/>
          <w:lang w:bidi="zh-CN"/>
        </w:rPr>
      </w:pPr>
      <w:r>
        <w:rPr>
          <w:spacing w:val="-4"/>
          <w:kern w:val="0"/>
          <w:sz w:val="24"/>
          <w:lang w:bidi="zh-CN"/>
        </w:rPr>
        <w:t>边界条件：上边界为定压力水头边界（Pressure head），下边界为潜水含水层边界，为自由排泄边界（Free drainage）。</w:t>
      </w:r>
    </w:p>
    <w:p>
      <w:pPr>
        <w:spacing w:line="500" w:lineRule="exact"/>
        <w:ind w:firstLine="482"/>
        <w:rPr>
          <w:spacing w:val="-4"/>
          <w:kern w:val="0"/>
          <w:sz w:val="24"/>
          <w:lang w:bidi="zh-CN"/>
        </w:rPr>
      </w:pPr>
      <w:r>
        <w:rPr>
          <w:spacing w:val="-4"/>
          <w:kern w:val="0"/>
          <w:sz w:val="24"/>
          <w:lang w:bidi="zh-CN"/>
        </w:rPr>
        <w:t>b、溶质运移模型</w:t>
      </w:r>
    </w:p>
    <w:p>
      <w:pPr>
        <w:spacing w:line="500" w:lineRule="exact"/>
        <w:ind w:firstLine="482"/>
        <w:rPr>
          <w:spacing w:val="-4"/>
          <w:kern w:val="0"/>
          <w:sz w:val="24"/>
          <w:lang w:bidi="zh-CN"/>
        </w:rPr>
      </w:pPr>
      <w:r>
        <w:rPr>
          <w:spacing w:val="-4"/>
          <w:kern w:val="0"/>
          <w:sz w:val="24"/>
          <w:lang w:bidi="zh-CN"/>
        </w:rPr>
        <w:t>初始条件：初始条件用原始土层污染物浓度表示，本模型中为零。</w:t>
      </w:r>
    </w:p>
    <w:p>
      <w:pPr>
        <w:spacing w:line="500" w:lineRule="exact"/>
        <w:ind w:firstLine="482"/>
        <w:rPr>
          <w:spacing w:val="-4"/>
          <w:kern w:val="0"/>
          <w:sz w:val="24"/>
          <w:lang w:bidi="zh-CN"/>
        </w:rPr>
      </w:pPr>
      <w:r>
        <w:rPr>
          <w:spacing w:val="-4"/>
          <w:kern w:val="0"/>
          <w:sz w:val="24"/>
          <w:lang w:bidi="zh-CN"/>
        </w:rPr>
        <w:t>边界条件：上边界选择边界浓度条件，</w:t>
      </w:r>
      <w:r>
        <w:rPr>
          <w:rFonts w:hint="eastAsia"/>
          <w:spacing w:val="-4"/>
          <w:kern w:val="0"/>
          <w:sz w:val="24"/>
          <w:lang w:bidi="zh-CN"/>
        </w:rPr>
        <w:t>六价铬</w:t>
      </w:r>
      <w:r>
        <w:rPr>
          <w:spacing w:val="-4"/>
          <w:kern w:val="0"/>
          <w:sz w:val="24"/>
          <w:lang w:bidi="zh-CN"/>
        </w:rPr>
        <w:t>浓度0.01</w:t>
      </w:r>
      <w:r>
        <w:rPr>
          <w:rFonts w:hint="eastAsia"/>
          <w:spacing w:val="-4"/>
          <w:kern w:val="0"/>
          <w:sz w:val="24"/>
          <w:lang w:bidi="zh-CN"/>
        </w:rPr>
        <w:t>1</w:t>
      </w:r>
      <w:r>
        <w:rPr>
          <w:spacing w:val="-4"/>
          <w:kern w:val="0"/>
          <w:sz w:val="24"/>
          <w:lang w:bidi="zh-CN"/>
        </w:rPr>
        <w:t>mg/L（1.</w:t>
      </w:r>
      <w:r>
        <w:rPr>
          <w:rFonts w:hint="eastAsia"/>
          <w:spacing w:val="-4"/>
          <w:kern w:val="0"/>
          <w:sz w:val="24"/>
          <w:lang w:bidi="zh-CN"/>
        </w:rPr>
        <w:t>1</w:t>
      </w:r>
      <w:r>
        <w:rPr>
          <w:spacing w:val="-4"/>
          <w:kern w:val="0"/>
          <w:sz w:val="24"/>
          <w:lang w:bidi="zh-CN"/>
        </w:rPr>
        <w:t>×10</w:t>
      </w:r>
      <w:r>
        <w:rPr>
          <w:spacing w:val="-4"/>
          <w:kern w:val="0"/>
          <w:sz w:val="24"/>
          <w:vertAlign w:val="superscript"/>
          <w:lang w:bidi="zh-CN"/>
        </w:rPr>
        <w:t>-5</w:t>
      </w:r>
      <w:r>
        <w:rPr>
          <w:spacing w:val="-4"/>
          <w:kern w:val="0"/>
          <w:sz w:val="24"/>
          <w:lang w:bidi="zh-CN"/>
        </w:rPr>
        <w:t>mg/cm</w:t>
      </w:r>
      <w:r>
        <w:rPr>
          <w:spacing w:val="-4"/>
          <w:kern w:val="0"/>
          <w:sz w:val="24"/>
          <w:vertAlign w:val="superscript"/>
          <w:lang w:bidi="zh-CN"/>
        </w:rPr>
        <w:t>3</w:t>
      </w:r>
      <w:r>
        <w:rPr>
          <w:spacing w:val="-4"/>
          <w:kern w:val="0"/>
          <w:sz w:val="24"/>
          <w:lang w:bidi="zh-CN"/>
        </w:rPr>
        <w:t>）</w:t>
      </w:r>
      <w:r>
        <w:rPr>
          <w:rFonts w:hint="eastAsia"/>
          <w:spacing w:val="-4"/>
          <w:kern w:val="0"/>
          <w:sz w:val="24"/>
          <w:lang w:bidi="zh-CN"/>
        </w:rPr>
        <w:t>，</w:t>
      </w:r>
      <w:r>
        <w:rPr>
          <w:spacing w:val="-4"/>
          <w:kern w:val="0"/>
          <w:sz w:val="24"/>
          <w:lang w:bidi="zh-CN"/>
        </w:rPr>
        <w:t>下边界选择零浓度梯度边界。</w:t>
      </w:r>
    </w:p>
    <w:p>
      <w:pPr>
        <w:spacing w:line="500" w:lineRule="exact"/>
        <w:ind w:firstLine="482"/>
        <w:rPr>
          <w:spacing w:val="-4"/>
          <w:kern w:val="0"/>
          <w:sz w:val="24"/>
          <w:lang w:bidi="zh-CN"/>
        </w:rPr>
      </w:pPr>
      <w:r>
        <w:fldChar w:fldCharType="begin"/>
      </w:r>
      <w:r>
        <w:instrText xml:space="preserve"> = 3 \* GB3 </w:instrText>
      </w:r>
      <w:r>
        <w:fldChar w:fldCharType="separate"/>
      </w:r>
      <w:r>
        <w:rPr>
          <w:rFonts w:hint="eastAsia"/>
        </w:rPr>
        <w:t>③</w:t>
      </w:r>
      <w:r>
        <w:rPr>
          <w:rFonts w:hint="eastAsia"/>
        </w:rPr>
        <w:fldChar w:fldCharType="end"/>
      </w:r>
      <w:r>
        <w:rPr>
          <w:spacing w:val="-4"/>
          <w:kern w:val="0"/>
          <w:sz w:val="24"/>
          <w:lang w:bidi="zh-CN"/>
        </w:rPr>
        <w:t>参数选取</w:t>
      </w:r>
    </w:p>
    <w:p>
      <w:pPr>
        <w:adjustRightInd w:val="0"/>
        <w:snapToGrid w:val="0"/>
        <w:spacing w:line="500" w:lineRule="exact"/>
        <w:ind w:firstLine="480" w:firstLineChars="200"/>
        <w:rPr>
          <w:sz w:val="24"/>
        </w:rPr>
      </w:pPr>
      <w:r>
        <w:rPr>
          <w:sz w:val="24"/>
        </w:rPr>
        <w:t>包气带相关参数参考HYDRUS程序中所附的美国农业部使用的包气带基本岩性参数进行取值，根据相关研究成果并结合评价区水文地质条件设定包气带溶质运移参数。具体详见下表。</w:t>
      </w:r>
    </w:p>
    <w:p>
      <w:pPr>
        <w:spacing w:line="480" w:lineRule="exact"/>
        <w:ind w:firstLine="482"/>
        <w:jc w:val="center"/>
        <w:rPr>
          <w:b/>
          <w:bCs/>
          <w:sz w:val="24"/>
        </w:rPr>
      </w:pPr>
      <w:r>
        <w:rPr>
          <w:b/>
          <w:bCs/>
          <w:sz w:val="24"/>
        </w:rPr>
        <w:t>表5.7-2  土壤水力参数</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15"/>
        <w:gridCol w:w="1216"/>
        <w:gridCol w:w="1219"/>
        <w:gridCol w:w="1219"/>
        <w:gridCol w:w="1106"/>
        <w:gridCol w:w="1381"/>
        <w:gridCol w:w="11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8" w:hRule="atLeast"/>
        </w:trPr>
        <w:tc>
          <w:tcPr>
            <w:tcW w:w="713" w:type="pct"/>
            <w:tcBorders>
              <w:top w:val="single" w:color="auto" w:sz="4" w:space="0"/>
              <w:left w:val="single" w:color="auto" w:sz="6" w:space="0"/>
              <w:bottom w:val="single" w:color="auto" w:sz="6" w:space="0"/>
              <w:right w:val="single" w:color="auto" w:sz="6" w:space="0"/>
            </w:tcBorders>
            <w:vAlign w:val="center"/>
          </w:tcPr>
          <w:p>
            <w:pPr>
              <w:spacing w:line="260" w:lineRule="exact"/>
              <w:jc w:val="center"/>
              <w:rPr>
                <w:b/>
                <w:szCs w:val="21"/>
              </w:rPr>
            </w:pPr>
            <w:r>
              <w:rPr>
                <w:b/>
                <w:szCs w:val="21"/>
              </w:rPr>
              <w:t>土壤类型</w:t>
            </w:r>
          </w:p>
        </w:tc>
        <w:tc>
          <w:tcPr>
            <w:tcW w:w="713" w:type="pct"/>
            <w:tcBorders>
              <w:top w:val="single" w:color="auto" w:sz="4" w:space="0"/>
              <w:left w:val="single" w:color="auto" w:sz="6" w:space="0"/>
              <w:bottom w:val="single" w:color="auto" w:sz="6" w:space="0"/>
              <w:right w:val="single" w:color="auto" w:sz="6" w:space="0"/>
            </w:tcBorders>
            <w:vAlign w:val="center"/>
          </w:tcPr>
          <w:p>
            <w:pPr>
              <w:spacing w:line="260" w:lineRule="exact"/>
              <w:jc w:val="center"/>
              <w:rPr>
                <w:b/>
                <w:szCs w:val="21"/>
              </w:rPr>
            </w:pPr>
            <w:r>
              <w:rPr>
                <w:b/>
                <w:szCs w:val="21"/>
              </w:rPr>
              <w:t>残余含水率θr</w:t>
            </w:r>
          </w:p>
        </w:tc>
        <w:tc>
          <w:tcPr>
            <w:tcW w:w="715" w:type="pct"/>
            <w:tcBorders>
              <w:top w:val="single" w:color="auto" w:sz="4" w:space="0"/>
              <w:left w:val="single" w:color="auto" w:sz="6" w:space="0"/>
              <w:bottom w:val="single" w:color="auto" w:sz="6" w:space="0"/>
              <w:right w:val="single" w:color="auto" w:sz="6" w:space="0"/>
            </w:tcBorders>
            <w:vAlign w:val="center"/>
          </w:tcPr>
          <w:p>
            <w:pPr>
              <w:spacing w:line="260" w:lineRule="exact"/>
              <w:jc w:val="center"/>
              <w:rPr>
                <w:b/>
                <w:szCs w:val="21"/>
              </w:rPr>
            </w:pPr>
            <w:r>
              <w:rPr>
                <w:b/>
                <w:szCs w:val="21"/>
              </w:rPr>
              <w:t>饱和含水率θs</w:t>
            </w:r>
          </w:p>
        </w:tc>
        <w:tc>
          <w:tcPr>
            <w:tcW w:w="715" w:type="pct"/>
            <w:tcBorders>
              <w:top w:val="single" w:color="auto" w:sz="4" w:space="0"/>
              <w:left w:val="single" w:color="auto" w:sz="6" w:space="0"/>
              <w:bottom w:val="single" w:color="auto" w:sz="6" w:space="0"/>
              <w:right w:val="single" w:color="auto" w:sz="6" w:space="0"/>
            </w:tcBorders>
            <w:vAlign w:val="center"/>
          </w:tcPr>
          <w:p>
            <w:pPr>
              <w:spacing w:line="260" w:lineRule="exact"/>
              <w:jc w:val="center"/>
              <w:rPr>
                <w:b/>
                <w:szCs w:val="21"/>
              </w:rPr>
            </w:pPr>
            <w:r>
              <w:rPr>
                <w:b/>
                <w:szCs w:val="21"/>
              </w:rPr>
              <w:t>曲线形状参数/m</w:t>
            </w:r>
          </w:p>
        </w:tc>
        <w:tc>
          <w:tcPr>
            <w:tcW w:w="649" w:type="pct"/>
            <w:tcBorders>
              <w:top w:val="single" w:color="auto" w:sz="4" w:space="0"/>
              <w:left w:val="single" w:color="auto" w:sz="6" w:space="0"/>
              <w:bottom w:val="single" w:color="auto" w:sz="6" w:space="0"/>
              <w:right w:val="single" w:color="auto" w:sz="6" w:space="0"/>
            </w:tcBorders>
            <w:vAlign w:val="center"/>
          </w:tcPr>
          <w:p>
            <w:pPr>
              <w:spacing w:line="260" w:lineRule="exact"/>
              <w:jc w:val="center"/>
              <w:rPr>
                <w:b/>
                <w:szCs w:val="21"/>
              </w:rPr>
            </w:pPr>
            <w:r>
              <w:rPr>
                <w:b/>
                <w:szCs w:val="21"/>
              </w:rPr>
              <w:t>经验参数α/cm</w:t>
            </w:r>
            <w:r>
              <w:rPr>
                <w:b/>
                <w:szCs w:val="21"/>
                <w:vertAlign w:val="superscript"/>
              </w:rPr>
              <w:t>-1</w:t>
            </w:r>
          </w:p>
        </w:tc>
        <w:tc>
          <w:tcPr>
            <w:tcW w:w="810" w:type="pct"/>
            <w:tcBorders>
              <w:top w:val="single" w:color="auto" w:sz="4" w:space="0"/>
              <w:left w:val="single" w:color="auto" w:sz="6" w:space="0"/>
              <w:bottom w:val="single" w:color="auto" w:sz="6" w:space="0"/>
              <w:right w:val="single" w:color="auto" w:sz="6" w:space="0"/>
            </w:tcBorders>
            <w:vAlign w:val="center"/>
          </w:tcPr>
          <w:p>
            <w:pPr>
              <w:spacing w:line="260" w:lineRule="exact"/>
              <w:jc w:val="center"/>
              <w:rPr>
                <w:b/>
                <w:szCs w:val="21"/>
              </w:rPr>
            </w:pPr>
            <w:r>
              <w:rPr>
                <w:b/>
                <w:szCs w:val="21"/>
              </w:rPr>
              <w:t>饱和渗透系数Ks/cm/d</w:t>
            </w:r>
          </w:p>
        </w:tc>
        <w:tc>
          <w:tcPr>
            <w:tcW w:w="682" w:type="pct"/>
            <w:tcBorders>
              <w:top w:val="single" w:color="auto" w:sz="4" w:space="0"/>
              <w:left w:val="single" w:color="auto" w:sz="6" w:space="0"/>
              <w:bottom w:val="single" w:color="auto" w:sz="6" w:space="0"/>
              <w:right w:val="single" w:color="auto" w:sz="4" w:space="0"/>
            </w:tcBorders>
            <w:vAlign w:val="center"/>
          </w:tcPr>
          <w:p>
            <w:pPr>
              <w:spacing w:line="260" w:lineRule="exact"/>
              <w:jc w:val="center"/>
              <w:rPr>
                <w:b/>
                <w:szCs w:val="21"/>
              </w:rPr>
            </w:pPr>
            <w:r>
              <w:rPr>
                <w:b/>
                <w:szCs w:val="21"/>
              </w:rPr>
              <w:t>经验参数l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713" w:type="pct"/>
            <w:tcBorders>
              <w:top w:val="single" w:color="auto" w:sz="6" w:space="0"/>
              <w:left w:val="single" w:color="auto" w:sz="6" w:space="0"/>
              <w:bottom w:val="single" w:color="auto" w:sz="4" w:space="0"/>
              <w:right w:val="single" w:color="auto" w:sz="6" w:space="0"/>
            </w:tcBorders>
            <w:vAlign w:val="center"/>
          </w:tcPr>
          <w:p>
            <w:pPr>
              <w:spacing w:line="260" w:lineRule="exact"/>
              <w:jc w:val="center"/>
              <w:rPr>
                <w:bCs/>
                <w:szCs w:val="21"/>
              </w:rPr>
            </w:pPr>
            <w:r>
              <w:rPr>
                <w:bCs/>
                <w:szCs w:val="21"/>
              </w:rPr>
              <w:t>粉质黏土</w:t>
            </w:r>
          </w:p>
        </w:tc>
        <w:tc>
          <w:tcPr>
            <w:tcW w:w="713" w:type="pct"/>
            <w:tcBorders>
              <w:top w:val="single" w:color="auto" w:sz="6" w:space="0"/>
              <w:left w:val="single" w:color="auto" w:sz="6" w:space="0"/>
              <w:bottom w:val="single" w:color="auto" w:sz="4" w:space="0"/>
              <w:right w:val="single" w:color="auto" w:sz="6" w:space="0"/>
            </w:tcBorders>
            <w:vAlign w:val="center"/>
          </w:tcPr>
          <w:p>
            <w:pPr>
              <w:spacing w:line="260" w:lineRule="exact"/>
              <w:jc w:val="center"/>
              <w:rPr>
                <w:bCs/>
                <w:szCs w:val="21"/>
              </w:rPr>
            </w:pPr>
            <w:r>
              <w:rPr>
                <w:bCs/>
                <w:szCs w:val="21"/>
              </w:rPr>
              <w:t>0.07</w:t>
            </w:r>
          </w:p>
        </w:tc>
        <w:tc>
          <w:tcPr>
            <w:tcW w:w="715" w:type="pct"/>
            <w:tcBorders>
              <w:top w:val="single" w:color="auto" w:sz="6" w:space="0"/>
              <w:left w:val="single" w:color="auto" w:sz="6" w:space="0"/>
              <w:bottom w:val="single" w:color="auto" w:sz="4" w:space="0"/>
              <w:right w:val="single" w:color="auto" w:sz="6" w:space="0"/>
            </w:tcBorders>
            <w:vAlign w:val="center"/>
          </w:tcPr>
          <w:p>
            <w:pPr>
              <w:spacing w:line="260" w:lineRule="exact"/>
              <w:jc w:val="center"/>
              <w:rPr>
                <w:bCs/>
                <w:szCs w:val="21"/>
              </w:rPr>
            </w:pPr>
            <w:r>
              <w:rPr>
                <w:bCs/>
                <w:szCs w:val="21"/>
              </w:rPr>
              <w:t>0.36</w:t>
            </w:r>
          </w:p>
        </w:tc>
        <w:tc>
          <w:tcPr>
            <w:tcW w:w="715" w:type="pct"/>
            <w:tcBorders>
              <w:top w:val="single" w:color="auto" w:sz="6" w:space="0"/>
              <w:left w:val="single" w:color="auto" w:sz="6" w:space="0"/>
              <w:bottom w:val="single" w:color="auto" w:sz="4" w:space="0"/>
              <w:right w:val="single" w:color="auto" w:sz="6" w:space="0"/>
            </w:tcBorders>
            <w:vAlign w:val="center"/>
          </w:tcPr>
          <w:p>
            <w:pPr>
              <w:spacing w:line="260" w:lineRule="exact"/>
              <w:jc w:val="center"/>
              <w:rPr>
                <w:bCs/>
                <w:szCs w:val="21"/>
              </w:rPr>
            </w:pPr>
            <w:r>
              <w:rPr>
                <w:bCs/>
                <w:szCs w:val="21"/>
              </w:rPr>
              <w:t>1.09</w:t>
            </w:r>
          </w:p>
        </w:tc>
        <w:tc>
          <w:tcPr>
            <w:tcW w:w="649" w:type="pct"/>
            <w:tcBorders>
              <w:top w:val="single" w:color="auto" w:sz="6" w:space="0"/>
              <w:left w:val="single" w:color="auto" w:sz="6" w:space="0"/>
              <w:bottom w:val="single" w:color="auto" w:sz="4" w:space="0"/>
              <w:right w:val="single" w:color="auto" w:sz="6" w:space="0"/>
            </w:tcBorders>
            <w:vAlign w:val="center"/>
          </w:tcPr>
          <w:p>
            <w:pPr>
              <w:spacing w:line="260" w:lineRule="exact"/>
              <w:jc w:val="center"/>
              <w:rPr>
                <w:bCs/>
                <w:szCs w:val="21"/>
              </w:rPr>
            </w:pPr>
            <w:r>
              <w:rPr>
                <w:bCs/>
                <w:szCs w:val="21"/>
              </w:rPr>
              <w:t>0.005</w:t>
            </w:r>
          </w:p>
        </w:tc>
        <w:tc>
          <w:tcPr>
            <w:tcW w:w="810" w:type="pct"/>
            <w:tcBorders>
              <w:top w:val="single" w:color="auto" w:sz="6" w:space="0"/>
              <w:left w:val="single" w:color="auto" w:sz="6" w:space="0"/>
              <w:bottom w:val="single" w:color="auto" w:sz="4" w:space="0"/>
              <w:right w:val="single" w:color="auto" w:sz="6" w:space="0"/>
            </w:tcBorders>
            <w:vAlign w:val="center"/>
          </w:tcPr>
          <w:p>
            <w:pPr>
              <w:spacing w:line="260" w:lineRule="exact"/>
              <w:jc w:val="center"/>
              <w:rPr>
                <w:bCs/>
                <w:szCs w:val="21"/>
              </w:rPr>
            </w:pPr>
            <w:r>
              <w:rPr>
                <w:bCs/>
                <w:szCs w:val="21"/>
              </w:rPr>
              <w:t>0.48</w:t>
            </w:r>
          </w:p>
        </w:tc>
        <w:tc>
          <w:tcPr>
            <w:tcW w:w="682" w:type="pct"/>
            <w:tcBorders>
              <w:top w:val="single" w:color="auto" w:sz="6" w:space="0"/>
              <w:left w:val="single" w:color="auto" w:sz="6" w:space="0"/>
              <w:bottom w:val="single" w:color="auto" w:sz="4" w:space="0"/>
              <w:right w:val="single" w:color="auto" w:sz="4" w:space="0"/>
            </w:tcBorders>
            <w:vAlign w:val="center"/>
          </w:tcPr>
          <w:p>
            <w:pPr>
              <w:spacing w:line="260" w:lineRule="exact"/>
              <w:jc w:val="center"/>
              <w:rPr>
                <w:bCs/>
                <w:szCs w:val="21"/>
              </w:rPr>
            </w:pPr>
            <w:r>
              <w:rPr>
                <w:bCs/>
                <w:szCs w:val="21"/>
              </w:rPr>
              <w:t>0.5</w:t>
            </w:r>
          </w:p>
        </w:tc>
      </w:tr>
    </w:tbl>
    <w:p>
      <w:pPr>
        <w:spacing w:line="480" w:lineRule="exact"/>
        <w:ind w:firstLine="466" w:firstLineChars="200"/>
        <w:rPr>
          <w:b/>
          <w:bCs/>
          <w:spacing w:val="-4"/>
          <w:kern w:val="0"/>
          <w:sz w:val="24"/>
          <w:lang w:bidi="zh-CN"/>
        </w:rPr>
      </w:pPr>
      <w:r>
        <w:rPr>
          <w:b/>
          <w:bCs/>
          <w:spacing w:val="-4"/>
          <w:kern w:val="0"/>
          <w:sz w:val="24"/>
          <w:lang w:bidi="zh-CN"/>
        </w:rPr>
        <w:t>（</w:t>
      </w:r>
      <w:r>
        <w:rPr>
          <w:rFonts w:hint="eastAsia"/>
          <w:b/>
          <w:bCs/>
          <w:spacing w:val="-4"/>
          <w:kern w:val="0"/>
          <w:sz w:val="24"/>
          <w:lang w:bidi="zh-CN"/>
        </w:rPr>
        <w:t>3</w:t>
      </w:r>
      <w:r>
        <w:rPr>
          <w:b/>
          <w:bCs/>
          <w:spacing w:val="-4"/>
          <w:kern w:val="0"/>
          <w:sz w:val="24"/>
          <w:lang w:bidi="zh-CN"/>
        </w:rPr>
        <w:t>）预测</w:t>
      </w:r>
      <w:r>
        <w:rPr>
          <w:rFonts w:hint="eastAsia"/>
          <w:b/>
          <w:bCs/>
          <w:spacing w:val="-4"/>
          <w:kern w:val="0"/>
          <w:sz w:val="24"/>
          <w:lang w:bidi="zh-CN"/>
        </w:rPr>
        <w:t>时段</w:t>
      </w:r>
    </w:p>
    <w:p>
      <w:pPr>
        <w:spacing w:line="500" w:lineRule="exact"/>
        <w:ind w:firstLine="464" w:firstLineChars="200"/>
        <w:rPr>
          <w:spacing w:val="-4"/>
          <w:kern w:val="0"/>
          <w:sz w:val="24"/>
          <w:lang w:bidi="zh-CN"/>
        </w:rPr>
      </w:pPr>
      <w:r>
        <w:rPr>
          <w:spacing w:val="-4"/>
          <w:kern w:val="0"/>
          <w:sz w:val="24"/>
          <w:lang w:bidi="zh-CN"/>
        </w:rPr>
        <w:t>预测</w:t>
      </w:r>
      <w:r>
        <w:rPr>
          <w:rFonts w:hint="eastAsia"/>
          <w:spacing w:val="-4"/>
          <w:kern w:val="0"/>
          <w:sz w:val="24"/>
          <w:lang w:bidi="zh-CN"/>
        </w:rPr>
        <w:t>渗滤液下渗</w:t>
      </w:r>
      <w:r>
        <w:rPr>
          <w:spacing w:val="-4"/>
          <w:kern w:val="0"/>
          <w:sz w:val="24"/>
          <w:lang w:bidi="zh-CN"/>
        </w:rPr>
        <w:t>100d、</w:t>
      </w:r>
      <w:r>
        <w:rPr>
          <w:rFonts w:hint="eastAsia"/>
          <w:spacing w:val="-4"/>
          <w:kern w:val="0"/>
          <w:sz w:val="24"/>
          <w:lang w:bidi="zh-CN"/>
        </w:rPr>
        <w:t>500</w:t>
      </w:r>
      <w:r>
        <w:rPr>
          <w:spacing w:val="-4"/>
          <w:kern w:val="0"/>
          <w:sz w:val="24"/>
          <w:lang w:bidi="zh-CN"/>
        </w:rPr>
        <w:t>d、</w:t>
      </w:r>
      <w:r>
        <w:rPr>
          <w:rFonts w:hint="eastAsia"/>
          <w:spacing w:val="-4"/>
          <w:kern w:val="0"/>
          <w:sz w:val="24"/>
          <w:lang w:bidi="zh-CN"/>
        </w:rPr>
        <w:t>1000</w:t>
      </w:r>
      <w:r>
        <w:rPr>
          <w:spacing w:val="-4"/>
          <w:kern w:val="0"/>
          <w:sz w:val="24"/>
          <w:lang w:bidi="zh-CN"/>
        </w:rPr>
        <w:t>d</w:t>
      </w:r>
      <w:r>
        <w:rPr>
          <w:rFonts w:hint="eastAsia"/>
          <w:spacing w:val="-4"/>
          <w:kern w:val="0"/>
          <w:sz w:val="24"/>
          <w:lang w:bidi="zh-CN"/>
        </w:rPr>
        <w:t>、365</w:t>
      </w:r>
      <w:r>
        <w:rPr>
          <w:spacing w:val="-4"/>
          <w:kern w:val="0"/>
          <w:sz w:val="24"/>
          <w:lang w:bidi="zh-CN"/>
        </w:rPr>
        <w:t>0d</w:t>
      </w:r>
      <w:r>
        <w:rPr>
          <w:rFonts w:hint="eastAsia"/>
          <w:spacing w:val="-4"/>
          <w:kern w:val="0"/>
          <w:sz w:val="24"/>
          <w:lang w:bidi="zh-CN"/>
        </w:rPr>
        <w:t>后六价铬随土壤下渗的最大深度和土壤表层六价铬的最大浓度。</w:t>
      </w:r>
    </w:p>
    <w:p>
      <w:pPr>
        <w:spacing w:line="480" w:lineRule="exact"/>
        <w:ind w:firstLine="482"/>
        <w:rPr>
          <w:b/>
          <w:bCs/>
          <w:spacing w:val="-4"/>
          <w:kern w:val="0"/>
          <w:sz w:val="24"/>
          <w:lang w:bidi="zh-CN"/>
        </w:rPr>
      </w:pPr>
      <w:r>
        <w:rPr>
          <w:b/>
          <w:bCs/>
          <w:spacing w:val="-4"/>
          <w:kern w:val="0"/>
          <w:sz w:val="24"/>
          <w:lang w:bidi="zh-CN"/>
        </w:rPr>
        <w:t>（</w:t>
      </w:r>
      <w:r>
        <w:rPr>
          <w:rFonts w:hint="eastAsia"/>
          <w:b/>
          <w:bCs/>
          <w:spacing w:val="-4"/>
          <w:kern w:val="0"/>
          <w:sz w:val="24"/>
          <w:lang w:bidi="zh-CN"/>
        </w:rPr>
        <w:t>4</w:t>
      </w:r>
      <w:r>
        <w:rPr>
          <w:b/>
          <w:bCs/>
          <w:spacing w:val="-4"/>
          <w:kern w:val="0"/>
          <w:sz w:val="24"/>
          <w:lang w:bidi="zh-CN"/>
        </w:rPr>
        <w:t>）预测结果</w:t>
      </w:r>
    </w:p>
    <w:p>
      <w:pPr>
        <w:jc w:val="center"/>
        <w:rPr>
          <w:rFonts w:cs="宋体" w:asciiTheme="minorEastAsia" w:hAnsiTheme="minorEastAsia"/>
          <w:spacing w:val="-4"/>
          <w:kern w:val="0"/>
          <w:sz w:val="24"/>
          <w:lang w:bidi="zh-CN"/>
        </w:rPr>
      </w:pPr>
      <w:r>
        <w:drawing>
          <wp:inline distT="0" distB="0" distL="114300" distR="114300">
            <wp:extent cx="4260215" cy="3239770"/>
            <wp:effectExtent l="19050" t="19050" r="26035" b="3683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00" cstate="print"/>
                    <a:stretch>
                      <a:fillRect/>
                    </a:stretch>
                  </pic:blipFill>
                  <pic:spPr>
                    <a:xfrm>
                      <a:off x="0" y="0"/>
                      <a:ext cx="4260215" cy="3239770"/>
                    </a:xfrm>
                    <a:prstGeom prst="rect">
                      <a:avLst/>
                    </a:prstGeom>
                    <a:noFill/>
                    <a:ln w="19050" cmpd="sng">
                      <a:solidFill>
                        <a:schemeClr val="tx1"/>
                      </a:solidFill>
                      <a:prstDash val="solid"/>
                    </a:ln>
                  </pic:spPr>
                </pic:pic>
              </a:graphicData>
            </a:graphic>
          </wp:inline>
        </w:drawing>
      </w:r>
    </w:p>
    <w:p>
      <w:pPr>
        <w:spacing w:afterLines="50" w:line="360" w:lineRule="exact"/>
        <w:jc w:val="center"/>
        <w:rPr>
          <w:b/>
          <w:sz w:val="24"/>
        </w:rPr>
      </w:pPr>
      <w:r>
        <w:rPr>
          <w:rFonts w:hint="eastAsia"/>
          <w:b/>
          <w:sz w:val="24"/>
        </w:rPr>
        <w:t>场地六价铬随时间在垂向运移距离（深度）曲线</w:t>
      </w:r>
    </w:p>
    <w:p>
      <w:pPr>
        <w:spacing w:line="500" w:lineRule="exact"/>
        <w:ind w:firstLine="482"/>
        <w:rPr>
          <w:b/>
          <w:bCs/>
          <w:spacing w:val="-4"/>
          <w:kern w:val="0"/>
          <w:sz w:val="24"/>
          <w:lang w:bidi="zh-CN"/>
        </w:rPr>
      </w:pPr>
      <w:r>
        <w:rPr>
          <w:b/>
          <w:bCs/>
          <w:kern w:val="0"/>
          <w:sz w:val="24"/>
        </w:rPr>
        <w:t>注：T1、T2、T3、T4表示100d、500d、1000d、3650d时间节点</w:t>
      </w:r>
    </w:p>
    <w:p>
      <w:pPr>
        <w:spacing w:line="500" w:lineRule="exact"/>
        <w:ind w:firstLine="464" w:firstLineChars="200"/>
        <w:rPr>
          <w:rFonts w:eastAsiaTheme="minorEastAsia"/>
          <w:spacing w:val="-4"/>
          <w:kern w:val="0"/>
          <w:sz w:val="24"/>
          <w:lang w:bidi="zh-CN"/>
        </w:rPr>
      </w:pPr>
      <w:r>
        <w:rPr>
          <w:rFonts w:eastAsiaTheme="minorEastAsia"/>
          <w:spacing w:val="-4"/>
          <w:kern w:val="0"/>
          <w:sz w:val="24"/>
          <w:lang w:bidi="zh-CN"/>
        </w:rPr>
        <w:t>根据预测结果，</w:t>
      </w:r>
      <w:r>
        <w:rPr>
          <w:spacing w:val="-4"/>
          <w:kern w:val="0"/>
          <w:sz w:val="24"/>
          <w:lang w:bidi="zh-CN"/>
        </w:rPr>
        <w:t>场地六价铬在进入土壤100d后，垂向最远迁移距离（深度）约为90cm，六价铬的浓度在土壤0-90cm深度的分布呈曲线，六价铬的浓度最大值为表层土壤处的0.0093mg/cm</w:t>
      </w:r>
      <w:r>
        <w:rPr>
          <w:spacing w:val="-4"/>
          <w:kern w:val="0"/>
          <w:sz w:val="24"/>
          <w:vertAlign w:val="superscript"/>
          <w:lang w:bidi="zh-CN"/>
        </w:rPr>
        <w:t>3</w:t>
      </w:r>
      <w:r>
        <w:rPr>
          <w:spacing w:val="-4"/>
          <w:kern w:val="0"/>
          <w:sz w:val="24"/>
          <w:lang w:bidi="zh-CN"/>
        </w:rPr>
        <w:t>；</w:t>
      </w:r>
      <w:r>
        <w:rPr>
          <w:rFonts w:hint="eastAsia"/>
          <w:spacing w:val="-4"/>
          <w:kern w:val="0"/>
          <w:sz w:val="24"/>
          <w:lang w:bidi="zh-CN"/>
        </w:rPr>
        <w:t>500</w:t>
      </w:r>
      <w:r>
        <w:rPr>
          <w:spacing w:val="-4"/>
          <w:kern w:val="0"/>
          <w:sz w:val="24"/>
          <w:lang w:bidi="zh-CN"/>
        </w:rPr>
        <w:t>d后，垂向最远运移距离约为</w:t>
      </w:r>
      <w:r>
        <w:rPr>
          <w:rFonts w:hint="eastAsia"/>
          <w:spacing w:val="-4"/>
          <w:kern w:val="0"/>
          <w:sz w:val="24"/>
          <w:lang w:bidi="zh-CN"/>
        </w:rPr>
        <w:t>170</w:t>
      </w:r>
      <w:r>
        <w:rPr>
          <w:spacing w:val="-4"/>
          <w:kern w:val="0"/>
          <w:sz w:val="24"/>
          <w:lang w:bidi="zh-CN"/>
        </w:rPr>
        <w:t>cm，浓度最大值为深度65cm处的0.002</w:t>
      </w:r>
      <w:r>
        <w:rPr>
          <w:rFonts w:hint="eastAsia"/>
          <w:spacing w:val="-4"/>
          <w:kern w:val="0"/>
          <w:sz w:val="24"/>
          <w:lang w:bidi="zh-CN"/>
        </w:rPr>
        <w:t>7</w:t>
      </w:r>
      <w:r>
        <w:rPr>
          <w:spacing w:val="-4"/>
          <w:kern w:val="0"/>
          <w:sz w:val="24"/>
          <w:lang w:bidi="zh-CN"/>
        </w:rPr>
        <w:t>mg/cm</w:t>
      </w:r>
      <w:r>
        <w:rPr>
          <w:spacing w:val="-4"/>
          <w:kern w:val="0"/>
          <w:sz w:val="24"/>
          <w:vertAlign w:val="superscript"/>
          <w:lang w:bidi="zh-CN"/>
        </w:rPr>
        <w:t>3</w:t>
      </w:r>
      <w:r>
        <w:rPr>
          <w:spacing w:val="-4"/>
          <w:kern w:val="0"/>
          <w:sz w:val="24"/>
          <w:lang w:bidi="zh-CN"/>
        </w:rPr>
        <w:t>；</w:t>
      </w:r>
      <w:r>
        <w:rPr>
          <w:rFonts w:hint="eastAsia"/>
          <w:spacing w:val="-4"/>
          <w:kern w:val="0"/>
          <w:sz w:val="24"/>
          <w:lang w:bidi="zh-CN"/>
        </w:rPr>
        <w:t>10</w:t>
      </w:r>
      <w:r>
        <w:rPr>
          <w:spacing w:val="-4"/>
          <w:kern w:val="0"/>
          <w:sz w:val="24"/>
          <w:lang w:bidi="zh-CN"/>
        </w:rPr>
        <w:t>00d后，垂向最远运移距离约为2</w:t>
      </w:r>
      <w:r>
        <w:rPr>
          <w:rFonts w:hint="eastAsia"/>
          <w:spacing w:val="-4"/>
          <w:kern w:val="0"/>
          <w:sz w:val="24"/>
          <w:lang w:bidi="zh-CN"/>
        </w:rPr>
        <w:t>15</w:t>
      </w:r>
      <w:r>
        <w:rPr>
          <w:spacing w:val="-4"/>
          <w:kern w:val="0"/>
          <w:sz w:val="24"/>
          <w:lang w:bidi="zh-CN"/>
        </w:rPr>
        <w:t>cm，浓度最大值为深度90cm处的0.0022mg/cm</w:t>
      </w:r>
      <w:r>
        <w:rPr>
          <w:spacing w:val="-4"/>
          <w:kern w:val="0"/>
          <w:sz w:val="24"/>
          <w:vertAlign w:val="superscript"/>
          <w:lang w:bidi="zh-CN"/>
        </w:rPr>
        <w:t>3</w:t>
      </w:r>
      <w:r>
        <w:rPr>
          <w:spacing w:val="-4"/>
          <w:kern w:val="0"/>
          <w:sz w:val="24"/>
          <w:lang w:bidi="zh-CN"/>
        </w:rPr>
        <w:t>；</w:t>
      </w:r>
      <w:r>
        <w:rPr>
          <w:rFonts w:hint="eastAsia"/>
          <w:spacing w:val="-4"/>
          <w:kern w:val="0"/>
          <w:sz w:val="24"/>
          <w:lang w:bidi="zh-CN"/>
        </w:rPr>
        <w:t>3650</w:t>
      </w:r>
      <w:r>
        <w:rPr>
          <w:spacing w:val="-4"/>
          <w:kern w:val="0"/>
          <w:sz w:val="24"/>
          <w:lang w:bidi="zh-CN"/>
        </w:rPr>
        <w:t>d后，垂向最远运移距离约为</w:t>
      </w:r>
      <w:r>
        <w:rPr>
          <w:rFonts w:hint="eastAsia"/>
          <w:spacing w:val="-4"/>
          <w:kern w:val="0"/>
          <w:sz w:val="24"/>
          <w:lang w:bidi="zh-CN"/>
        </w:rPr>
        <w:t>360</w:t>
      </w:r>
      <w:r>
        <w:rPr>
          <w:spacing w:val="-4"/>
          <w:kern w:val="0"/>
          <w:sz w:val="24"/>
          <w:lang w:bidi="zh-CN"/>
        </w:rPr>
        <w:t>cm，浓度最大值为深度为190cm处的0.001464mg/cm</w:t>
      </w:r>
      <w:r>
        <w:rPr>
          <w:spacing w:val="-4"/>
          <w:kern w:val="0"/>
          <w:sz w:val="24"/>
          <w:vertAlign w:val="superscript"/>
          <w:lang w:bidi="zh-CN"/>
        </w:rPr>
        <w:t>3</w:t>
      </w:r>
      <w:r>
        <w:rPr>
          <w:spacing w:val="-4"/>
          <w:kern w:val="0"/>
          <w:sz w:val="24"/>
          <w:lang w:bidi="zh-CN"/>
        </w:rPr>
        <w:t>。</w:t>
      </w:r>
    </w:p>
    <w:p>
      <w:pPr>
        <w:spacing w:line="500" w:lineRule="exact"/>
        <w:ind w:firstLine="464" w:firstLineChars="200"/>
        <w:rPr>
          <w:spacing w:val="-4"/>
          <w:kern w:val="0"/>
          <w:sz w:val="24"/>
          <w:lang w:bidi="zh-CN"/>
        </w:rPr>
      </w:pPr>
      <w:r>
        <w:rPr>
          <w:spacing w:val="-4"/>
          <w:kern w:val="0"/>
          <w:sz w:val="24"/>
          <w:lang w:bidi="zh-CN"/>
        </w:rPr>
        <w:t>总体来看，污染物</w:t>
      </w:r>
      <w:r>
        <w:rPr>
          <w:rFonts w:eastAsiaTheme="minorEastAsia"/>
          <w:spacing w:val="-4"/>
          <w:kern w:val="0"/>
          <w:sz w:val="24"/>
          <w:lang w:bidi="zh-CN"/>
        </w:rPr>
        <w:t>六价铬</w:t>
      </w:r>
      <w:r>
        <w:rPr>
          <w:spacing w:val="-4"/>
          <w:kern w:val="0"/>
          <w:sz w:val="24"/>
          <w:lang w:bidi="zh-CN"/>
        </w:rPr>
        <w:t>进入土壤垂向迁移过程中，浓度随运移距离呈先逐渐增大，到达最大值后逐渐变小的趋势，场地浓度最大值为</w:t>
      </w:r>
      <w:r>
        <w:rPr>
          <w:rFonts w:eastAsiaTheme="minorEastAsia"/>
          <w:spacing w:val="-4"/>
          <w:kern w:val="0"/>
          <w:sz w:val="24"/>
          <w:lang w:bidi="zh-CN"/>
        </w:rPr>
        <w:t>0.00</w:t>
      </w:r>
      <w:r>
        <w:rPr>
          <w:rFonts w:hint="eastAsia"/>
          <w:spacing w:val="-4"/>
          <w:kern w:val="0"/>
          <w:sz w:val="24"/>
          <w:lang w:bidi="zh-CN"/>
        </w:rPr>
        <w:t>93m</w:t>
      </w:r>
      <w:r>
        <w:rPr>
          <w:rFonts w:eastAsiaTheme="minorEastAsia"/>
          <w:spacing w:val="-4"/>
          <w:kern w:val="0"/>
          <w:sz w:val="24"/>
          <w:lang w:bidi="zh-CN"/>
        </w:rPr>
        <w:t>g/cm</w:t>
      </w:r>
      <w:r>
        <w:rPr>
          <w:rFonts w:eastAsiaTheme="minorEastAsia"/>
          <w:spacing w:val="-4"/>
          <w:kern w:val="0"/>
          <w:sz w:val="24"/>
          <w:vertAlign w:val="superscript"/>
          <w:lang w:bidi="zh-CN"/>
        </w:rPr>
        <w:t>3</w:t>
      </w:r>
      <w:r>
        <w:rPr>
          <w:spacing w:val="-4"/>
          <w:kern w:val="0"/>
          <w:sz w:val="24"/>
          <w:lang w:bidi="zh-CN"/>
        </w:rPr>
        <w:t>，土壤饱和含水率为0.</w:t>
      </w:r>
      <w:r>
        <w:rPr>
          <w:rFonts w:hint="eastAsia"/>
          <w:spacing w:val="-4"/>
          <w:kern w:val="0"/>
          <w:sz w:val="24"/>
          <w:lang w:bidi="zh-CN"/>
        </w:rPr>
        <w:t>36，</w:t>
      </w:r>
      <w:r>
        <w:rPr>
          <w:spacing w:val="-4"/>
          <w:kern w:val="0"/>
          <w:sz w:val="24"/>
          <w:lang w:bidi="zh-CN"/>
        </w:rPr>
        <w:t>土壤</w:t>
      </w:r>
      <w:r>
        <w:rPr>
          <w:rFonts w:hint="eastAsia"/>
          <w:spacing w:val="-4"/>
          <w:kern w:val="0"/>
          <w:sz w:val="24"/>
          <w:lang w:bidi="zh-CN"/>
        </w:rPr>
        <w:t>容重</w:t>
      </w:r>
      <w:r>
        <w:rPr>
          <w:spacing w:val="-4"/>
          <w:kern w:val="0"/>
          <w:sz w:val="24"/>
          <w:lang w:bidi="zh-CN"/>
        </w:rPr>
        <w:t>为</w:t>
      </w:r>
      <w:r>
        <w:rPr>
          <w:rFonts w:hint="eastAsia"/>
          <w:spacing w:val="-4"/>
          <w:kern w:val="0"/>
          <w:sz w:val="24"/>
          <w:lang w:bidi="zh-CN"/>
        </w:rPr>
        <w:t>1.31</w:t>
      </w:r>
      <w:r>
        <w:rPr>
          <w:spacing w:val="-4"/>
          <w:kern w:val="0"/>
          <w:sz w:val="24"/>
          <w:lang w:bidi="zh-CN"/>
        </w:rPr>
        <w:t>g/cm</w:t>
      </w:r>
      <w:r>
        <w:rPr>
          <w:spacing w:val="-4"/>
          <w:kern w:val="0"/>
          <w:sz w:val="24"/>
          <w:vertAlign w:val="superscript"/>
          <w:lang w:bidi="zh-CN"/>
        </w:rPr>
        <w:t>3</w:t>
      </w:r>
      <w:r>
        <w:rPr>
          <w:spacing w:val="-4"/>
          <w:kern w:val="0"/>
          <w:sz w:val="24"/>
          <w:lang w:bidi="zh-CN"/>
        </w:rPr>
        <w:t>，经换算得出</w:t>
      </w:r>
      <w:r>
        <w:rPr>
          <w:rFonts w:eastAsiaTheme="minorEastAsia"/>
          <w:spacing w:val="-4"/>
          <w:kern w:val="0"/>
          <w:sz w:val="24"/>
          <w:lang w:bidi="zh-CN"/>
        </w:rPr>
        <w:t>六价铬</w:t>
      </w:r>
      <w:r>
        <w:rPr>
          <w:spacing w:val="-4"/>
          <w:kern w:val="0"/>
          <w:sz w:val="24"/>
          <w:lang w:bidi="zh-CN"/>
        </w:rPr>
        <w:t>最大预测浓度为</w:t>
      </w:r>
      <w:r>
        <w:rPr>
          <w:rFonts w:hint="eastAsia"/>
          <w:spacing w:val="-4"/>
          <w:kern w:val="0"/>
          <w:sz w:val="24"/>
          <w:lang w:bidi="zh-CN"/>
        </w:rPr>
        <w:t>2.56</w:t>
      </w:r>
      <w:r>
        <w:rPr>
          <w:spacing w:val="-4"/>
          <w:kern w:val="0"/>
          <w:sz w:val="24"/>
          <w:lang w:bidi="zh-CN"/>
        </w:rPr>
        <w:t>mg/kg，</w:t>
      </w:r>
      <w:r>
        <w:rPr>
          <w:rFonts w:hint="eastAsia"/>
          <w:spacing w:val="-4"/>
          <w:kern w:val="0"/>
          <w:sz w:val="24"/>
          <w:lang w:bidi="zh-CN"/>
        </w:rPr>
        <w:t>场地土壤质量</w:t>
      </w:r>
      <w:r>
        <w:rPr>
          <w:spacing w:val="-4"/>
          <w:kern w:val="0"/>
          <w:sz w:val="24"/>
          <w:lang w:bidi="zh-CN"/>
        </w:rPr>
        <w:t>现状监测</w:t>
      </w:r>
      <w:r>
        <w:rPr>
          <w:rFonts w:hint="eastAsia"/>
          <w:spacing w:val="-4"/>
          <w:kern w:val="0"/>
          <w:sz w:val="24"/>
          <w:lang w:bidi="zh-CN"/>
        </w:rPr>
        <w:t>六价铬未检出，</w:t>
      </w:r>
      <w:r>
        <w:rPr>
          <w:spacing w:val="-4"/>
          <w:kern w:val="0"/>
          <w:sz w:val="24"/>
          <w:lang w:bidi="zh-CN"/>
        </w:rPr>
        <w:t>预测值叠加背景值</w:t>
      </w:r>
      <w:r>
        <w:rPr>
          <w:rFonts w:hint="eastAsia"/>
          <w:spacing w:val="-4"/>
          <w:kern w:val="0"/>
          <w:sz w:val="24"/>
          <w:lang w:bidi="zh-CN"/>
        </w:rPr>
        <w:t>后小于</w:t>
      </w:r>
      <w:r>
        <w:rPr>
          <w:spacing w:val="-4"/>
          <w:kern w:val="0"/>
          <w:sz w:val="24"/>
          <w:lang w:bidi="zh-CN"/>
        </w:rPr>
        <w:t xml:space="preserve">《土壤环境质量 </w:t>
      </w:r>
      <w:r>
        <w:rPr>
          <w:rFonts w:hint="eastAsia"/>
          <w:spacing w:val="-4"/>
          <w:kern w:val="0"/>
          <w:sz w:val="24"/>
          <w:lang w:bidi="zh-CN"/>
        </w:rPr>
        <w:t>建设用</w:t>
      </w:r>
      <w:r>
        <w:rPr>
          <w:spacing w:val="-4"/>
          <w:kern w:val="0"/>
          <w:sz w:val="24"/>
          <w:lang w:bidi="zh-CN"/>
        </w:rPr>
        <w:t>地土壤污染风险管控标准（试行）》（GB</w:t>
      </w:r>
      <w:r>
        <w:rPr>
          <w:rFonts w:hint="eastAsia"/>
          <w:spacing w:val="-4"/>
          <w:kern w:val="0"/>
          <w:sz w:val="24"/>
          <w:lang w:bidi="zh-CN"/>
        </w:rPr>
        <w:t>36600</w:t>
      </w:r>
      <w:r>
        <w:rPr>
          <w:spacing w:val="-4"/>
          <w:kern w:val="0"/>
          <w:sz w:val="24"/>
          <w:lang w:bidi="zh-CN"/>
        </w:rPr>
        <w:t>-2018）</w:t>
      </w:r>
      <w:r>
        <w:rPr>
          <w:rFonts w:hint="eastAsia"/>
          <w:spacing w:val="-4"/>
          <w:kern w:val="0"/>
          <w:sz w:val="24"/>
          <w:lang w:bidi="zh-CN"/>
        </w:rPr>
        <w:t>第二类用地筛选值5.7</w:t>
      </w:r>
      <w:r>
        <w:rPr>
          <w:spacing w:val="-4"/>
          <w:kern w:val="0"/>
          <w:sz w:val="24"/>
          <w:lang w:bidi="zh-CN"/>
        </w:rPr>
        <w:t>mg/kg</w:t>
      </w:r>
      <w:r>
        <w:rPr>
          <w:rFonts w:hint="eastAsia"/>
          <w:spacing w:val="-4"/>
          <w:kern w:val="0"/>
          <w:sz w:val="24"/>
          <w:lang w:bidi="zh-CN"/>
        </w:rPr>
        <w:t>的限值</w:t>
      </w:r>
      <w:r>
        <w:rPr>
          <w:spacing w:val="-4"/>
          <w:kern w:val="0"/>
          <w:sz w:val="24"/>
          <w:lang w:bidi="zh-CN"/>
        </w:rPr>
        <w:t>要求，预设情景下，渗滤液下渗对区域土壤环境质量影响可接受。</w:t>
      </w:r>
    </w:p>
    <w:p>
      <w:pPr>
        <w:spacing w:line="500" w:lineRule="exact"/>
        <w:ind w:firstLine="482"/>
        <w:rPr>
          <w:b/>
          <w:bCs/>
          <w:spacing w:val="-4"/>
          <w:kern w:val="0"/>
          <w:sz w:val="24"/>
          <w:lang w:bidi="zh-CN"/>
        </w:rPr>
      </w:pPr>
      <w:r>
        <w:rPr>
          <w:b/>
          <w:bCs/>
          <w:spacing w:val="-4"/>
          <w:kern w:val="0"/>
          <w:sz w:val="24"/>
          <w:lang w:bidi="zh-CN"/>
        </w:rPr>
        <w:t>3、土壤保护措施及对策</w:t>
      </w:r>
    </w:p>
    <w:p>
      <w:pPr>
        <w:spacing w:line="500" w:lineRule="exact"/>
        <w:ind w:firstLine="480" w:firstLineChars="200"/>
        <w:rPr>
          <w:rFonts w:eastAsiaTheme="minorEastAsia"/>
          <w:sz w:val="24"/>
        </w:rPr>
      </w:pPr>
      <w:r>
        <w:rPr>
          <w:sz w:val="24"/>
        </w:rPr>
        <w:t>针对项目可能发生的土壤环境污染途径，以</w:t>
      </w:r>
      <w:r>
        <w:rPr>
          <w:rFonts w:eastAsiaTheme="minorEastAsia"/>
          <w:sz w:val="24"/>
        </w:rPr>
        <w:t>“源头控制、过程防控、跟踪监测”为原则，主要提出以下措施：</w:t>
      </w:r>
    </w:p>
    <w:p>
      <w:pPr>
        <w:spacing w:line="500" w:lineRule="exact"/>
        <w:ind w:firstLine="482" w:firstLineChars="200"/>
        <w:rPr>
          <w:b/>
          <w:bCs/>
          <w:sz w:val="24"/>
        </w:rPr>
      </w:pPr>
      <w:r>
        <w:rPr>
          <w:b/>
          <w:bCs/>
          <w:sz w:val="24"/>
        </w:rPr>
        <w:t>（</w:t>
      </w:r>
      <w:r>
        <w:rPr>
          <w:rFonts w:hint="eastAsia"/>
          <w:b/>
          <w:bCs/>
          <w:sz w:val="24"/>
        </w:rPr>
        <w:t>1</w:t>
      </w:r>
      <w:r>
        <w:rPr>
          <w:b/>
          <w:bCs/>
          <w:sz w:val="24"/>
        </w:rPr>
        <w:t>）源头控制</w:t>
      </w:r>
    </w:p>
    <w:p>
      <w:pPr>
        <w:spacing w:line="500" w:lineRule="exact"/>
        <w:ind w:firstLine="480" w:firstLineChars="200"/>
        <w:rPr>
          <w:sz w:val="24"/>
        </w:rPr>
      </w:pPr>
      <w:r>
        <w:rPr>
          <w:rFonts w:hint="eastAsia"/>
          <w:sz w:val="24"/>
        </w:rPr>
        <w:t>加强进场废物的管理，除环卫部门收集、转运的生活垃圾外，其他废物进场必须满足《生活垃圾填埋场污染控制标准》(GB16889-2008)第6条中“填埋废物的入场要求”的相关规定；严格按要求落实库区、渗滤液收集池及渗滤液提升井、渗滤液处理车间等的防渗，水平导流盲沟、导流层、</w:t>
      </w:r>
      <w:r>
        <w:rPr>
          <w:sz w:val="24"/>
        </w:rPr>
        <w:t>导气石笼井</w:t>
      </w:r>
      <w:r>
        <w:rPr>
          <w:rFonts w:hint="eastAsia"/>
          <w:sz w:val="24"/>
        </w:rPr>
        <w:t>等渗滤液收集导排设施的敷设，库区、场地、封场排水沟等各项雨水导排工程等，运营过程中加强防渗、渗滤液导排、渗滤液处理等设施系统的保养维护。</w:t>
      </w:r>
    </w:p>
    <w:p>
      <w:pPr>
        <w:spacing w:line="500" w:lineRule="exact"/>
        <w:ind w:firstLine="482" w:firstLineChars="200"/>
        <w:rPr>
          <w:b/>
          <w:bCs/>
          <w:sz w:val="24"/>
        </w:rPr>
      </w:pPr>
      <w:r>
        <w:rPr>
          <w:b/>
          <w:bCs/>
          <w:sz w:val="24"/>
        </w:rPr>
        <w:t>（</w:t>
      </w:r>
      <w:r>
        <w:rPr>
          <w:rFonts w:hint="eastAsia"/>
          <w:b/>
          <w:bCs/>
          <w:sz w:val="24"/>
        </w:rPr>
        <w:t>2</w:t>
      </w:r>
      <w:r>
        <w:rPr>
          <w:b/>
          <w:bCs/>
          <w:sz w:val="24"/>
        </w:rPr>
        <w:t>）过程防控</w:t>
      </w:r>
    </w:p>
    <w:p>
      <w:pPr>
        <w:spacing w:line="500" w:lineRule="exact"/>
        <w:ind w:firstLine="480" w:firstLineChars="200"/>
        <w:rPr>
          <w:sz w:val="24"/>
        </w:rPr>
      </w:pPr>
      <w:r>
        <w:rPr>
          <w:rFonts w:hint="eastAsia"/>
          <w:sz w:val="24"/>
        </w:rPr>
        <w:t>规范填埋作业，根据《生活垃圾卫生填埋处理技术规范》（GB50869-2013），严格落实分层摊铺、分层碾压、分单元逐日覆土的作业方式，做好日覆盖、中间覆盖和终场覆盖，特别是雨季的覆盖工作；严格按要求作好渗滤液的收集处理，保证经处理后的</w:t>
      </w:r>
      <w:r>
        <w:rPr>
          <w:rFonts w:hint="eastAsia"/>
          <w:sz w:val="24"/>
          <w:lang w:val="zh-CN"/>
        </w:rPr>
        <w:t>水质满足《生活垃圾填埋场污染控制标准》(GB16889-2008)和《城市污水再生利用城市杂用水水质》(GB/T18920­2020)中城市绿化、道路清扫的标准要求，全部回用于项目场地、县城城市绿化和道路清扫用水，不外排。</w:t>
      </w:r>
    </w:p>
    <w:p>
      <w:pPr>
        <w:spacing w:line="500" w:lineRule="exact"/>
        <w:ind w:left="420" w:leftChars="200"/>
        <w:rPr>
          <w:b/>
          <w:bCs/>
          <w:sz w:val="24"/>
        </w:rPr>
      </w:pPr>
      <w:r>
        <w:rPr>
          <w:b/>
          <w:bCs/>
          <w:sz w:val="24"/>
        </w:rPr>
        <w:t>（</w:t>
      </w:r>
      <w:r>
        <w:rPr>
          <w:rFonts w:hint="eastAsia"/>
          <w:b/>
          <w:bCs/>
          <w:sz w:val="24"/>
        </w:rPr>
        <w:t>3</w:t>
      </w:r>
      <w:r>
        <w:rPr>
          <w:b/>
          <w:bCs/>
          <w:sz w:val="24"/>
        </w:rPr>
        <w:t>）跟踪监测</w:t>
      </w:r>
    </w:p>
    <w:p>
      <w:pPr>
        <w:spacing w:line="500" w:lineRule="exact"/>
        <w:ind w:firstLine="480" w:firstLineChars="200"/>
        <w:rPr>
          <w:sz w:val="24"/>
        </w:rPr>
      </w:pPr>
      <w:r>
        <w:rPr>
          <w:sz w:val="24"/>
        </w:rPr>
        <w:t>制定跟踪监测计划，</w:t>
      </w:r>
      <w:r>
        <w:rPr>
          <w:rFonts w:hint="eastAsia"/>
          <w:sz w:val="24"/>
        </w:rPr>
        <w:t>在场外西北侧下游约50~100m的农田处设1个土壤跟踪监测点，</w:t>
      </w:r>
      <w:r>
        <w:rPr>
          <w:sz w:val="24"/>
        </w:rPr>
        <w:t>监测因子</w:t>
      </w:r>
      <w:r>
        <w:rPr>
          <w:rFonts w:hint="eastAsia"/>
          <w:sz w:val="24"/>
        </w:rPr>
        <w:t>包括</w:t>
      </w:r>
      <w:r>
        <w:rPr>
          <w:sz w:val="24"/>
        </w:rPr>
        <w:t>PH、镉、汞、砷、铅、铬、铜、镍、锌共9项，标准执行《土壤环境质量农用地土壤污染风险管控标准（试行）》（GB/15618-2018）中规定的筛选值，监测频率</w:t>
      </w:r>
      <w:r>
        <w:rPr>
          <w:rFonts w:hint="eastAsia"/>
          <w:sz w:val="24"/>
        </w:rPr>
        <w:t>均</w:t>
      </w:r>
      <w:r>
        <w:rPr>
          <w:sz w:val="24"/>
        </w:rPr>
        <w:t>为1次/</w:t>
      </w:r>
      <w:r>
        <w:rPr>
          <w:rFonts w:hint="eastAsia"/>
          <w:sz w:val="24"/>
        </w:rPr>
        <w:t>5</w:t>
      </w:r>
      <w:r>
        <w:rPr>
          <w:sz w:val="24"/>
        </w:rPr>
        <w:t>年。</w:t>
      </w:r>
    </w:p>
    <w:p>
      <w:pPr>
        <w:spacing w:line="500" w:lineRule="exact"/>
        <w:ind w:firstLine="482" w:firstLineChars="200"/>
        <w:rPr>
          <w:b/>
          <w:bCs/>
          <w:sz w:val="24"/>
        </w:rPr>
      </w:pPr>
      <w:r>
        <w:rPr>
          <w:b/>
          <w:bCs/>
          <w:sz w:val="24"/>
        </w:rPr>
        <w:t>4、土壤环境影响评价自查表</w:t>
      </w:r>
    </w:p>
    <w:p>
      <w:pPr>
        <w:pStyle w:val="13"/>
        <w:tabs>
          <w:tab w:val="left" w:pos="787"/>
        </w:tabs>
        <w:spacing w:line="480" w:lineRule="exact"/>
        <w:jc w:val="center"/>
        <w:rPr>
          <w:rFonts w:asciiTheme="minorEastAsia" w:hAnsiTheme="minorEastAsia" w:eastAsiaTheme="minorEastAsia" w:cstheme="minorEastAsia"/>
          <w:b/>
          <w:bCs/>
          <w:sz w:val="24"/>
        </w:rPr>
      </w:pPr>
    </w:p>
    <w:p>
      <w:pPr>
        <w:pStyle w:val="13"/>
        <w:tabs>
          <w:tab w:val="left" w:pos="787"/>
        </w:tabs>
        <w:spacing w:line="480" w:lineRule="exact"/>
        <w:jc w:val="center"/>
        <w:rPr>
          <w:rFonts w:asciiTheme="minorEastAsia" w:hAnsiTheme="minorEastAsia" w:eastAsiaTheme="minorEastAsia" w:cstheme="minorEastAsia"/>
          <w:b/>
          <w:bCs/>
          <w:sz w:val="24"/>
        </w:rPr>
      </w:pPr>
    </w:p>
    <w:p>
      <w:pPr>
        <w:pStyle w:val="13"/>
        <w:tabs>
          <w:tab w:val="left" w:pos="787"/>
        </w:tabs>
        <w:spacing w:line="480" w:lineRule="exact"/>
        <w:jc w:val="center"/>
        <w:rPr>
          <w:rFonts w:asciiTheme="minorEastAsia" w:hAnsiTheme="minorEastAsia" w:eastAsiaTheme="minorEastAsia" w:cstheme="minorEastAsia"/>
          <w:b/>
          <w:bCs/>
          <w:sz w:val="24"/>
        </w:rPr>
      </w:pPr>
    </w:p>
    <w:p>
      <w:pPr>
        <w:pStyle w:val="13"/>
        <w:tabs>
          <w:tab w:val="left" w:pos="787"/>
        </w:tabs>
        <w:spacing w:line="480" w:lineRule="exact"/>
        <w:jc w:val="center"/>
        <w:rPr>
          <w:rFonts w:asciiTheme="minorEastAsia" w:hAnsiTheme="minorEastAsia" w:eastAsiaTheme="minorEastAsia" w:cstheme="minorEastAsia"/>
          <w:b/>
          <w:bCs/>
          <w:sz w:val="24"/>
        </w:rPr>
      </w:pPr>
    </w:p>
    <w:p>
      <w:pPr>
        <w:pStyle w:val="13"/>
        <w:tabs>
          <w:tab w:val="left" w:pos="787"/>
        </w:tabs>
        <w:spacing w:line="480" w:lineRule="exact"/>
        <w:jc w:val="center"/>
        <w:rPr>
          <w:rFonts w:asciiTheme="minorEastAsia" w:hAnsiTheme="minorEastAsia" w:eastAsiaTheme="minorEastAsia" w:cstheme="minorEastAsia"/>
          <w:b/>
          <w:bCs/>
          <w:sz w:val="24"/>
        </w:rPr>
      </w:pPr>
    </w:p>
    <w:p>
      <w:pPr>
        <w:spacing w:line="480" w:lineRule="exact"/>
        <w:ind w:firstLine="482"/>
        <w:jc w:val="center"/>
        <w:rPr>
          <w:b/>
          <w:bCs/>
          <w:sz w:val="24"/>
        </w:rPr>
      </w:pPr>
      <w:r>
        <w:rPr>
          <w:rFonts w:hint="eastAsia"/>
          <w:b/>
          <w:bCs/>
          <w:sz w:val="24"/>
        </w:rPr>
        <w:t>表5.7-3 项目土壤环境影响评价自查表</w:t>
      </w:r>
    </w:p>
    <w:tbl>
      <w:tblPr>
        <w:tblStyle w:val="29"/>
        <w:tblW w:w="935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11"/>
        <w:gridCol w:w="1569"/>
        <w:gridCol w:w="1180"/>
        <w:gridCol w:w="122"/>
        <w:gridCol w:w="1219"/>
        <w:gridCol w:w="1341"/>
        <w:gridCol w:w="85"/>
        <w:gridCol w:w="1835"/>
        <w:gridCol w:w="12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280" w:type="dxa"/>
            <w:gridSpan w:val="2"/>
            <w:tcBorders>
              <w:tl2br w:val="nil"/>
              <w:tr2bl w:val="nil"/>
            </w:tcBorders>
            <w:vAlign w:val="center"/>
          </w:tcPr>
          <w:p>
            <w:pPr>
              <w:pStyle w:val="63"/>
              <w:spacing w:line="240" w:lineRule="exact"/>
              <w:jc w:val="center"/>
              <w:rPr>
                <w:szCs w:val="21"/>
              </w:rPr>
            </w:pPr>
            <w:r>
              <w:rPr>
                <w:szCs w:val="21"/>
              </w:rPr>
              <w:t>工作内容</w:t>
            </w:r>
          </w:p>
        </w:tc>
        <w:tc>
          <w:tcPr>
            <w:tcW w:w="5782" w:type="dxa"/>
            <w:gridSpan w:val="6"/>
            <w:tcBorders>
              <w:tl2br w:val="nil"/>
              <w:tr2bl w:val="nil"/>
            </w:tcBorders>
            <w:vAlign w:val="center"/>
          </w:tcPr>
          <w:p>
            <w:pPr>
              <w:pStyle w:val="63"/>
              <w:spacing w:line="240" w:lineRule="exact"/>
              <w:jc w:val="center"/>
              <w:rPr>
                <w:szCs w:val="21"/>
              </w:rPr>
            </w:pPr>
            <w:r>
              <w:rPr>
                <w:szCs w:val="21"/>
              </w:rPr>
              <w:t>完成情况</w:t>
            </w:r>
          </w:p>
        </w:tc>
        <w:tc>
          <w:tcPr>
            <w:tcW w:w="1292" w:type="dxa"/>
            <w:tcBorders>
              <w:tl2br w:val="nil"/>
              <w:tr2bl w:val="nil"/>
            </w:tcBorders>
            <w:vAlign w:val="center"/>
          </w:tcPr>
          <w:p>
            <w:pPr>
              <w:pStyle w:val="63"/>
              <w:spacing w:line="240" w:lineRule="exact"/>
              <w:jc w:val="center"/>
              <w:rPr>
                <w:szCs w:val="21"/>
              </w:rPr>
            </w:pPr>
            <w:r>
              <w:rPr>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restart"/>
            <w:tcBorders>
              <w:tl2br w:val="nil"/>
              <w:tr2bl w:val="nil"/>
            </w:tcBorders>
            <w:vAlign w:val="center"/>
          </w:tcPr>
          <w:p>
            <w:pPr>
              <w:pStyle w:val="63"/>
              <w:spacing w:line="240" w:lineRule="exact"/>
              <w:jc w:val="center"/>
              <w:rPr>
                <w:szCs w:val="21"/>
              </w:rPr>
            </w:pPr>
            <w:r>
              <w:rPr>
                <w:szCs w:val="21"/>
              </w:rPr>
              <w:t>影响</w:t>
            </w:r>
          </w:p>
          <w:p>
            <w:pPr>
              <w:pStyle w:val="63"/>
              <w:spacing w:line="240" w:lineRule="exact"/>
              <w:jc w:val="center"/>
              <w:rPr>
                <w:szCs w:val="21"/>
              </w:rPr>
            </w:pPr>
            <w:r>
              <w:rPr>
                <w:szCs w:val="21"/>
              </w:rPr>
              <w:t>识别</w:t>
            </w:r>
          </w:p>
        </w:tc>
        <w:tc>
          <w:tcPr>
            <w:tcW w:w="1569" w:type="dxa"/>
            <w:tcBorders>
              <w:tl2br w:val="nil"/>
              <w:tr2bl w:val="nil"/>
            </w:tcBorders>
            <w:vAlign w:val="center"/>
          </w:tcPr>
          <w:p>
            <w:pPr>
              <w:pStyle w:val="63"/>
              <w:spacing w:line="240" w:lineRule="exact"/>
              <w:jc w:val="center"/>
              <w:rPr>
                <w:szCs w:val="21"/>
              </w:rPr>
            </w:pPr>
            <w:r>
              <w:rPr>
                <w:szCs w:val="21"/>
              </w:rPr>
              <w:t>影响类型</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污染影响型</w:t>
            </w:r>
            <w:r>
              <w:rPr>
                <w:szCs w:val="21"/>
              </w:rPr>
              <w:sym w:font="Wingdings 2" w:char="0052"/>
            </w:r>
            <w:r>
              <w:rPr>
                <w:szCs w:val="21"/>
              </w:rPr>
              <w:t>；生态影响型</w:t>
            </w:r>
            <w:r>
              <w:rPr>
                <w:szCs w:val="21"/>
              </w:rPr>
              <w:sym w:font="Wingdings 2" w:char="00A3"/>
            </w:r>
            <w:r>
              <w:rPr>
                <w:szCs w:val="21"/>
              </w:rPr>
              <w:t>；两种兼有□</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土地利用类型</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建设用地</w:t>
            </w:r>
            <w:r>
              <w:rPr>
                <w:szCs w:val="21"/>
              </w:rPr>
              <w:sym w:font="Wingdings 2" w:char="00A3"/>
            </w:r>
            <w:r>
              <w:rPr>
                <w:szCs w:val="21"/>
              </w:rPr>
              <w:t>；农用地</w:t>
            </w:r>
            <w:r>
              <w:rPr>
                <w:szCs w:val="21"/>
              </w:rPr>
              <w:sym w:font="Wingdings 2" w:char="0052"/>
            </w:r>
            <w:r>
              <w:rPr>
                <w:szCs w:val="21"/>
              </w:rPr>
              <w:t>；未利用地</w:t>
            </w:r>
            <w:r>
              <w:rPr>
                <w:szCs w:val="21"/>
              </w:rPr>
              <w:sym w:font="Wingdings 2" w:char="0052"/>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占地规模</w:t>
            </w:r>
          </w:p>
        </w:tc>
        <w:tc>
          <w:tcPr>
            <w:tcW w:w="5782" w:type="dxa"/>
            <w:gridSpan w:val="6"/>
            <w:tcBorders>
              <w:tl2br w:val="nil"/>
              <w:tr2bl w:val="nil"/>
            </w:tcBorders>
            <w:vAlign w:val="center"/>
          </w:tcPr>
          <w:p>
            <w:pPr>
              <w:pStyle w:val="63"/>
              <w:tabs>
                <w:tab w:val="left" w:pos="1370"/>
              </w:tabs>
              <w:spacing w:line="240" w:lineRule="exact"/>
              <w:ind w:left="105" w:leftChars="50"/>
              <w:jc w:val="both"/>
              <w:rPr>
                <w:szCs w:val="21"/>
              </w:rPr>
            </w:pPr>
            <w:r>
              <w:rPr>
                <w:szCs w:val="21"/>
              </w:rPr>
              <w:t>（</w:t>
            </w:r>
            <w:r>
              <w:rPr>
                <w:rFonts w:hint="eastAsia"/>
                <w:szCs w:val="21"/>
              </w:rPr>
              <w:t>约5.34</w:t>
            </w:r>
            <w:r>
              <w:rPr>
                <w:szCs w:val="21"/>
              </w:rPr>
              <w:t>）hm</w:t>
            </w:r>
            <w:r>
              <w:rPr>
                <w:position w:val="6"/>
                <w:sz w:val="15"/>
                <w:szCs w:val="15"/>
              </w:rPr>
              <w:t>2</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敏感目标信息</w:t>
            </w:r>
          </w:p>
        </w:tc>
        <w:tc>
          <w:tcPr>
            <w:tcW w:w="5782" w:type="dxa"/>
            <w:gridSpan w:val="6"/>
            <w:tcBorders>
              <w:tl2br w:val="nil"/>
              <w:tr2bl w:val="nil"/>
            </w:tcBorders>
            <w:vAlign w:val="center"/>
          </w:tcPr>
          <w:p>
            <w:pPr>
              <w:pStyle w:val="63"/>
              <w:tabs>
                <w:tab w:val="left" w:pos="1639"/>
                <w:tab w:val="left" w:pos="3530"/>
              </w:tabs>
              <w:spacing w:line="240" w:lineRule="exact"/>
              <w:ind w:left="105" w:leftChars="50"/>
              <w:jc w:val="both"/>
              <w:rPr>
                <w:szCs w:val="21"/>
              </w:rPr>
            </w:pPr>
            <w:r>
              <w:rPr>
                <w:szCs w:val="21"/>
              </w:rPr>
              <w:t>敏感目标（农田）、方位（周边均有分布）、距离（0~200m）</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影响途径</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大气沉降</w:t>
            </w:r>
            <w:r>
              <w:rPr>
                <w:szCs w:val="21"/>
              </w:rPr>
              <w:sym w:font="Wingdings 2" w:char="00A3"/>
            </w:r>
            <w:r>
              <w:rPr>
                <w:szCs w:val="21"/>
              </w:rPr>
              <w:t>；地面漫流</w:t>
            </w:r>
            <w:r>
              <w:rPr>
                <w:szCs w:val="21"/>
              </w:rPr>
              <w:sym w:font="Wingdings 2" w:char="0052"/>
            </w:r>
            <w:r>
              <w:rPr>
                <w:szCs w:val="21"/>
              </w:rPr>
              <w:t>；垂直入渗</w:t>
            </w:r>
            <w:r>
              <w:rPr>
                <w:szCs w:val="21"/>
              </w:rPr>
              <w:sym w:font="Wingdings 2" w:char="0052"/>
            </w:r>
            <w:r>
              <w:rPr>
                <w:szCs w:val="21"/>
              </w:rPr>
              <w:t>；地下水位</w:t>
            </w:r>
            <w:r>
              <w:rPr>
                <w:szCs w:val="21"/>
              </w:rPr>
              <w:sym w:font="Wingdings 2" w:char="00A3"/>
            </w:r>
            <w:r>
              <w:rPr>
                <w:szCs w:val="21"/>
              </w:rPr>
              <w:t>；其他（）</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全部污染物</w:t>
            </w:r>
          </w:p>
        </w:tc>
        <w:tc>
          <w:tcPr>
            <w:tcW w:w="5782" w:type="dxa"/>
            <w:gridSpan w:val="6"/>
            <w:tcBorders>
              <w:tl2br w:val="nil"/>
              <w:tr2bl w:val="nil"/>
            </w:tcBorders>
            <w:vAlign w:val="center"/>
          </w:tcPr>
          <w:p>
            <w:pPr>
              <w:pStyle w:val="63"/>
              <w:spacing w:line="240" w:lineRule="exact"/>
              <w:ind w:left="105" w:leftChars="50"/>
              <w:jc w:val="both"/>
              <w:rPr>
                <w:szCs w:val="21"/>
              </w:rPr>
            </w:pPr>
            <w:r>
              <w:rPr>
                <w:rFonts w:eastAsiaTheme="minorEastAsia"/>
                <w:szCs w:val="21"/>
              </w:rPr>
              <w:t>PH、镉、汞、砷、铅、铬、铜、镍、锌</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特征因子</w:t>
            </w:r>
          </w:p>
        </w:tc>
        <w:tc>
          <w:tcPr>
            <w:tcW w:w="5782" w:type="dxa"/>
            <w:gridSpan w:val="6"/>
            <w:tcBorders>
              <w:tl2br w:val="nil"/>
              <w:tr2bl w:val="nil"/>
            </w:tcBorders>
            <w:vAlign w:val="center"/>
          </w:tcPr>
          <w:p>
            <w:pPr>
              <w:pStyle w:val="63"/>
              <w:spacing w:line="240" w:lineRule="exact"/>
              <w:ind w:left="105" w:leftChars="50"/>
              <w:jc w:val="both"/>
              <w:rPr>
                <w:szCs w:val="21"/>
              </w:rPr>
            </w:pPr>
            <w:r>
              <w:rPr>
                <w:rFonts w:eastAsiaTheme="minorEastAsia"/>
                <w:szCs w:val="21"/>
              </w:rPr>
              <w:t>PH、镉、汞、砷、铅、铬、铜、镍、锌</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6"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60" w:lineRule="exact"/>
              <w:jc w:val="center"/>
              <w:rPr>
                <w:szCs w:val="21"/>
              </w:rPr>
            </w:pPr>
            <w:r>
              <w:rPr>
                <w:szCs w:val="21"/>
              </w:rPr>
              <w:t>所属土壤环境影响评价项目类别</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Ⅰ类□；Ⅱ类</w:t>
            </w:r>
            <w:r>
              <w:rPr>
                <w:szCs w:val="21"/>
              </w:rPr>
              <w:sym w:font="Wingdings 2" w:char="0052"/>
            </w:r>
            <w:r>
              <w:rPr>
                <w:szCs w:val="21"/>
              </w:rPr>
              <w:t>；Ⅲ类□；Ⅳ类□</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敏感程度</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敏感</w:t>
            </w:r>
            <w:r>
              <w:rPr>
                <w:szCs w:val="21"/>
              </w:rPr>
              <w:sym w:font="Wingdings 2" w:char="0052"/>
            </w:r>
            <w:r>
              <w:rPr>
                <w:szCs w:val="21"/>
              </w:rPr>
              <w:t>；较敏感□；不敏感</w:t>
            </w:r>
            <w:r>
              <w:rPr>
                <w:szCs w:val="21"/>
              </w:rPr>
              <w:sym w:font="Wingdings 2" w:char="00A3"/>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280" w:type="dxa"/>
            <w:gridSpan w:val="2"/>
            <w:tcBorders>
              <w:tl2br w:val="nil"/>
              <w:tr2bl w:val="nil"/>
            </w:tcBorders>
            <w:vAlign w:val="center"/>
          </w:tcPr>
          <w:p>
            <w:pPr>
              <w:pStyle w:val="63"/>
              <w:spacing w:line="240" w:lineRule="exact"/>
              <w:jc w:val="center"/>
              <w:rPr>
                <w:szCs w:val="21"/>
              </w:rPr>
            </w:pPr>
            <w:r>
              <w:rPr>
                <w:szCs w:val="21"/>
              </w:rPr>
              <w:t>评价工作等级</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一级□；二级</w:t>
            </w:r>
            <w:r>
              <w:rPr>
                <w:szCs w:val="21"/>
              </w:rPr>
              <w:sym w:font="Wingdings 2" w:char="0052"/>
            </w:r>
            <w:r>
              <w:rPr>
                <w:szCs w:val="21"/>
              </w:rPr>
              <w:t>；三级</w:t>
            </w:r>
            <w:r>
              <w:rPr>
                <w:szCs w:val="21"/>
              </w:rPr>
              <w:sym w:font="Wingdings 2" w:char="00A3"/>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restart"/>
            <w:tcBorders>
              <w:tl2br w:val="nil"/>
              <w:tr2bl w:val="nil"/>
            </w:tcBorders>
            <w:vAlign w:val="center"/>
          </w:tcPr>
          <w:p>
            <w:pPr>
              <w:pStyle w:val="63"/>
              <w:spacing w:line="240" w:lineRule="exact"/>
              <w:jc w:val="center"/>
              <w:rPr>
                <w:szCs w:val="21"/>
              </w:rPr>
            </w:pPr>
            <w:r>
              <w:rPr>
                <w:szCs w:val="21"/>
              </w:rPr>
              <w:t>现状调查内容</w:t>
            </w:r>
          </w:p>
        </w:tc>
        <w:tc>
          <w:tcPr>
            <w:tcW w:w="1569" w:type="dxa"/>
            <w:tcBorders>
              <w:tl2br w:val="nil"/>
              <w:tr2bl w:val="nil"/>
            </w:tcBorders>
            <w:vAlign w:val="center"/>
          </w:tcPr>
          <w:p>
            <w:pPr>
              <w:pStyle w:val="63"/>
              <w:spacing w:line="240" w:lineRule="exact"/>
              <w:jc w:val="center"/>
              <w:rPr>
                <w:szCs w:val="21"/>
              </w:rPr>
            </w:pPr>
            <w:r>
              <w:rPr>
                <w:szCs w:val="21"/>
              </w:rPr>
              <w:t>资料收集</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a）</w:t>
            </w:r>
            <w:r>
              <w:rPr>
                <w:szCs w:val="21"/>
              </w:rPr>
              <w:sym w:font="Wingdings 2" w:char="0052"/>
            </w:r>
            <w:r>
              <w:rPr>
                <w:szCs w:val="21"/>
              </w:rPr>
              <w:t>；b）</w:t>
            </w:r>
            <w:r>
              <w:rPr>
                <w:szCs w:val="21"/>
              </w:rPr>
              <w:sym w:font="Wingdings 2" w:char="0052"/>
            </w:r>
            <w:r>
              <w:rPr>
                <w:szCs w:val="21"/>
              </w:rPr>
              <w:t>；c）□；d）</w:t>
            </w:r>
            <w:r>
              <w:rPr>
                <w:szCs w:val="21"/>
              </w:rPr>
              <w:sym w:font="Wingdings 2" w:char="0052"/>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8"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理化特性</w:t>
            </w:r>
          </w:p>
        </w:tc>
        <w:tc>
          <w:tcPr>
            <w:tcW w:w="5782" w:type="dxa"/>
            <w:gridSpan w:val="6"/>
            <w:tcBorders>
              <w:tl2br w:val="nil"/>
              <w:tr2bl w:val="nil"/>
            </w:tcBorders>
            <w:vAlign w:val="center"/>
          </w:tcPr>
          <w:p>
            <w:pPr>
              <w:pStyle w:val="63"/>
              <w:spacing w:line="240" w:lineRule="exact"/>
              <w:rPr>
                <w:szCs w:val="21"/>
              </w:rPr>
            </w:pPr>
            <w:r>
              <w:rPr>
                <w:rFonts w:hint="eastAsia"/>
                <w:color w:val="000000"/>
                <w:szCs w:val="21"/>
              </w:rPr>
              <w:t>调查土壤颜色、结构、土壤质地、砂砾含量、其他异物、</w:t>
            </w:r>
            <w:r>
              <w:rPr>
                <w:rFonts w:ascii="TimesNewRomanPSMT" w:hAnsi="TimesNewRomanPSMT"/>
                <w:color w:val="000000"/>
                <w:szCs w:val="21"/>
              </w:rPr>
              <w:t xml:space="preserve">pH </w:t>
            </w:r>
            <w:r>
              <w:rPr>
                <w:rFonts w:hint="eastAsia"/>
                <w:color w:val="000000"/>
                <w:szCs w:val="21"/>
              </w:rPr>
              <w:t>值、 阳离子交换量、氧化还原电位、饱和导水率、土壤容重、孔隙度等</w:t>
            </w:r>
          </w:p>
        </w:tc>
        <w:tc>
          <w:tcPr>
            <w:tcW w:w="1292" w:type="dxa"/>
            <w:tcBorders>
              <w:tl2br w:val="nil"/>
              <w:tr2bl w:val="nil"/>
            </w:tcBorders>
            <w:vAlign w:val="center"/>
          </w:tcPr>
          <w:p>
            <w:pPr>
              <w:pStyle w:val="63"/>
              <w:spacing w:line="240" w:lineRule="exact"/>
              <w:jc w:val="center"/>
              <w:rPr>
                <w:szCs w:val="21"/>
              </w:rPr>
            </w:pPr>
            <w:r>
              <w:rPr>
                <w:szCs w:val="21"/>
              </w:rPr>
              <w:t>同附录 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vMerge w:val="restart"/>
            <w:tcBorders>
              <w:tl2br w:val="nil"/>
              <w:tr2bl w:val="nil"/>
            </w:tcBorders>
            <w:vAlign w:val="center"/>
          </w:tcPr>
          <w:p>
            <w:pPr>
              <w:pStyle w:val="63"/>
              <w:spacing w:line="240" w:lineRule="exact"/>
              <w:jc w:val="center"/>
              <w:rPr>
                <w:szCs w:val="21"/>
              </w:rPr>
            </w:pPr>
            <w:r>
              <w:rPr>
                <w:szCs w:val="21"/>
              </w:rPr>
              <w:t>现状监测点位</w:t>
            </w:r>
          </w:p>
        </w:tc>
        <w:tc>
          <w:tcPr>
            <w:tcW w:w="1180" w:type="dxa"/>
            <w:tcBorders>
              <w:tl2br w:val="nil"/>
              <w:tr2bl w:val="nil"/>
            </w:tcBorders>
            <w:vAlign w:val="center"/>
          </w:tcPr>
          <w:p>
            <w:pPr>
              <w:pStyle w:val="63"/>
              <w:spacing w:line="240" w:lineRule="exact"/>
              <w:jc w:val="center"/>
              <w:rPr>
                <w:szCs w:val="21"/>
              </w:rPr>
            </w:pPr>
          </w:p>
        </w:tc>
        <w:tc>
          <w:tcPr>
            <w:tcW w:w="1341" w:type="dxa"/>
            <w:gridSpan w:val="2"/>
            <w:tcBorders>
              <w:tl2br w:val="nil"/>
              <w:tr2bl w:val="nil"/>
            </w:tcBorders>
            <w:vAlign w:val="center"/>
          </w:tcPr>
          <w:p>
            <w:pPr>
              <w:pStyle w:val="63"/>
              <w:spacing w:line="240" w:lineRule="exact"/>
              <w:jc w:val="center"/>
              <w:rPr>
                <w:szCs w:val="21"/>
              </w:rPr>
            </w:pPr>
            <w:r>
              <w:rPr>
                <w:szCs w:val="21"/>
              </w:rPr>
              <w:t>占地范围内</w:t>
            </w:r>
          </w:p>
        </w:tc>
        <w:tc>
          <w:tcPr>
            <w:tcW w:w="1341" w:type="dxa"/>
            <w:tcBorders>
              <w:tl2br w:val="nil"/>
              <w:tr2bl w:val="nil"/>
            </w:tcBorders>
            <w:vAlign w:val="center"/>
          </w:tcPr>
          <w:p>
            <w:pPr>
              <w:pStyle w:val="63"/>
              <w:spacing w:line="240" w:lineRule="exact"/>
              <w:jc w:val="center"/>
              <w:rPr>
                <w:szCs w:val="21"/>
              </w:rPr>
            </w:pPr>
            <w:r>
              <w:rPr>
                <w:szCs w:val="21"/>
              </w:rPr>
              <w:t>占地范围外</w:t>
            </w:r>
          </w:p>
        </w:tc>
        <w:tc>
          <w:tcPr>
            <w:tcW w:w="1920" w:type="dxa"/>
            <w:gridSpan w:val="2"/>
            <w:tcBorders>
              <w:tl2br w:val="nil"/>
              <w:tr2bl w:val="nil"/>
            </w:tcBorders>
            <w:vAlign w:val="center"/>
          </w:tcPr>
          <w:p>
            <w:pPr>
              <w:pStyle w:val="63"/>
              <w:spacing w:line="240" w:lineRule="exact"/>
              <w:jc w:val="center"/>
              <w:rPr>
                <w:szCs w:val="21"/>
              </w:rPr>
            </w:pPr>
            <w:r>
              <w:rPr>
                <w:szCs w:val="21"/>
              </w:rPr>
              <w:t>深度</w:t>
            </w:r>
          </w:p>
        </w:tc>
        <w:tc>
          <w:tcPr>
            <w:tcW w:w="1292" w:type="dxa"/>
            <w:vMerge w:val="restart"/>
            <w:tcBorders>
              <w:tl2br w:val="nil"/>
              <w:tr2bl w:val="nil"/>
            </w:tcBorders>
            <w:vAlign w:val="center"/>
          </w:tcPr>
          <w:p>
            <w:pPr>
              <w:pStyle w:val="63"/>
              <w:spacing w:line="240" w:lineRule="exact"/>
              <w:jc w:val="center"/>
              <w:rPr>
                <w:szCs w:val="21"/>
              </w:rPr>
            </w:pPr>
            <w:r>
              <w:rPr>
                <w:szCs w:val="21"/>
              </w:rPr>
              <w:t>点位布置图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vMerge w:val="continue"/>
            <w:tcBorders>
              <w:tl2br w:val="nil"/>
              <w:tr2bl w:val="nil"/>
            </w:tcBorders>
            <w:vAlign w:val="center"/>
          </w:tcPr>
          <w:p>
            <w:pPr>
              <w:spacing w:line="240" w:lineRule="exact"/>
              <w:jc w:val="center"/>
              <w:rPr>
                <w:szCs w:val="21"/>
              </w:rPr>
            </w:pPr>
          </w:p>
        </w:tc>
        <w:tc>
          <w:tcPr>
            <w:tcW w:w="1180" w:type="dxa"/>
            <w:tcBorders>
              <w:tl2br w:val="nil"/>
              <w:tr2bl w:val="nil"/>
            </w:tcBorders>
            <w:vAlign w:val="center"/>
          </w:tcPr>
          <w:p>
            <w:pPr>
              <w:pStyle w:val="63"/>
              <w:spacing w:line="240" w:lineRule="exact"/>
              <w:jc w:val="center"/>
              <w:rPr>
                <w:szCs w:val="21"/>
              </w:rPr>
            </w:pPr>
            <w:r>
              <w:rPr>
                <w:szCs w:val="21"/>
              </w:rPr>
              <w:t>表层样点数</w:t>
            </w:r>
          </w:p>
        </w:tc>
        <w:tc>
          <w:tcPr>
            <w:tcW w:w="1341" w:type="dxa"/>
            <w:gridSpan w:val="2"/>
            <w:tcBorders>
              <w:tl2br w:val="nil"/>
              <w:tr2bl w:val="nil"/>
            </w:tcBorders>
            <w:vAlign w:val="center"/>
          </w:tcPr>
          <w:p>
            <w:pPr>
              <w:pStyle w:val="63"/>
              <w:spacing w:line="240" w:lineRule="exact"/>
              <w:jc w:val="center"/>
              <w:rPr>
                <w:szCs w:val="21"/>
              </w:rPr>
            </w:pPr>
            <w:r>
              <w:rPr>
                <w:szCs w:val="21"/>
              </w:rPr>
              <w:t>1</w:t>
            </w:r>
          </w:p>
        </w:tc>
        <w:tc>
          <w:tcPr>
            <w:tcW w:w="1341" w:type="dxa"/>
            <w:tcBorders>
              <w:tl2br w:val="nil"/>
              <w:tr2bl w:val="nil"/>
            </w:tcBorders>
            <w:vAlign w:val="center"/>
          </w:tcPr>
          <w:p>
            <w:pPr>
              <w:pStyle w:val="63"/>
              <w:spacing w:line="240" w:lineRule="exact"/>
              <w:jc w:val="center"/>
              <w:rPr>
                <w:szCs w:val="21"/>
              </w:rPr>
            </w:pPr>
            <w:r>
              <w:rPr>
                <w:rFonts w:hint="eastAsia"/>
                <w:szCs w:val="21"/>
              </w:rPr>
              <w:t>2</w:t>
            </w:r>
          </w:p>
        </w:tc>
        <w:tc>
          <w:tcPr>
            <w:tcW w:w="1920" w:type="dxa"/>
            <w:gridSpan w:val="2"/>
            <w:tcBorders>
              <w:tl2br w:val="nil"/>
              <w:tr2bl w:val="nil"/>
            </w:tcBorders>
            <w:vAlign w:val="center"/>
          </w:tcPr>
          <w:p>
            <w:pPr>
              <w:pStyle w:val="63"/>
              <w:spacing w:line="240" w:lineRule="exact"/>
              <w:jc w:val="center"/>
              <w:rPr>
                <w:szCs w:val="21"/>
              </w:rPr>
            </w:pPr>
            <w:r>
              <w:rPr>
                <w:szCs w:val="21"/>
              </w:rPr>
              <w:t>0~0.2m</w:t>
            </w:r>
          </w:p>
        </w:tc>
        <w:tc>
          <w:tcPr>
            <w:tcW w:w="1292" w:type="dxa"/>
            <w:vMerge w:val="continue"/>
            <w:tcBorders>
              <w:tl2br w:val="nil"/>
              <w:tr2bl w:val="nil"/>
            </w:tcBorders>
            <w:vAlign w:val="center"/>
          </w:tcPr>
          <w:p>
            <w:pPr>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vMerge w:val="continue"/>
            <w:tcBorders>
              <w:tl2br w:val="nil"/>
              <w:tr2bl w:val="nil"/>
            </w:tcBorders>
            <w:vAlign w:val="center"/>
          </w:tcPr>
          <w:p>
            <w:pPr>
              <w:spacing w:line="240" w:lineRule="exact"/>
              <w:jc w:val="center"/>
              <w:rPr>
                <w:szCs w:val="21"/>
              </w:rPr>
            </w:pPr>
          </w:p>
        </w:tc>
        <w:tc>
          <w:tcPr>
            <w:tcW w:w="1180" w:type="dxa"/>
            <w:tcBorders>
              <w:tl2br w:val="nil"/>
              <w:tr2bl w:val="nil"/>
            </w:tcBorders>
            <w:vAlign w:val="center"/>
          </w:tcPr>
          <w:p>
            <w:pPr>
              <w:pStyle w:val="63"/>
              <w:spacing w:line="240" w:lineRule="exact"/>
              <w:jc w:val="center"/>
              <w:rPr>
                <w:szCs w:val="21"/>
              </w:rPr>
            </w:pPr>
            <w:r>
              <w:rPr>
                <w:szCs w:val="21"/>
              </w:rPr>
              <w:t>柱状样点数</w:t>
            </w:r>
          </w:p>
        </w:tc>
        <w:tc>
          <w:tcPr>
            <w:tcW w:w="1341" w:type="dxa"/>
            <w:gridSpan w:val="2"/>
            <w:tcBorders>
              <w:tl2br w:val="nil"/>
              <w:tr2bl w:val="nil"/>
            </w:tcBorders>
            <w:vAlign w:val="center"/>
          </w:tcPr>
          <w:p>
            <w:pPr>
              <w:pStyle w:val="63"/>
              <w:spacing w:line="240" w:lineRule="exact"/>
              <w:jc w:val="center"/>
              <w:rPr>
                <w:szCs w:val="21"/>
              </w:rPr>
            </w:pPr>
            <w:r>
              <w:rPr>
                <w:szCs w:val="21"/>
              </w:rPr>
              <w:t>3</w:t>
            </w:r>
          </w:p>
        </w:tc>
        <w:tc>
          <w:tcPr>
            <w:tcW w:w="1341" w:type="dxa"/>
            <w:tcBorders>
              <w:tl2br w:val="nil"/>
              <w:tr2bl w:val="nil"/>
            </w:tcBorders>
            <w:vAlign w:val="center"/>
          </w:tcPr>
          <w:p>
            <w:pPr>
              <w:pStyle w:val="63"/>
              <w:spacing w:line="240" w:lineRule="exact"/>
              <w:jc w:val="center"/>
              <w:rPr>
                <w:szCs w:val="21"/>
              </w:rPr>
            </w:pPr>
          </w:p>
        </w:tc>
        <w:tc>
          <w:tcPr>
            <w:tcW w:w="1920" w:type="dxa"/>
            <w:gridSpan w:val="2"/>
            <w:tcBorders>
              <w:tl2br w:val="nil"/>
              <w:tr2bl w:val="nil"/>
            </w:tcBorders>
            <w:vAlign w:val="center"/>
          </w:tcPr>
          <w:p>
            <w:pPr>
              <w:pStyle w:val="63"/>
              <w:spacing w:line="240" w:lineRule="exact"/>
              <w:jc w:val="center"/>
              <w:rPr>
                <w:szCs w:val="21"/>
              </w:rPr>
            </w:pPr>
            <w:r>
              <w:rPr>
                <w:szCs w:val="21"/>
              </w:rPr>
              <w:t>0~</w:t>
            </w:r>
            <w:r>
              <w:rPr>
                <w:rFonts w:hint="eastAsia"/>
                <w:szCs w:val="21"/>
              </w:rPr>
              <w:t>3.0</w:t>
            </w:r>
            <w:r>
              <w:rPr>
                <w:szCs w:val="21"/>
              </w:rPr>
              <w:t>m</w:t>
            </w:r>
          </w:p>
        </w:tc>
        <w:tc>
          <w:tcPr>
            <w:tcW w:w="1292" w:type="dxa"/>
            <w:vMerge w:val="continue"/>
            <w:tcBorders>
              <w:tl2br w:val="nil"/>
              <w:tr2bl w:val="nil"/>
            </w:tcBorders>
            <w:vAlign w:val="center"/>
          </w:tcPr>
          <w:p>
            <w:pPr>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6"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现状监测因子</w:t>
            </w:r>
          </w:p>
        </w:tc>
        <w:tc>
          <w:tcPr>
            <w:tcW w:w="5782" w:type="dxa"/>
            <w:gridSpan w:val="6"/>
            <w:tcBorders>
              <w:tl2br w:val="nil"/>
              <w:tr2bl w:val="nil"/>
            </w:tcBorders>
            <w:vAlign w:val="center"/>
          </w:tcPr>
          <w:p>
            <w:pPr>
              <w:pStyle w:val="63"/>
              <w:spacing w:line="280" w:lineRule="exact"/>
              <w:ind w:left="105" w:leftChars="50" w:right="105" w:rightChars="50"/>
              <w:rPr>
                <w:szCs w:val="21"/>
              </w:rPr>
            </w:pPr>
            <w:r>
              <w:rPr>
                <w:szCs w:val="21"/>
              </w:rPr>
              <w:t>GB 36600</w:t>
            </w:r>
            <w:r>
              <w:rPr>
                <w:rFonts w:hint="eastAsia"/>
                <w:szCs w:val="21"/>
              </w:rPr>
              <w:t>的45项基本因子、</w:t>
            </w:r>
            <w:r>
              <w:rPr>
                <w:rFonts w:eastAsiaTheme="minorEastAsia"/>
                <w:szCs w:val="21"/>
              </w:rPr>
              <w:t>PH、镉、汞、砷、铅、铬、铜、镍、锌</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8" w:hRule="exact"/>
          <w:jc w:val="center"/>
        </w:trPr>
        <w:tc>
          <w:tcPr>
            <w:tcW w:w="711" w:type="dxa"/>
            <w:vMerge w:val="restart"/>
            <w:tcBorders>
              <w:tl2br w:val="nil"/>
              <w:tr2bl w:val="nil"/>
            </w:tcBorders>
            <w:vAlign w:val="center"/>
          </w:tcPr>
          <w:p>
            <w:pPr>
              <w:pStyle w:val="63"/>
              <w:spacing w:line="240" w:lineRule="exact"/>
              <w:jc w:val="center"/>
              <w:rPr>
                <w:szCs w:val="21"/>
              </w:rPr>
            </w:pPr>
            <w:r>
              <w:rPr>
                <w:szCs w:val="21"/>
              </w:rPr>
              <w:t>现状评价</w:t>
            </w:r>
          </w:p>
        </w:tc>
        <w:tc>
          <w:tcPr>
            <w:tcW w:w="1569" w:type="dxa"/>
            <w:tcBorders>
              <w:tl2br w:val="nil"/>
              <w:tr2bl w:val="nil"/>
            </w:tcBorders>
            <w:vAlign w:val="center"/>
          </w:tcPr>
          <w:p>
            <w:pPr>
              <w:pStyle w:val="63"/>
              <w:spacing w:line="240" w:lineRule="exact"/>
              <w:jc w:val="center"/>
              <w:rPr>
                <w:szCs w:val="21"/>
              </w:rPr>
            </w:pPr>
            <w:r>
              <w:rPr>
                <w:szCs w:val="21"/>
              </w:rPr>
              <w:t>评价因子</w:t>
            </w:r>
          </w:p>
        </w:tc>
        <w:tc>
          <w:tcPr>
            <w:tcW w:w="5782" w:type="dxa"/>
            <w:gridSpan w:val="6"/>
            <w:tcBorders>
              <w:tl2br w:val="nil"/>
              <w:tr2bl w:val="nil"/>
            </w:tcBorders>
            <w:vAlign w:val="center"/>
          </w:tcPr>
          <w:p>
            <w:pPr>
              <w:pStyle w:val="63"/>
              <w:spacing w:line="280" w:lineRule="exact"/>
              <w:ind w:left="105" w:leftChars="50" w:right="105" w:rightChars="50"/>
              <w:rPr>
                <w:szCs w:val="21"/>
              </w:rPr>
            </w:pPr>
            <w:r>
              <w:rPr>
                <w:szCs w:val="21"/>
              </w:rPr>
              <w:t>GB 36600</w:t>
            </w:r>
            <w:r>
              <w:rPr>
                <w:rFonts w:hint="eastAsia"/>
                <w:szCs w:val="21"/>
              </w:rPr>
              <w:t>的45项基本因子、</w:t>
            </w:r>
            <w:r>
              <w:rPr>
                <w:rFonts w:eastAsiaTheme="minorEastAsia"/>
                <w:szCs w:val="21"/>
              </w:rPr>
              <w:t>PH、镉、汞、砷、铅、铬、铜、镍、锌</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评价标准</w:t>
            </w:r>
          </w:p>
        </w:tc>
        <w:tc>
          <w:tcPr>
            <w:tcW w:w="5782" w:type="dxa"/>
            <w:gridSpan w:val="6"/>
            <w:tcBorders>
              <w:tl2br w:val="nil"/>
              <w:tr2bl w:val="nil"/>
            </w:tcBorders>
            <w:vAlign w:val="center"/>
          </w:tcPr>
          <w:p>
            <w:pPr>
              <w:pStyle w:val="63"/>
              <w:spacing w:line="240" w:lineRule="exact"/>
              <w:ind w:left="105" w:leftChars="50"/>
              <w:jc w:val="both"/>
              <w:rPr>
                <w:szCs w:val="21"/>
              </w:rPr>
            </w:pPr>
            <w:r>
              <w:rPr>
                <w:szCs w:val="21"/>
              </w:rPr>
              <w:t>GB 15618</w:t>
            </w:r>
            <w:r>
              <w:rPr>
                <w:szCs w:val="21"/>
              </w:rPr>
              <w:sym w:font="Wingdings 2" w:char="0052"/>
            </w:r>
            <w:r>
              <w:rPr>
                <w:szCs w:val="21"/>
              </w:rPr>
              <w:t>；GB 36600</w:t>
            </w:r>
            <w:r>
              <w:rPr>
                <w:szCs w:val="21"/>
              </w:rPr>
              <w:sym w:font="Wingdings 2" w:char="0052"/>
            </w:r>
            <w:r>
              <w:rPr>
                <w:szCs w:val="21"/>
              </w:rPr>
              <w:t>；表D.1</w:t>
            </w:r>
            <w:r>
              <w:rPr>
                <w:szCs w:val="21"/>
              </w:rPr>
              <w:sym w:font="Wingdings 2" w:char="00A3"/>
            </w:r>
            <w:r>
              <w:rPr>
                <w:szCs w:val="21"/>
              </w:rPr>
              <w:t>；表 D.2</w:t>
            </w:r>
            <w:r>
              <w:rPr>
                <w:szCs w:val="21"/>
              </w:rPr>
              <w:sym w:font="Wingdings 2" w:char="00A3"/>
            </w:r>
            <w:r>
              <w:rPr>
                <w:szCs w:val="21"/>
              </w:rPr>
              <w:t>；其他（）</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现状评价结论</w:t>
            </w:r>
          </w:p>
        </w:tc>
        <w:tc>
          <w:tcPr>
            <w:tcW w:w="5782" w:type="dxa"/>
            <w:gridSpan w:val="6"/>
            <w:tcBorders>
              <w:tl2br w:val="nil"/>
              <w:tr2bl w:val="nil"/>
            </w:tcBorders>
            <w:vAlign w:val="center"/>
          </w:tcPr>
          <w:p>
            <w:pPr>
              <w:pStyle w:val="63"/>
              <w:spacing w:line="240" w:lineRule="exact"/>
              <w:ind w:left="105" w:leftChars="50"/>
              <w:jc w:val="center"/>
              <w:rPr>
                <w:szCs w:val="21"/>
              </w:rPr>
            </w:pPr>
            <w:r>
              <w:rPr>
                <w:szCs w:val="21"/>
              </w:rPr>
              <w:t>各监测点位和因子均可满足相应标准规定的限值要求</w:t>
            </w:r>
          </w:p>
        </w:tc>
        <w:tc>
          <w:tcPr>
            <w:tcW w:w="1292" w:type="dxa"/>
            <w:tcBorders>
              <w:tl2br w:val="nil"/>
              <w:tr2bl w:val="nil"/>
            </w:tcBorders>
            <w:vAlign w:val="center"/>
          </w:tcPr>
          <w:p>
            <w:pPr>
              <w:pStyle w:val="63"/>
              <w:spacing w:line="240" w:lineRule="exact"/>
              <w:jc w:val="both"/>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restart"/>
            <w:tcBorders>
              <w:tl2br w:val="nil"/>
              <w:tr2bl w:val="nil"/>
            </w:tcBorders>
            <w:vAlign w:val="center"/>
          </w:tcPr>
          <w:p>
            <w:pPr>
              <w:pStyle w:val="63"/>
              <w:spacing w:line="240" w:lineRule="exact"/>
              <w:jc w:val="center"/>
              <w:rPr>
                <w:szCs w:val="21"/>
              </w:rPr>
            </w:pPr>
            <w:r>
              <w:rPr>
                <w:szCs w:val="21"/>
              </w:rPr>
              <w:t>影响预测</w:t>
            </w:r>
          </w:p>
        </w:tc>
        <w:tc>
          <w:tcPr>
            <w:tcW w:w="1569" w:type="dxa"/>
            <w:tcBorders>
              <w:tl2br w:val="nil"/>
              <w:tr2bl w:val="nil"/>
            </w:tcBorders>
            <w:vAlign w:val="center"/>
          </w:tcPr>
          <w:p>
            <w:pPr>
              <w:pStyle w:val="63"/>
              <w:spacing w:line="240" w:lineRule="exact"/>
              <w:jc w:val="center"/>
              <w:rPr>
                <w:szCs w:val="21"/>
              </w:rPr>
            </w:pPr>
            <w:r>
              <w:rPr>
                <w:szCs w:val="21"/>
              </w:rPr>
              <w:t>预测因子</w:t>
            </w:r>
          </w:p>
        </w:tc>
        <w:tc>
          <w:tcPr>
            <w:tcW w:w="5782" w:type="dxa"/>
            <w:gridSpan w:val="6"/>
            <w:tcBorders>
              <w:tl2br w:val="nil"/>
              <w:tr2bl w:val="nil"/>
            </w:tcBorders>
            <w:vAlign w:val="center"/>
          </w:tcPr>
          <w:p>
            <w:pPr>
              <w:pStyle w:val="63"/>
              <w:spacing w:line="240" w:lineRule="exact"/>
              <w:ind w:left="105" w:leftChars="50"/>
              <w:jc w:val="center"/>
              <w:rPr>
                <w:szCs w:val="21"/>
              </w:rPr>
            </w:pPr>
            <w:r>
              <w:rPr>
                <w:szCs w:val="21"/>
              </w:rPr>
              <w:t>六价铬</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预测方法</w:t>
            </w:r>
          </w:p>
        </w:tc>
        <w:tc>
          <w:tcPr>
            <w:tcW w:w="5782" w:type="dxa"/>
            <w:gridSpan w:val="6"/>
            <w:tcBorders>
              <w:tl2br w:val="nil"/>
              <w:tr2bl w:val="nil"/>
            </w:tcBorders>
            <w:vAlign w:val="center"/>
          </w:tcPr>
          <w:p>
            <w:pPr>
              <w:pStyle w:val="63"/>
              <w:tabs>
                <w:tab w:val="left" w:pos="2930"/>
              </w:tabs>
              <w:spacing w:line="240" w:lineRule="exact"/>
              <w:ind w:left="105" w:leftChars="50"/>
              <w:jc w:val="both"/>
              <w:rPr>
                <w:szCs w:val="21"/>
              </w:rPr>
            </w:pPr>
            <w:r>
              <w:rPr>
                <w:szCs w:val="21"/>
              </w:rPr>
              <w:t>附录E□；附录F□；其他（</w:t>
            </w:r>
            <w:r>
              <w:rPr>
                <w:rFonts w:cs="Arial"/>
                <w:szCs w:val="21"/>
              </w:rPr>
              <w:t>√</w:t>
            </w:r>
            <w:r>
              <w:rPr>
                <w:szCs w:val="21"/>
              </w:rPr>
              <w:t>）</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预测分析内容</w:t>
            </w:r>
          </w:p>
        </w:tc>
        <w:tc>
          <w:tcPr>
            <w:tcW w:w="5782" w:type="dxa"/>
            <w:gridSpan w:val="6"/>
            <w:tcBorders>
              <w:tl2br w:val="nil"/>
              <w:tr2bl w:val="nil"/>
            </w:tcBorders>
            <w:vAlign w:val="center"/>
          </w:tcPr>
          <w:p>
            <w:pPr>
              <w:pStyle w:val="63"/>
              <w:tabs>
                <w:tab w:val="left" w:pos="1639"/>
              </w:tabs>
              <w:spacing w:line="280" w:lineRule="exact"/>
              <w:ind w:left="105" w:leftChars="50"/>
              <w:jc w:val="both"/>
              <w:rPr>
                <w:szCs w:val="21"/>
              </w:rPr>
            </w:pPr>
            <w:r>
              <w:rPr>
                <w:szCs w:val="21"/>
              </w:rPr>
              <w:t>影响范围（建设项目占地范围内）影响程度（较小）</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预测结论</w:t>
            </w:r>
          </w:p>
        </w:tc>
        <w:tc>
          <w:tcPr>
            <w:tcW w:w="5782" w:type="dxa"/>
            <w:gridSpan w:val="6"/>
            <w:tcBorders>
              <w:tl2br w:val="nil"/>
              <w:tr2bl w:val="nil"/>
            </w:tcBorders>
            <w:vAlign w:val="center"/>
          </w:tcPr>
          <w:p>
            <w:pPr>
              <w:pStyle w:val="63"/>
              <w:spacing w:line="280" w:lineRule="exact"/>
              <w:ind w:left="105" w:leftChars="50"/>
              <w:jc w:val="both"/>
              <w:rPr>
                <w:szCs w:val="21"/>
              </w:rPr>
            </w:pPr>
            <w:r>
              <w:rPr>
                <w:szCs w:val="21"/>
              </w:rPr>
              <w:t>达标结论：a）</w:t>
            </w:r>
            <w:r>
              <w:rPr>
                <w:szCs w:val="21"/>
              </w:rPr>
              <w:sym w:font="Wingdings 2" w:char="0052"/>
            </w:r>
            <w:r>
              <w:rPr>
                <w:szCs w:val="21"/>
              </w:rPr>
              <w:t>；b）□；c）□</w:t>
            </w:r>
          </w:p>
          <w:p>
            <w:pPr>
              <w:pStyle w:val="63"/>
              <w:spacing w:line="280" w:lineRule="exact"/>
              <w:ind w:left="105" w:leftChars="50"/>
              <w:jc w:val="both"/>
              <w:rPr>
                <w:szCs w:val="21"/>
              </w:rPr>
            </w:pPr>
            <w:r>
              <w:rPr>
                <w:szCs w:val="21"/>
              </w:rPr>
              <w:t>不达标结论：a）□；b）□</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exact"/>
          <w:jc w:val="center"/>
        </w:trPr>
        <w:tc>
          <w:tcPr>
            <w:tcW w:w="711" w:type="dxa"/>
            <w:vMerge w:val="restart"/>
            <w:tcBorders>
              <w:tl2br w:val="nil"/>
              <w:tr2bl w:val="nil"/>
            </w:tcBorders>
            <w:vAlign w:val="center"/>
          </w:tcPr>
          <w:p>
            <w:pPr>
              <w:pStyle w:val="63"/>
              <w:spacing w:line="240" w:lineRule="exact"/>
              <w:jc w:val="center"/>
              <w:rPr>
                <w:szCs w:val="21"/>
              </w:rPr>
            </w:pPr>
            <w:r>
              <w:rPr>
                <w:szCs w:val="21"/>
              </w:rPr>
              <w:t>防治措施</w:t>
            </w:r>
          </w:p>
        </w:tc>
        <w:tc>
          <w:tcPr>
            <w:tcW w:w="1569" w:type="dxa"/>
            <w:tcBorders>
              <w:tl2br w:val="nil"/>
              <w:tr2bl w:val="nil"/>
            </w:tcBorders>
            <w:vAlign w:val="center"/>
          </w:tcPr>
          <w:p>
            <w:pPr>
              <w:pStyle w:val="63"/>
              <w:spacing w:line="240" w:lineRule="exact"/>
              <w:jc w:val="center"/>
              <w:rPr>
                <w:szCs w:val="21"/>
              </w:rPr>
            </w:pPr>
            <w:r>
              <w:rPr>
                <w:szCs w:val="21"/>
              </w:rPr>
              <w:t>防控措施</w:t>
            </w:r>
          </w:p>
        </w:tc>
        <w:tc>
          <w:tcPr>
            <w:tcW w:w="5782" w:type="dxa"/>
            <w:gridSpan w:val="6"/>
            <w:tcBorders>
              <w:tl2br w:val="nil"/>
              <w:tr2bl w:val="nil"/>
            </w:tcBorders>
            <w:vAlign w:val="center"/>
          </w:tcPr>
          <w:p>
            <w:pPr>
              <w:pStyle w:val="63"/>
              <w:spacing w:line="240" w:lineRule="exact"/>
              <w:jc w:val="both"/>
              <w:rPr>
                <w:szCs w:val="21"/>
              </w:rPr>
            </w:pPr>
            <w:r>
              <w:rPr>
                <w:szCs w:val="21"/>
              </w:rPr>
              <w:t>土壤环境质量现状保障</w:t>
            </w:r>
            <w:r>
              <w:rPr>
                <w:szCs w:val="21"/>
              </w:rPr>
              <w:sym w:font="Wingdings 2" w:char="0052"/>
            </w:r>
            <w:r>
              <w:rPr>
                <w:szCs w:val="21"/>
              </w:rPr>
              <w:t>；源头控制</w:t>
            </w:r>
            <w:r>
              <w:rPr>
                <w:szCs w:val="21"/>
              </w:rPr>
              <w:sym w:font="Wingdings 2" w:char="0052"/>
            </w:r>
            <w:r>
              <w:rPr>
                <w:szCs w:val="21"/>
              </w:rPr>
              <w:t>；过程防控</w:t>
            </w:r>
            <w:r>
              <w:rPr>
                <w:szCs w:val="21"/>
              </w:rPr>
              <w:sym w:font="Wingdings 2" w:char="0052"/>
            </w:r>
            <w:r>
              <w:rPr>
                <w:szCs w:val="21"/>
              </w:rPr>
              <w:t>；</w:t>
            </w:r>
          </w:p>
          <w:p>
            <w:pPr>
              <w:pStyle w:val="63"/>
              <w:spacing w:line="240" w:lineRule="exact"/>
              <w:jc w:val="both"/>
              <w:rPr>
                <w:szCs w:val="21"/>
              </w:rPr>
            </w:pPr>
            <w:r>
              <w:rPr>
                <w:szCs w:val="21"/>
              </w:rPr>
              <w:t>其他（</w:t>
            </w:r>
            <w:r>
              <w:rPr>
                <w:szCs w:val="21"/>
              </w:rPr>
              <w:tab/>
            </w:r>
            <w:r>
              <w:rPr>
                <w:szCs w:val="21"/>
              </w:rPr>
              <w:t>）</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vMerge w:val="restart"/>
            <w:tcBorders>
              <w:tl2br w:val="nil"/>
              <w:tr2bl w:val="nil"/>
            </w:tcBorders>
            <w:vAlign w:val="center"/>
          </w:tcPr>
          <w:p>
            <w:pPr>
              <w:pStyle w:val="63"/>
              <w:spacing w:line="240" w:lineRule="exact"/>
              <w:jc w:val="center"/>
              <w:rPr>
                <w:szCs w:val="21"/>
              </w:rPr>
            </w:pPr>
            <w:r>
              <w:rPr>
                <w:szCs w:val="21"/>
              </w:rPr>
              <w:t>跟踪监测</w:t>
            </w:r>
          </w:p>
        </w:tc>
        <w:tc>
          <w:tcPr>
            <w:tcW w:w="1302" w:type="dxa"/>
            <w:gridSpan w:val="2"/>
            <w:tcBorders>
              <w:tl2br w:val="nil"/>
              <w:tr2bl w:val="nil"/>
            </w:tcBorders>
            <w:vAlign w:val="center"/>
          </w:tcPr>
          <w:p>
            <w:pPr>
              <w:pStyle w:val="63"/>
              <w:spacing w:line="240" w:lineRule="exact"/>
              <w:jc w:val="center"/>
              <w:rPr>
                <w:szCs w:val="21"/>
              </w:rPr>
            </w:pPr>
            <w:r>
              <w:rPr>
                <w:szCs w:val="21"/>
              </w:rPr>
              <w:t>监测点数</w:t>
            </w:r>
          </w:p>
        </w:tc>
        <w:tc>
          <w:tcPr>
            <w:tcW w:w="2645" w:type="dxa"/>
            <w:gridSpan w:val="3"/>
            <w:tcBorders>
              <w:tl2br w:val="nil"/>
              <w:tr2bl w:val="nil"/>
            </w:tcBorders>
            <w:vAlign w:val="center"/>
          </w:tcPr>
          <w:p>
            <w:pPr>
              <w:pStyle w:val="63"/>
              <w:spacing w:line="240" w:lineRule="exact"/>
              <w:jc w:val="center"/>
              <w:rPr>
                <w:szCs w:val="21"/>
              </w:rPr>
            </w:pPr>
            <w:r>
              <w:rPr>
                <w:szCs w:val="21"/>
              </w:rPr>
              <w:t>监测指标</w:t>
            </w:r>
          </w:p>
        </w:tc>
        <w:tc>
          <w:tcPr>
            <w:tcW w:w="1835" w:type="dxa"/>
            <w:tcBorders>
              <w:tl2br w:val="nil"/>
              <w:tr2bl w:val="nil"/>
            </w:tcBorders>
            <w:vAlign w:val="center"/>
          </w:tcPr>
          <w:p>
            <w:pPr>
              <w:pStyle w:val="63"/>
              <w:spacing w:line="240" w:lineRule="exact"/>
              <w:jc w:val="center"/>
              <w:rPr>
                <w:szCs w:val="21"/>
              </w:rPr>
            </w:pPr>
            <w:r>
              <w:rPr>
                <w:szCs w:val="21"/>
              </w:rPr>
              <w:t>监测频次</w:t>
            </w:r>
          </w:p>
        </w:tc>
        <w:tc>
          <w:tcPr>
            <w:tcW w:w="1292" w:type="dxa"/>
            <w:vMerge w:val="restart"/>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vMerge w:val="continue"/>
            <w:tcBorders>
              <w:tl2br w:val="nil"/>
              <w:tr2bl w:val="nil"/>
            </w:tcBorders>
            <w:vAlign w:val="center"/>
          </w:tcPr>
          <w:p>
            <w:pPr>
              <w:spacing w:line="240" w:lineRule="exact"/>
              <w:jc w:val="center"/>
              <w:rPr>
                <w:szCs w:val="21"/>
              </w:rPr>
            </w:pPr>
          </w:p>
        </w:tc>
        <w:tc>
          <w:tcPr>
            <w:tcW w:w="1302" w:type="dxa"/>
            <w:gridSpan w:val="2"/>
            <w:tcBorders>
              <w:tl2br w:val="nil"/>
              <w:tr2bl w:val="nil"/>
            </w:tcBorders>
            <w:vAlign w:val="center"/>
          </w:tcPr>
          <w:p>
            <w:pPr>
              <w:pStyle w:val="63"/>
              <w:spacing w:line="240" w:lineRule="exact"/>
              <w:jc w:val="center"/>
              <w:rPr>
                <w:szCs w:val="21"/>
              </w:rPr>
            </w:pPr>
            <w:r>
              <w:rPr>
                <w:rFonts w:hint="eastAsia"/>
                <w:szCs w:val="21"/>
              </w:rPr>
              <w:t>1</w:t>
            </w:r>
          </w:p>
        </w:tc>
        <w:tc>
          <w:tcPr>
            <w:tcW w:w="2645" w:type="dxa"/>
            <w:gridSpan w:val="3"/>
            <w:tcBorders>
              <w:tl2br w:val="nil"/>
              <w:tr2bl w:val="nil"/>
            </w:tcBorders>
            <w:vAlign w:val="center"/>
          </w:tcPr>
          <w:p>
            <w:pPr>
              <w:pStyle w:val="63"/>
              <w:spacing w:line="280" w:lineRule="exact"/>
              <w:ind w:left="105" w:leftChars="50" w:right="105" w:rightChars="50"/>
              <w:jc w:val="center"/>
              <w:rPr>
                <w:szCs w:val="21"/>
              </w:rPr>
            </w:pPr>
            <w:r>
              <w:rPr>
                <w:rFonts w:eastAsiaTheme="minorEastAsia"/>
                <w:szCs w:val="21"/>
              </w:rPr>
              <w:t>PH、镉、汞、砷、铅、铬、铜、镍、锌</w:t>
            </w:r>
          </w:p>
        </w:tc>
        <w:tc>
          <w:tcPr>
            <w:tcW w:w="1835" w:type="dxa"/>
            <w:tcBorders>
              <w:tl2br w:val="nil"/>
              <w:tr2bl w:val="nil"/>
            </w:tcBorders>
            <w:vAlign w:val="center"/>
          </w:tcPr>
          <w:p>
            <w:pPr>
              <w:pStyle w:val="63"/>
              <w:spacing w:line="240" w:lineRule="exact"/>
              <w:jc w:val="center"/>
              <w:rPr>
                <w:szCs w:val="21"/>
              </w:rPr>
            </w:pPr>
            <w:r>
              <w:rPr>
                <w:szCs w:val="21"/>
              </w:rPr>
              <w:t>每5年/次</w:t>
            </w:r>
          </w:p>
        </w:tc>
        <w:tc>
          <w:tcPr>
            <w:tcW w:w="1292" w:type="dxa"/>
            <w:vMerge w:val="continue"/>
            <w:tcBorders>
              <w:tl2br w:val="nil"/>
              <w:tr2bl w:val="nil"/>
            </w:tcBorders>
            <w:vAlign w:val="center"/>
          </w:tcPr>
          <w:p>
            <w:pPr>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711" w:type="dxa"/>
            <w:vMerge w:val="continue"/>
            <w:tcBorders>
              <w:tl2br w:val="nil"/>
              <w:tr2bl w:val="nil"/>
            </w:tcBorders>
            <w:vAlign w:val="center"/>
          </w:tcPr>
          <w:p>
            <w:pPr>
              <w:spacing w:line="240" w:lineRule="exact"/>
              <w:jc w:val="center"/>
              <w:rPr>
                <w:szCs w:val="21"/>
              </w:rPr>
            </w:pPr>
          </w:p>
        </w:tc>
        <w:tc>
          <w:tcPr>
            <w:tcW w:w="1569" w:type="dxa"/>
            <w:tcBorders>
              <w:tl2br w:val="nil"/>
              <w:tr2bl w:val="nil"/>
            </w:tcBorders>
            <w:vAlign w:val="center"/>
          </w:tcPr>
          <w:p>
            <w:pPr>
              <w:pStyle w:val="63"/>
              <w:spacing w:line="240" w:lineRule="exact"/>
              <w:jc w:val="center"/>
              <w:rPr>
                <w:szCs w:val="21"/>
              </w:rPr>
            </w:pPr>
            <w:r>
              <w:rPr>
                <w:szCs w:val="21"/>
              </w:rPr>
              <w:t>信息公开指标</w:t>
            </w:r>
          </w:p>
        </w:tc>
        <w:tc>
          <w:tcPr>
            <w:tcW w:w="5782" w:type="dxa"/>
            <w:gridSpan w:val="6"/>
            <w:tcBorders>
              <w:tl2br w:val="nil"/>
              <w:tr2bl w:val="nil"/>
            </w:tcBorders>
            <w:vAlign w:val="center"/>
          </w:tcPr>
          <w:p>
            <w:pPr>
              <w:pStyle w:val="63"/>
              <w:spacing w:line="240" w:lineRule="exact"/>
              <w:jc w:val="center"/>
              <w:rPr>
                <w:szCs w:val="21"/>
              </w:rPr>
            </w:pPr>
            <w:r>
              <w:rPr>
                <w:szCs w:val="21"/>
              </w:rPr>
              <w:t>监测点位及监测值</w:t>
            </w:r>
          </w:p>
        </w:tc>
        <w:tc>
          <w:tcPr>
            <w:tcW w:w="1292" w:type="dxa"/>
            <w:vMerge w:val="continue"/>
            <w:tcBorders>
              <w:tl2br w:val="nil"/>
              <w:tr2bl w:val="nil"/>
            </w:tcBorders>
            <w:vAlign w:val="center"/>
          </w:tcPr>
          <w:p>
            <w:pPr>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280" w:type="dxa"/>
            <w:gridSpan w:val="2"/>
            <w:tcBorders>
              <w:tl2br w:val="nil"/>
              <w:tr2bl w:val="nil"/>
            </w:tcBorders>
            <w:vAlign w:val="center"/>
          </w:tcPr>
          <w:p>
            <w:pPr>
              <w:pStyle w:val="63"/>
              <w:spacing w:line="240" w:lineRule="exact"/>
              <w:jc w:val="center"/>
              <w:rPr>
                <w:szCs w:val="21"/>
              </w:rPr>
            </w:pPr>
            <w:r>
              <w:rPr>
                <w:szCs w:val="21"/>
              </w:rPr>
              <w:t>评价结论</w:t>
            </w:r>
          </w:p>
        </w:tc>
        <w:tc>
          <w:tcPr>
            <w:tcW w:w="5782" w:type="dxa"/>
            <w:gridSpan w:val="6"/>
            <w:tcBorders>
              <w:tl2br w:val="nil"/>
              <w:tr2bl w:val="nil"/>
            </w:tcBorders>
            <w:vAlign w:val="center"/>
          </w:tcPr>
          <w:p>
            <w:pPr>
              <w:pStyle w:val="63"/>
              <w:spacing w:line="240" w:lineRule="exact"/>
              <w:jc w:val="center"/>
              <w:rPr>
                <w:szCs w:val="21"/>
              </w:rPr>
            </w:pPr>
            <w:r>
              <w:rPr>
                <w:szCs w:val="21"/>
              </w:rPr>
              <w:t>从土壤环境影响的角度，项目建设总体可行</w:t>
            </w:r>
          </w:p>
        </w:tc>
        <w:tc>
          <w:tcPr>
            <w:tcW w:w="1292" w:type="dxa"/>
            <w:tcBorders>
              <w:tl2br w:val="nil"/>
              <w:tr2bl w:val="nil"/>
            </w:tcBorders>
            <w:vAlign w:val="center"/>
          </w:tcPr>
          <w:p>
            <w:pPr>
              <w:pStyle w:val="63"/>
              <w:spacing w:line="24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1" w:hRule="exact"/>
          <w:jc w:val="center"/>
        </w:trPr>
        <w:tc>
          <w:tcPr>
            <w:tcW w:w="9354" w:type="dxa"/>
            <w:gridSpan w:val="9"/>
            <w:tcBorders>
              <w:tl2br w:val="nil"/>
              <w:tr2bl w:val="nil"/>
            </w:tcBorders>
            <w:vAlign w:val="center"/>
          </w:tcPr>
          <w:p>
            <w:pPr>
              <w:pStyle w:val="63"/>
              <w:spacing w:line="240" w:lineRule="exact"/>
              <w:rPr>
                <w:color w:val="000000"/>
                <w:szCs w:val="21"/>
              </w:rPr>
            </w:pPr>
            <w:r>
              <w:rPr>
                <w:rFonts w:hint="eastAsia"/>
                <w:color w:val="000000"/>
                <w:szCs w:val="21"/>
              </w:rPr>
              <w:t xml:space="preserve">注 </w:t>
            </w:r>
            <w:r>
              <w:rPr>
                <w:rFonts w:ascii="TimesNewRomanPSMT" w:hAnsi="TimesNewRomanPSMT"/>
                <w:color w:val="000000"/>
                <w:szCs w:val="21"/>
              </w:rPr>
              <w:t>1</w:t>
            </w:r>
            <w:r>
              <w:rPr>
                <w:rFonts w:hint="eastAsia"/>
                <w:color w:val="000000"/>
                <w:szCs w:val="21"/>
              </w:rPr>
              <w:t>：</w:t>
            </w:r>
            <w:r>
              <w:rPr>
                <w:rFonts w:ascii="TimesNewRomanPSMT" w:hAnsi="TimesNewRomanPSMT"/>
                <w:color w:val="000000"/>
                <w:szCs w:val="21"/>
              </w:rPr>
              <w:t>“□”</w:t>
            </w:r>
            <w:r>
              <w:rPr>
                <w:rFonts w:hint="eastAsia"/>
                <w:color w:val="000000"/>
                <w:szCs w:val="21"/>
              </w:rPr>
              <w:t>为勾选项，可</w:t>
            </w:r>
            <w:r>
              <w:rPr>
                <w:rFonts w:ascii="TimesNewRomanPSMT" w:hAnsi="TimesNewRomanPSMT"/>
                <w:color w:val="000000"/>
                <w:szCs w:val="21"/>
              </w:rPr>
              <w:t>√</w:t>
            </w:r>
            <w:r>
              <w:rPr>
                <w:rFonts w:hint="eastAsia"/>
                <w:color w:val="000000"/>
                <w:szCs w:val="21"/>
              </w:rPr>
              <w:t>；</w:t>
            </w:r>
            <w:r>
              <w:rPr>
                <w:rFonts w:ascii="TimesNewRomanPSMT" w:hAnsi="TimesNewRomanPSMT"/>
                <w:color w:val="000000"/>
                <w:szCs w:val="21"/>
              </w:rPr>
              <w:t>“</w:t>
            </w:r>
            <w:r>
              <w:rPr>
                <w:rFonts w:hint="eastAsia"/>
                <w:color w:val="000000"/>
                <w:szCs w:val="21"/>
              </w:rPr>
              <w:t>（）</w:t>
            </w:r>
            <w:r>
              <w:rPr>
                <w:rFonts w:ascii="TimesNewRomanPSMT" w:hAnsi="TimesNewRomanPSMT"/>
                <w:color w:val="000000"/>
                <w:szCs w:val="21"/>
              </w:rPr>
              <w:t>”</w:t>
            </w:r>
            <w:r>
              <w:rPr>
                <w:rFonts w:hint="eastAsia"/>
                <w:color w:val="000000"/>
                <w:szCs w:val="21"/>
              </w:rPr>
              <w:t>为内容填写项；</w:t>
            </w:r>
            <w:r>
              <w:rPr>
                <w:rFonts w:ascii="TimesNewRomanPSMT" w:hAnsi="TimesNewRomanPSMT"/>
                <w:color w:val="000000"/>
                <w:szCs w:val="21"/>
              </w:rPr>
              <w:t>“</w:t>
            </w:r>
            <w:r>
              <w:rPr>
                <w:rFonts w:hint="eastAsia"/>
                <w:color w:val="000000"/>
                <w:szCs w:val="21"/>
              </w:rPr>
              <w:t>备注</w:t>
            </w:r>
            <w:r>
              <w:rPr>
                <w:rFonts w:ascii="TimesNewRomanPSMT" w:hAnsi="TimesNewRomanPSMT"/>
                <w:color w:val="000000"/>
                <w:szCs w:val="21"/>
              </w:rPr>
              <w:t>”</w:t>
            </w:r>
            <w:r>
              <w:rPr>
                <w:rFonts w:hint="eastAsia"/>
                <w:color w:val="000000"/>
                <w:szCs w:val="21"/>
              </w:rPr>
              <w:t xml:space="preserve">为其他补充内容。 </w:t>
            </w:r>
          </w:p>
          <w:p>
            <w:pPr>
              <w:pStyle w:val="63"/>
              <w:spacing w:line="240" w:lineRule="exact"/>
              <w:rPr>
                <w:szCs w:val="21"/>
              </w:rPr>
            </w:pPr>
            <w:r>
              <w:rPr>
                <w:rFonts w:hint="eastAsia"/>
                <w:color w:val="000000"/>
                <w:szCs w:val="21"/>
              </w:rPr>
              <w:t xml:space="preserve">注 </w:t>
            </w:r>
            <w:r>
              <w:rPr>
                <w:rFonts w:ascii="TimesNewRomanPSMT" w:hAnsi="TimesNewRomanPSMT"/>
                <w:color w:val="000000"/>
                <w:szCs w:val="21"/>
              </w:rPr>
              <w:t>2</w:t>
            </w:r>
            <w:r>
              <w:rPr>
                <w:rFonts w:hint="eastAsia"/>
                <w:color w:val="000000"/>
                <w:szCs w:val="21"/>
              </w:rPr>
              <w:t>：需要分别开展土壤环境影响评级工作的，分别填写自查表。</w:t>
            </w:r>
          </w:p>
        </w:tc>
      </w:tr>
    </w:tbl>
    <w:p>
      <w:pPr>
        <w:pStyle w:val="5"/>
        <w:spacing w:beforeLines="0" w:after="120"/>
        <w:rPr>
          <w:rFonts w:eastAsia="宋体"/>
          <w:b/>
          <w:bCs w:val="0"/>
          <w:color w:val="auto"/>
          <w:szCs w:val="30"/>
        </w:rPr>
      </w:pPr>
      <w:bookmarkStart w:id="157" w:name="_Toc1413875225"/>
      <w:r>
        <w:rPr>
          <w:rFonts w:eastAsia="宋体"/>
          <w:b/>
          <w:bCs w:val="0"/>
          <w:color w:val="auto"/>
          <w:szCs w:val="30"/>
        </w:rPr>
        <w:t>5.</w:t>
      </w:r>
      <w:r>
        <w:rPr>
          <w:rFonts w:hint="eastAsia" w:eastAsia="宋体"/>
          <w:b/>
          <w:bCs w:val="0"/>
          <w:color w:val="auto"/>
          <w:szCs w:val="30"/>
        </w:rPr>
        <w:t>8环境风险影响评</w:t>
      </w:r>
      <w:r>
        <w:rPr>
          <w:rFonts w:eastAsia="宋体"/>
          <w:b/>
          <w:bCs w:val="0"/>
          <w:color w:val="auto"/>
          <w:szCs w:val="30"/>
        </w:rPr>
        <w:t>价</w:t>
      </w:r>
      <w:bookmarkEnd w:id="157"/>
    </w:p>
    <w:p>
      <w:pPr>
        <w:pStyle w:val="6"/>
        <w:spacing w:line="480" w:lineRule="exact"/>
      </w:pPr>
      <w:r>
        <w:rPr>
          <w:rFonts w:hint="eastAsia"/>
        </w:rPr>
        <w:t>5.8</w:t>
      </w:r>
      <w:r>
        <w:t>.</w:t>
      </w:r>
      <w:r>
        <w:rPr>
          <w:rFonts w:hint="eastAsia"/>
        </w:rPr>
        <w:t>1风险调查识别</w:t>
      </w:r>
    </w:p>
    <w:p>
      <w:pPr>
        <w:autoSpaceDE w:val="0"/>
        <w:autoSpaceDN w:val="0"/>
        <w:adjustRightInd w:val="0"/>
        <w:spacing w:line="480" w:lineRule="exact"/>
        <w:ind w:firstLine="482" w:firstLineChars="200"/>
        <w:rPr>
          <w:rFonts w:asciiTheme="minorEastAsia" w:hAnsiTheme="minorEastAsia" w:eastAsiaTheme="minorEastAsia" w:cstheme="minorEastAsia"/>
          <w:kern w:val="24"/>
          <w:sz w:val="24"/>
        </w:rPr>
      </w:pPr>
      <w:r>
        <w:rPr>
          <w:rFonts w:hint="eastAsia" w:asciiTheme="minorEastAsia" w:hAnsiTheme="minorEastAsia" w:eastAsiaTheme="minorEastAsia" w:cstheme="minorEastAsia"/>
          <w:b/>
          <w:bCs/>
          <w:kern w:val="24"/>
          <w:sz w:val="24"/>
        </w:rPr>
        <w:t>1、风险识别</w:t>
      </w:r>
    </w:p>
    <w:p>
      <w:pPr>
        <w:spacing w:line="480" w:lineRule="exact"/>
        <w:ind w:firstLine="480" w:firstLineChars="200"/>
        <w:rPr>
          <w:kern w:val="24"/>
          <w:sz w:val="24"/>
        </w:rPr>
      </w:pPr>
      <w:r>
        <w:rPr>
          <w:rFonts w:hint="eastAsia"/>
          <w:kern w:val="24"/>
          <w:sz w:val="24"/>
        </w:rPr>
        <w:t>本项目为生活垃圾卫生填埋工程，环境环境风险源项主要为垃圾填埋气火灾爆炸、渗滤液系统事故泄露及垃圾堆体沉降滑坡等。</w:t>
      </w:r>
    </w:p>
    <w:p>
      <w:pPr>
        <w:autoSpaceDE w:val="0"/>
        <w:autoSpaceDN w:val="0"/>
        <w:adjustRightInd w:val="0"/>
        <w:spacing w:line="480" w:lineRule="exact"/>
        <w:ind w:firstLine="482" w:firstLineChars="200"/>
        <w:rPr>
          <w:rFonts w:asciiTheme="minorEastAsia" w:hAnsiTheme="minorEastAsia" w:eastAsiaTheme="minorEastAsia" w:cstheme="minorEastAsia"/>
          <w:kern w:val="24"/>
          <w:sz w:val="24"/>
        </w:rPr>
      </w:pPr>
      <w:r>
        <w:rPr>
          <w:rFonts w:hint="eastAsia" w:asciiTheme="minorEastAsia" w:hAnsiTheme="minorEastAsia" w:eastAsiaTheme="minorEastAsia" w:cstheme="minorEastAsia"/>
          <w:b/>
          <w:bCs/>
          <w:kern w:val="24"/>
          <w:sz w:val="24"/>
        </w:rPr>
        <w:t>2、风险物质识别</w:t>
      </w:r>
    </w:p>
    <w:p>
      <w:pPr>
        <w:spacing w:line="480" w:lineRule="exact"/>
        <w:ind w:firstLine="480" w:firstLineChars="200"/>
        <w:rPr>
          <w:kern w:val="24"/>
          <w:sz w:val="24"/>
        </w:rPr>
      </w:pPr>
      <w:r>
        <w:rPr>
          <w:rFonts w:hint="eastAsia"/>
          <w:kern w:val="24"/>
          <w:sz w:val="24"/>
        </w:rPr>
        <w:t>本项目涉及到的危险物质主要是填埋气中的甲烷、氨气、硫化氢等，稳定产气阶段填埋气体积组成包括约45～50%的甲烷、0.1～0.6%的氨气、0～0.06%的硫化氢，其各自理化性质及毒性情况详见下表。</w:t>
      </w:r>
    </w:p>
    <w:p>
      <w:pPr>
        <w:pStyle w:val="73"/>
        <w:spacing w:line="500" w:lineRule="exact"/>
        <w:ind w:firstLine="482"/>
        <w:rPr>
          <w:rStyle w:val="74"/>
          <w:rFonts w:ascii="Times New Roman" w:hAnsi="Times New Roman" w:eastAsia="宋体"/>
          <w:b/>
          <w:snapToGrid/>
          <w:sz w:val="24"/>
          <w:szCs w:val="24"/>
        </w:rPr>
      </w:pPr>
      <w:r>
        <w:rPr>
          <w:rFonts w:ascii="Times New Roman" w:eastAsia="宋体"/>
          <w:b/>
          <w:sz w:val="24"/>
          <w:szCs w:val="24"/>
        </w:rPr>
        <w:t>表</w:t>
      </w:r>
      <w:r>
        <w:rPr>
          <w:rFonts w:hint="eastAsia" w:ascii="Times New Roman" w:eastAsia="宋体"/>
          <w:b/>
          <w:sz w:val="24"/>
          <w:szCs w:val="24"/>
        </w:rPr>
        <w:t>5.8</w:t>
      </w:r>
      <w:r>
        <w:rPr>
          <w:rFonts w:ascii="Times New Roman" w:eastAsia="宋体"/>
          <w:b/>
          <w:sz w:val="24"/>
          <w:szCs w:val="24"/>
        </w:rPr>
        <w:t>-</w:t>
      </w:r>
      <w:r>
        <w:rPr>
          <w:rFonts w:hint="eastAsia" w:ascii="Times New Roman" w:eastAsia="宋体"/>
          <w:b/>
          <w:sz w:val="24"/>
          <w:szCs w:val="24"/>
        </w:rPr>
        <w:t>1 甲烷的理化性质及危险特性</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92"/>
        <w:gridCol w:w="2439"/>
        <w:gridCol w:w="2485"/>
        <w:gridCol w:w="27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524" w:type="pct"/>
            <w:vMerge w:val="restart"/>
            <w:tcBorders>
              <w:tl2br w:val="nil"/>
              <w:tr2bl w:val="nil"/>
            </w:tcBorders>
            <w:vAlign w:val="center"/>
          </w:tcPr>
          <w:p>
            <w:pPr>
              <w:spacing w:line="260" w:lineRule="exact"/>
              <w:jc w:val="center"/>
              <w:rPr>
                <w:kern w:val="24"/>
                <w:szCs w:val="21"/>
              </w:rPr>
            </w:pPr>
            <w:r>
              <w:rPr>
                <w:rFonts w:hint="eastAsia"/>
                <w:kern w:val="24"/>
                <w:szCs w:val="21"/>
              </w:rPr>
              <w:t>标识</w:t>
            </w:r>
          </w:p>
        </w:tc>
        <w:tc>
          <w:tcPr>
            <w:tcW w:w="1431" w:type="pct"/>
            <w:tcBorders>
              <w:tl2br w:val="nil"/>
              <w:tr2bl w:val="nil"/>
            </w:tcBorders>
            <w:vAlign w:val="center"/>
          </w:tcPr>
          <w:p>
            <w:pPr>
              <w:spacing w:line="260" w:lineRule="exact"/>
              <w:jc w:val="center"/>
              <w:rPr>
                <w:kern w:val="24"/>
                <w:szCs w:val="21"/>
              </w:rPr>
            </w:pPr>
            <w:r>
              <w:rPr>
                <w:rFonts w:hint="eastAsia"/>
                <w:kern w:val="24"/>
                <w:szCs w:val="21"/>
              </w:rPr>
              <w:t>中文名：甲烷、沼气</w:t>
            </w:r>
          </w:p>
        </w:tc>
        <w:tc>
          <w:tcPr>
            <w:tcW w:w="3044" w:type="pct"/>
            <w:gridSpan w:val="2"/>
            <w:tcBorders>
              <w:tl2br w:val="nil"/>
              <w:tr2bl w:val="nil"/>
            </w:tcBorders>
            <w:vAlign w:val="center"/>
          </w:tcPr>
          <w:p>
            <w:pPr>
              <w:spacing w:line="260" w:lineRule="exact"/>
              <w:jc w:val="center"/>
              <w:rPr>
                <w:kern w:val="24"/>
                <w:szCs w:val="21"/>
              </w:rPr>
            </w:pPr>
            <w:r>
              <w:rPr>
                <w:rFonts w:hint="eastAsia"/>
                <w:kern w:val="24"/>
                <w:szCs w:val="21"/>
              </w:rPr>
              <w:t>英文名：methaneMarshgas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524" w:type="pct"/>
            <w:vMerge w:val="continue"/>
            <w:tcBorders>
              <w:tl2br w:val="nil"/>
              <w:tr2bl w:val="nil"/>
            </w:tcBorders>
            <w:vAlign w:val="center"/>
          </w:tcPr>
          <w:p>
            <w:pPr>
              <w:spacing w:line="260" w:lineRule="exact"/>
              <w:jc w:val="center"/>
              <w:rPr>
                <w:kern w:val="24"/>
                <w:szCs w:val="21"/>
              </w:rPr>
            </w:pPr>
          </w:p>
        </w:tc>
        <w:tc>
          <w:tcPr>
            <w:tcW w:w="1431" w:type="pct"/>
            <w:tcBorders>
              <w:tl2br w:val="nil"/>
              <w:tr2bl w:val="nil"/>
            </w:tcBorders>
            <w:vAlign w:val="center"/>
          </w:tcPr>
          <w:p>
            <w:pPr>
              <w:spacing w:line="260" w:lineRule="exact"/>
              <w:jc w:val="center"/>
              <w:rPr>
                <w:kern w:val="24"/>
                <w:szCs w:val="21"/>
              </w:rPr>
            </w:pPr>
            <w:r>
              <w:rPr>
                <w:rFonts w:hint="eastAsia"/>
                <w:kern w:val="24"/>
                <w:szCs w:val="21"/>
              </w:rPr>
              <w:t>分子式：CH</w:t>
            </w:r>
            <w:r>
              <w:rPr>
                <w:rFonts w:hint="eastAsia"/>
                <w:kern w:val="24"/>
                <w:szCs w:val="21"/>
                <w:vertAlign w:val="subscript"/>
              </w:rPr>
              <w:t>4</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分子量：16.04</w:t>
            </w:r>
          </w:p>
        </w:tc>
        <w:tc>
          <w:tcPr>
            <w:tcW w:w="1585" w:type="pct"/>
            <w:tcBorders>
              <w:tl2br w:val="nil"/>
              <w:tr2bl w:val="nil"/>
            </w:tcBorders>
            <w:vAlign w:val="center"/>
          </w:tcPr>
          <w:p>
            <w:pPr>
              <w:spacing w:line="260" w:lineRule="exact"/>
              <w:jc w:val="center"/>
              <w:rPr>
                <w:kern w:val="24"/>
                <w:szCs w:val="21"/>
              </w:rPr>
            </w:pPr>
            <w:r>
              <w:rPr>
                <w:rFonts w:hint="eastAsia"/>
                <w:kern w:val="24"/>
                <w:szCs w:val="21"/>
              </w:rPr>
              <w:t>CAS号：74-82-8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524" w:type="pct"/>
            <w:vMerge w:val="restart"/>
            <w:tcBorders>
              <w:tl2br w:val="nil"/>
              <w:tr2bl w:val="nil"/>
            </w:tcBorders>
            <w:vAlign w:val="center"/>
          </w:tcPr>
          <w:p>
            <w:pPr>
              <w:spacing w:line="260" w:lineRule="exact"/>
              <w:jc w:val="center"/>
              <w:rPr>
                <w:kern w:val="24"/>
                <w:szCs w:val="21"/>
              </w:rPr>
            </w:pPr>
            <w:r>
              <w:rPr>
                <w:rFonts w:hint="eastAsia"/>
                <w:kern w:val="24"/>
                <w:szCs w:val="21"/>
              </w:rPr>
              <w:t>理化性质</w:t>
            </w:r>
          </w:p>
        </w:tc>
        <w:tc>
          <w:tcPr>
            <w:tcW w:w="4475" w:type="pct"/>
            <w:gridSpan w:val="3"/>
            <w:tcBorders>
              <w:tl2br w:val="nil"/>
              <w:tr2bl w:val="nil"/>
            </w:tcBorders>
            <w:vAlign w:val="center"/>
          </w:tcPr>
          <w:p>
            <w:pPr>
              <w:spacing w:line="260" w:lineRule="exact"/>
              <w:rPr>
                <w:kern w:val="24"/>
                <w:szCs w:val="21"/>
              </w:rPr>
            </w:pPr>
            <w:r>
              <w:rPr>
                <w:rFonts w:hint="eastAsia"/>
                <w:kern w:val="24"/>
                <w:szCs w:val="21"/>
              </w:rPr>
              <w:t>性状：无色无臭气体。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524" w:type="pct"/>
            <w:vMerge w:val="continue"/>
            <w:tcBorders>
              <w:tl2br w:val="nil"/>
              <w:tr2bl w:val="nil"/>
            </w:tcBorders>
            <w:vAlign w:val="center"/>
          </w:tcPr>
          <w:p>
            <w:pPr>
              <w:spacing w:line="260" w:lineRule="exact"/>
              <w:jc w:val="center"/>
              <w:rPr>
                <w:kern w:val="24"/>
                <w:szCs w:val="21"/>
              </w:rPr>
            </w:pPr>
          </w:p>
        </w:tc>
        <w:tc>
          <w:tcPr>
            <w:tcW w:w="4475" w:type="pct"/>
            <w:gridSpan w:val="3"/>
            <w:tcBorders>
              <w:tl2br w:val="nil"/>
              <w:tr2bl w:val="nil"/>
            </w:tcBorders>
            <w:vAlign w:val="center"/>
          </w:tcPr>
          <w:p>
            <w:pPr>
              <w:spacing w:line="260" w:lineRule="exact"/>
              <w:rPr>
                <w:kern w:val="24"/>
                <w:szCs w:val="21"/>
              </w:rPr>
            </w:pPr>
            <w:r>
              <w:rPr>
                <w:rFonts w:hint="eastAsia"/>
                <w:kern w:val="24"/>
                <w:szCs w:val="21"/>
              </w:rPr>
              <w:t>溶解性：微溶于水，溶于醇、乙醚。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524" w:type="pct"/>
            <w:vMerge w:val="continue"/>
            <w:tcBorders>
              <w:tl2br w:val="nil"/>
              <w:tr2bl w:val="nil"/>
            </w:tcBorders>
            <w:vAlign w:val="center"/>
          </w:tcPr>
          <w:p>
            <w:pPr>
              <w:spacing w:line="260" w:lineRule="exact"/>
              <w:jc w:val="center"/>
              <w:rPr>
                <w:kern w:val="24"/>
                <w:szCs w:val="21"/>
              </w:rPr>
            </w:pPr>
          </w:p>
        </w:tc>
        <w:tc>
          <w:tcPr>
            <w:tcW w:w="1431" w:type="pct"/>
            <w:tcBorders>
              <w:tl2br w:val="nil"/>
              <w:tr2bl w:val="nil"/>
            </w:tcBorders>
            <w:vAlign w:val="center"/>
          </w:tcPr>
          <w:p>
            <w:pPr>
              <w:spacing w:line="260" w:lineRule="exact"/>
              <w:jc w:val="center"/>
              <w:rPr>
                <w:kern w:val="24"/>
                <w:szCs w:val="21"/>
              </w:rPr>
            </w:pPr>
            <w:r>
              <w:rPr>
                <w:rFonts w:hint="eastAsia"/>
                <w:kern w:val="24"/>
                <w:szCs w:val="21"/>
              </w:rPr>
              <w:t>熔点（℃）：-182.5</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沸点（℃）：-161.5</w:t>
            </w:r>
          </w:p>
        </w:tc>
        <w:tc>
          <w:tcPr>
            <w:tcW w:w="1585" w:type="pct"/>
            <w:tcBorders>
              <w:tl2br w:val="nil"/>
              <w:tr2bl w:val="nil"/>
            </w:tcBorders>
            <w:vAlign w:val="center"/>
          </w:tcPr>
          <w:p>
            <w:pPr>
              <w:spacing w:line="260" w:lineRule="exact"/>
              <w:jc w:val="center"/>
              <w:rPr>
                <w:kern w:val="24"/>
                <w:szCs w:val="21"/>
              </w:rPr>
            </w:pPr>
            <w:r>
              <w:rPr>
                <w:rFonts w:hint="eastAsia"/>
                <w:kern w:val="24"/>
                <w:szCs w:val="21"/>
              </w:rPr>
              <w:t>相对密度（水=1）：0.45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524" w:type="pct"/>
            <w:vMerge w:val="continue"/>
            <w:tcBorders>
              <w:tl2br w:val="nil"/>
              <w:tr2bl w:val="nil"/>
            </w:tcBorders>
            <w:vAlign w:val="center"/>
          </w:tcPr>
          <w:p>
            <w:pPr>
              <w:spacing w:line="260" w:lineRule="exact"/>
              <w:jc w:val="center"/>
              <w:rPr>
                <w:kern w:val="24"/>
                <w:szCs w:val="21"/>
              </w:rPr>
            </w:pPr>
          </w:p>
        </w:tc>
        <w:tc>
          <w:tcPr>
            <w:tcW w:w="1431" w:type="pct"/>
            <w:tcBorders>
              <w:tl2br w:val="nil"/>
              <w:tr2bl w:val="nil"/>
            </w:tcBorders>
            <w:vAlign w:val="center"/>
          </w:tcPr>
          <w:p>
            <w:pPr>
              <w:spacing w:line="260" w:lineRule="exact"/>
              <w:jc w:val="center"/>
              <w:rPr>
                <w:kern w:val="24"/>
                <w:szCs w:val="21"/>
              </w:rPr>
            </w:pPr>
            <w:r>
              <w:rPr>
                <w:rFonts w:hint="eastAsia"/>
                <w:kern w:val="24"/>
                <w:szCs w:val="21"/>
              </w:rPr>
              <w:t>临界温度（℃）：-82.6</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临界压力（MPa）：4.59</w:t>
            </w:r>
          </w:p>
        </w:tc>
        <w:tc>
          <w:tcPr>
            <w:tcW w:w="1585" w:type="pct"/>
            <w:tcBorders>
              <w:tl2br w:val="nil"/>
              <w:tr2bl w:val="nil"/>
            </w:tcBorders>
            <w:vAlign w:val="center"/>
          </w:tcPr>
          <w:p>
            <w:pPr>
              <w:spacing w:line="260" w:lineRule="exact"/>
              <w:jc w:val="center"/>
              <w:rPr>
                <w:kern w:val="24"/>
                <w:szCs w:val="21"/>
              </w:rPr>
            </w:pPr>
            <w:r>
              <w:rPr>
                <w:rFonts w:hint="eastAsia"/>
                <w:kern w:val="24"/>
                <w:szCs w:val="21"/>
              </w:rPr>
              <w:t>相对密度（空气=1）：0.55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4" w:type="pct"/>
            <w:tcBorders>
              <w:tl2br w:val="nil"/>
              <w:tr2bl w:val="nil"/>
            </w:tcBorders>
            <w:vAlign w:val="center"/>
          </w:tcPr>
          <w:p>
            <w:pPr>
              <w:spacing w:line="260" w:lineRule="exact"/>
              <w:jc w:val="center"/>
              <w:rPr>
                <w:kern w:val="24"/>
                <w:szCs w:val="21"/>
              </w:rPr>
            </w:pPr>
            <w:r>
              <w:rPr>
                <w:rFonts w:hint="eastAsia"/>
                <w:kern w:val="24"/>
                <w:szCs w:val="21"/>
              </w:rPr>
              <w:t>燃烧爆炸危险性</w:t>
            </w:r>
          </w:p>
        </w:tc>
        <w:tc>
          <w:tcPr>
            <w:tcW w:w="4475" w:type="pct"/>
            <w:gridSpan w:val="3"/>
            <w:tcBorders>
              <w:tl2br w:val="nil"/>
              <w:tr2bl w:val="nil"/>
            </w:tcBorders>
            <w:vAlign w:val="center"/>
          </w:tcPr>
          <w:p>
            <w:pPr>
              <w:spacing w:line="260" w:lineRule="exact"/>
              <w:rPr>
                <w:kern w:val="24"/>
                <w:szCs w:val="21"/>
              </w:rPr>
            </w:pPr>
            <w:r>
              <w:rPr>
                <w:rFonts w:hint="eastAsia"/>
                <w:kern w:val="24"/>
                <w:szCs w:val="21"/>
              </w:rPr>
              <w:t>危险特性：易燃，与空气混合能形成爆炸性混合物，遇热源和明火有燃烧爆炸的危险。与五氧化溴、氯气、次氯酸、三氟化氮、液氧、二氟化氧及其它强氧化剂接触剧烈反应。</w:t>
            </w:r>
          </w:p>
          <w:p>
            <w:pPr>
              <w:spacing w:line="260" w:lineRule="exact"/>
              <w:rPr>
                <w:kern w:val="24"/>
                <w:szCs w:val="21"/>
              </w:rPr>
            </w:pPr>
            <w:r>
              <w:rPr>
                <w:rFonts w:hint="eastAsia"/>
                <w:szCs w:val="21"/>
              </w:rPr>
              <w:t>灭火方法：切断气源。若不能立即切断气源，则不允许熄灭正在燃烧的气体。喷水冷却 容器，可能的话将容器从火场移至空旷处。灭火剂：雾状水、泡沫、二氧化碳、干粉。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4" w:type="pct"/>
            <w:tcBorders>
              <w:tl2br w:val="nil"/>
              <w:tr2bl w:val="nil"/>
            </w:tcBorders>
            <w:vAlign w:val="center"/>
          </w:tcPr>
          <w:p>
            <w:pPr>
              <w:spacing w:line="260" w:lineRule="exact"/>
              <w:jc w:val="center"/>
              <w:rPr>
                <w:kern w:val="24"/>
                <w:szCs w:val="21"/>
              </w:rPr>
            </w:pPr>
            <w:r>
              <w:rPr>
                <w:rFonts w:hint="eastAsia"/>
                <w:kern w:val="24"/>
                <w:szCs w:val="21"/>
              </w:rPr>
              <w:t>毒性</w:t>
            </w:r>
          </w:p>
        </w:tc>
        <w:tc>
          <w:tcPr>
            <w:tcW w:w="4475" w:type="pct"/>
            <w:gridSpan w:val="3"/>
            <w:tcBorders>
              <w:tl2br w:val="nil"/>
              <w:tr2bl w:val="nil"/>
            </w:tcBorders>
            <w:vAlign w:val="center"/>
          </w:tcPr>
          <w:p>
            <w:pPr>
              <w:spacing w:line="260" w:lineRule="exact"/>
              <w:rPr>
                <w:kern w:val="24"/>
                <w:szCs w:val="21"/>
              </w:rPr>
            </w:pPr>
            <w:r>
              <w:rPr>
                <w:rFonts w:hint="eastAsia"/>
                <w:kern w:val="24"/>
                <w:szCs w:val="21"/>
              </w:rPr>
              <w:t>接触限值：中国 MAC（mg/m</w:t>
            </w:r>
            <w:r>
              <w:rPr>
                <w:rFonts w:hint="eastAsia"/>
                <w:kern w:val="24"/>
                <w:szCs w:val="21"/>
                <w:vertAlign w:val="superscript"/>
              </w:rPr>
              <w:t>3</w:t>
            </w:r>
            <w:r>
              <w:rPr>
                <w:rFonts w:hint="eastAsia"/>
                <w:kern w:val="24"/>
                <w:szCs w:val="21"/>
              </w:rPr>
              <w:t>）未制定标准 前苏联 MAC（mg/m</w:t>
            </w:r>
            <w:r>
              <w:rPr>
                <w:rFonts w:hint="eastAsia"/>
                <w:kern w:val="24"/>
                <w:szCs w:val="21"/>
                <w:vertAlign w:val="superscript"/>
              </w:rPr>
              <w:t>3</w:t>
            </w:r>
            <w:r>
              <w:rPr>
                <w:rFonts w:hint="eastAsia"/>
                <w:kern w:val="24"/>
                <w:szCs w:val="21"/>
              </w:rPr>
              <w:t xml:space="preserve">） 300 </w:t>
            </w:r>
          </w:p>
          <w:p>
            <w:pPr>
              <w:spacing w:line="260" w:lineRule="exact"/>
              <w:rPr>
                <w:kern w:val="24"/>
                <w:szCs w:val="21"/>
              </w:rPr>
            </w:pPr>
            <w:r>
              <w:rPr>
                <w:rFonts w:hint="eastAsia"/>
                <w:kern w:val="24"/>
                <w:szCs w:val="21"/>
              </w:rPr>
              <w:t>美国TVL－TWA ACGIH 窒息性气体美国 TLV－STEL 未制定标准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4" w:type="pct"/>
            <w:tcBorders>
              <w:tl2br w:val="nil"/>
              <w:tr2bl w:val="nil"/>
            </w:tcBorders>
            <w:vAlign w:val="center"/>
          </w:tcPr>
          <w:p>
            <w:pPr>
              <w:spacing w:line="260" w:lineRule="exact"/>
              <w:jc w:val="center"/>
              <w:rPr>
                <w:kern w:val="24"/>
                <w:szCs w:val="21"/>
              </w:rPr>
            </w:pPr>
            <w:r>
              <w:rPr>
                <w:rFonts w:hint="eastAsia"/>
                <w:kern w:val="24"/>
                <w:szCs w:val="21"/>
              </w:rPr>
              <w:t>对人体危害</w:t>
            </w:r>
          </w:p>
        </w:tc>
        <w:tc>
          <w:tcPr>
            <w:tcW w:w="4475" w:type="pct"/>
            <w:gridSpan w:val="3"/>
            <w:tcBorders>
              <w:tl2br w:val="nil"/>
              <w:tr2bl w:val="nil"/>
            </w:tcBorders>
            <w:vAlign w:val="center"/>
          </w:tcPr>
          <w:p>
            <w:pPr>
              <w:spacing w:line="260" w:lineRule="exact"/>
              <w:rPr>
                <w:kern w:val="24"/>
                <w:szCs w:val="21"/>
              </w:rPr>
            </w:pPr>
            <w:r>
              <w:rPr>
                <w:rFonts w:hint="eastAsia"/>
                <w:kern w:val="24"/>
                <w:szCs w:val="21"/>
              </w:rPr>
              <w:t>侵入途径：吸入。</w:t>
            </w:r>
          </w:p>
          <w:p>
            <w:pPr>
              <w:spacing w:line="260" w:lineRule="exact"/>
              <w:rPr>
                <w:kern w:val="24"/>
                <w:szCs w:val="21"/>
              </w:rPr>
            </w:pPr>
            <w:r>
              <w:rPr>
                <w:rFonts w:hint="eastAsia"/>
                <w:kern w:val="24"/>
                <w:szCs w:val="21"/>
              </w:rPr>
              <w:t>健康危害：甲烷对人基本无毒，但浓度过高时，使空气中氧含量明显降低，使人窒息。当空气中甲烷达 25％～30％时，可引起头痛、头晕、乏力、注意力不集中、呼吸和心跳加速、共济失调。若不及时脱离，可致窒息死亡。皮肤接触液化本品，可致冻伤。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4" w:type="pct"/>
            <w:tcBorders>
              <w:tl2br w:val="nil"/>
              <w:tr2bl w:val="nil"/>
            </w:tcBorders>
            <w:vAlign w:val="center"/>
          </w:tcPr>
          <w:p>
            <w:pPr>
              <w:spacing w:line="260" w:lineRule="exact"/>
              <w:jc w:val="center"/>
              <w:rPr>
                <w:kern w:val="24"/>
                <w:szCs w:val="21"/>
              </w:rPr>
            </w:pPr>
            <w:r>
              <w:rPr>
                <w:rFonts w:hint="eastAsia"/>
                <w:kern w:val="24"/>
                <w:szCs w:val="21"/>
              </w:rPr>
              <w:t>急救</w:t>
            </w:r>
          </w:p>
        </w:tc>
        <w:tc>
          <w:tcPr>
            <w:tcW w:w="4475" w:type="pct"/>
            <w:gridSpan w:val="3"/>
            <w:tcBorders>
              <w:tl2br w:val="nil"/>
              <w:tr2bl w:val="nil"/>
            </w:tcBorders>
            <w:vAlign w:val="center"/>
          </w:tcPr>
          <w:p>
            <w:pPr>
              <w:spacing w:line="260" w:lineRule="exact"/>
              <w:rPr>
                <w:kern w:val="24"/>
                <w:szCs w:val="21"/>
              </w:rPr>
            </w:pPr>
            <w:r>
              <w:rPr>
                <w:rFonts w:hint="eastAsia"/>
                <w:kern w:val="24"/>
                <w:szCs w:val="21"/>
              </w:rPr>
              <w:t>皮肤冻伤：若有冻伤，就医治疗。</w:t>
            </w:r>
          </w:p>
          <w:p>
            <w:pPr>
              <w:spacing w:line="260" w:lineRule="exact"/>
              <w:rPr>
                <w:kern w:val="24"/>
                <w:szCs w:val="21"/>
              </w:rPr>
            </w:pPr>
            <w:r>
              <w:rPr>
                <w:rFonts w:hint="eastAsia"/>
                <w:kern w:val="24"/>
                <w:szCs w:val="21"/>
              </w:rPr>
              <w:t>吸入：迅速脱离现场至空气新鲜处，保持呼吸道通畅。如呼吸困难，给输氧。如呼吸停止，立即进行人工呼吸。就医。</w:t>
            </w:r>
          </w:p>
        </w:tc>
      </w:tr>
    </w:tbl>
    <w:p>
      <w:pPr>
        <w:pStyle w:val="73"/>
        <w:spacing w:line="500" w:lineRule="exact"/>
        <w:ind w:firstLine="482"/>
        <w:rPr>
          <w:rStyle w:val="74"/>
          <w:rFonts w:ascii="Times New Roman" w:hAnsi="Times New Roman" w:eastAsia="宋体"/>
          <w:b/>
          <w:snapToGrid/>
          <w:sz w:val="24"/>
          <w:szCs w:val="24"/>
        </w:rPr>
      </w:pPr>
      <w:r>
        <w:rPr>
          <w:rFonts w:ascii="Times New Roman" w:eastAsia="宋体"/>
          <w:b/>
          <w:sz w:val="24"/>
          <w:szCs w:val="24"/>
        </w:rPr>
        <w:t>表</w:t>
      </w:r>
      <w:r>
        <w:rPr>
          <w:rFonts w:hint="eastAsia" w:ascii="Times New Roman" w:eastAsia="宋体"/>
          <w:b/>
          <w:sz w:val="24"/>
          <w:szCs w:val="24"/>
        </w:rPr>
        <w:t>5.8</w:t>
      </w:r>
      <w:r>
        <w:rPr>
          <w:rFonts w:ascii="Times New Roman" w:eastAsia="宋体"/>
          <w:b/>
          <w:sz w:val="24"/>
          <w:szCs w:val="24"/>
        </w:rPr>
        <w:t>-</w:t>
      </w:r>
      <w:r>
        <w:rPr>
          <w:rFonts w:hint="eastAsia" w:ascii="Times New Roman" w:eastAsia="宋体"/>
          <w:b/>
          <w:sz w:val="24"/>
          <w:szCs w:val="24"/>
        </w:rPr>
        <w:t>2 氨气的理化性质及危险特性</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88"/>
        <w:gridCol w:w="2440"/>
        <w:gridCol w:w="2484"/>
        <w:gridCol w:w="2707"/>
      </w:tblGrid>
      <w:tr>
        <w:tblPrEx>
          <w:tblCellMar>
            <w:top w:w="0" w:type="dxa"/>
            <w:left w:w="108" w:type="dxa"/>
            <w:bottom w:w="0" w:type="dxa"/>
            <w:right w:w="108" w:type="dxa"/>
          </w:tblCellMar>
        </w:tblPrEx>
        <w:trPr>
          <w:trHeight w:val="369" w:hRule="exact"/>
          <w:jc w:val="center"/>
        </w:trPr>
        <w:tc>
          <w:tcPr>
            <w:tcW w:w="521" w:type="pct"/>
            <w:vMerge w:val="restart"/>
            <w:tcBorders>
              <w:tl2br w:val="nil"/>
              <w:tr2bl w:val="nil"/>
            </w:tcBorders>
            <w:vAlign w:val="center"/>
          </w:tcPr>
          <w:p>
            <w:pPr>
              <w:spacing w:line="260" w:lineRule="exact"/>
              <w:jc w:val="center"/>
              <w:rPr>
                <w:kern w:val="24"/>
                <w:szCs w:val="21"/>
              </w:rPr>
            </w:pPr>
            <w:r>
              <w:rPr>
                <w:rFonts w:hint="eastAsia"/>
                <w:kern w:val="24"/>
                <w:szCs w:val="21"/>
              </w:rPr>
              <w:t>标识</w:t>
            </w:r>
          </w:p>
        </w:tc>
        <w:tc>
          <w:tcPr>
            <w:tcW w:w="1432" w:type="pct"/>
            <w:tcBorders>
              <w:tl2br w:val="nil"/>
              <w:tr2bl w:val="nil"/>
            </w:tcBorders>
            <w:vAlign w:val="center"/>
          </w:tcPr>
          <w:p>
            <w:pPr>
              <w:spacing w:line="260" w:lineRule="exact"/>
              <w:jc w:val="center"/>
              <w:rPr>
                <w:kern w:val="24"/>
                <w:szCs w:val="21"/>
              </w:rPr>
            </w:pPr>
            <w:r>
              <w:rPr>
                <w:rFonts w:hint="eastAsia"/>
                <w:kern w:val="24"/>
                <w:szCs w:val="21"/>
              </w:rPr>
              <w:t>中文名：氨</w:t>
            </w:r>
          </w:p>
        </w:tc>
        <w:tc>
          <w:tcPr>
            <w:tcW w:w="3048" w:type="pct"/>
            <w:gridSpan w:val="2"/>
            <w:tcBorders>
              <w:tl2br w:val="nil"/>
              <w:tr2bl w:val="nil"/>
            </w:tcBorders>
            <w:vAlign w:val="center"/>
          </w:tcPr>
          <w:p>
            <w:pPr>
              <w:spacing w:line="260" w:lineRule="exact"/>
              <w:jc w:val="center"/>
              <w:rPr>
                <w:kern w:val="24"/>
                <w:szCs w:val="21"/>
              </w:rPr>
            </w:pPr>
            <w:r>
              <w:rPr>
                <w:rFonts w:hint="eastAsia"/>
                <w:kern w:val="24"/>
                <w:szCs w:val="21"/>
              </w:rPr>
              <w:t>英文名：Ammonia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521" w:type="pct"/>
            <w:vMerge w:val="continue"/>
            <w:tcBorders>
              <w:tl2br w:val="nil"/>
              <w:tr2bl w:val="nil"/>
            </w:tcBorders>
            <w:vAlign w:val="center"/>
          </w:tcPr>
          <w:p>
            <w:pPr>
              <w:spacing w:line="260" w:lineRule="exact"/>
              <w:jc w:val="center"/>
              <w:rPr>
                <w:kern w:val="24"/>
                <w:szCs w:val="21"/>
              </w:rPr>
            </w:pPr>
          </w:p>
        </w:tc>
        <w:tc>
          <w:tcPr>
            <w:tcW w:w="1432" w:type="pct"/>
            <w:tcBorders>
              <w:tl2br w:val="nil"/>
              <w:tr2bl w:val="nil"/>
            </w:tcBorders>
            <w:vAlign w:val="center"/>
          </w:tcPr>
          <w:p>
            <w:pPr>
              <w:spacing w:line="260" w:lineRule="exact"/>
              <w:jc w:val="center"/>
              <w:rPr>
                <w:kern w:val="24"/>
                <w:szCs w:val="21"/>
              </w:rPr>
            </w:pPr>
            <w:r>
              <w:rPr>
                <w:rFonts w:hint="eastAsia"/>
                <w:kern w:val="24"/>
                <w:szCs w:val="21"/>
              </w:rPr>
              <w:t>分子式：NH</w:t>
            </w:r>
            <w:r>
              <w:rPr>
                <w:rFonts w:hint="eastAsia"/>
                <w:kern w:val="24"/>
                <w:szCs w:val="21"/>
                <w:vertAlign w:val="subscript"/>
              </w:rPr>
              <w:t>3</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分子量：17.03</w:t>
            </w:r>
          </w:p>
        </w:tc>
        <w:tc>
          <w:tcPr>
            <w:tcW w:w="1590" w:type="pct"/>
            <w:tcBorders>
              <w:tl2br w:val="nil"/>
              <w:tr2bl w:val="nil"/>
            </w:tcBorders>
            <w:vAlign w:val="center"/>
          </w:tcPr>
          <w:p>
            <w:pPr>
              <w:spacing w:line="260" w:lineRule="exact"/>
              <w:jc w:val="center"/>
              <w:rPr>
                <w:kern w:val="24"/>
                <w:szCs w:val="21"/>
              </w:rPr>
            </w:pPr>
            <w:r>
              <w:rPr>
                <w:rFonts w:hint="eastAsia"/>
                <w:kern w:val="24"/>
                <w:szCs w:val="21"/>
              </w:rPr>
              <w:t>CAS号：7664-41-7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521" w:type="pct"/>
            <w:vMerge w:val="restart"/>
            <w:tcBorders>
              <w:tl2br w:val="nil"/>
              <w:tr2bl w:val="nil"/>
            </w:tcBorders>
            <w:vAlign w:val="center"/>
          </w:tcPr>
          <w:p>
            <w:pPr>
              <w:spacing w:line="260" w:lineRule="exact"/>
              <w:jc w:val="center"/>
              <w:rPr>
                <w:kern w:val="24"/>
                <w:szCs w:val="21"/>
              </w:rPr>
            </w:pPr>
            <w:r>
              <w:rPr>
                <w:rFonts w:hint="eastAsia"/>
                <w:kern w:val="24"/>
                <w:szCs w:val="21"/>
              </w:rPr>
              <w:t>理化性质</w:t>
            </w:r>
          </w:p>
        </w:tc>
        <w:tc>
          <w:tcPr>
            <w:tcW w:w="4479" w:type="pct"/>
            <w:gridSpan w:val="3"/>
            <w:tcBorders>
              <w:tl2br w:val="nil"/>
              <w:tr2bl w:val="nil"/>
            </w:tcBorders>
            <w:vAlign w:val="center"/>
          </w:tcPr>
          <w:p>
            <w:pPr>
              <w:spacing w:line="260" w:lineRule="exact"/>
              <w:rPr>
                <w:kern w:val="24"/>
                <w:szCs w:val="21"/>
              </w:rPr>
            </w:pPr>
            <w:r>
              <w:rPr>
                <w:rFonts w:hint="eastAsia"/>
                <w:kern w:val="24"/>
                <w:szCs w:val="21"/>
              </w:rPr>
              <w:t>性状：无色、有刺激性恶臭的气体。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521" w:type="pct"/>
            <w:vMerge w:val="continue"/>
            <w:tcBorders>
              <w:tl2br w:val="nil"/>
              <w:tr2bl w:val="nil"/>
            </w:tcBorders>
            <w:vAlign w:val="center"/>
          </w:tcPr>
          <w:p>
            <w:pPr>
              <w:spacing w:line="260" w:lineRule="exact"/>
              <w:jc w:val="center"/>
              <w:rPr>
                <w:kern w:val="24"/>
                <w:szCs w:val="21"/>
              </w:rPr>
            </w:pPr>
          </w:p>
        </w:tc>
        <w:tc>
          <w:tcPr>
            <w:tcW w:w="4479" w:type="pct"/>
            <w:gridSpan w:val="3"/>
            <w:tcBorders>
              <w:tl2br w:val="nil"/>
              <w:tr2bl w:val="nil"/>
            </w:tcBorders>
            <w:vAlign w:val="center"/>
          </w:tcPr>
          <w:p>
            <w:pPr>
              <w:spacing w:line="260" w:lineRule="exact"/>
              <w:rPr>
                <w:kern w:val="24"/>
                <w:szCs w:val="21"/>
              </w:rPr>
            </w:pPr>
            <w:r>
              <w:rPr>
                <w:rFonts w:hint="eastAsia"/>
                <w:kern w:val="24"/>
                <w:szCs w:val="21"/>
              </w:rPr>
              <w:t>溶解性：易溶于水、乙醇、乙醚。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521" w:type="pct"/>
            <w:vMerge w:val="continue"/>
            <w:tcBorders>
              <w:tl2br w:val="nil"/>
              <w:tr2bl w:val="nil"/>
            </w:tcBorders>
            <w:vAlign w:val="center"/>
          </w:tcPr>
          <w:p>
            <w:pPr>
              <w:spacing w:line="260" w:lineRule="exact"/>
              <w:jc w:val="center"/>
              <w:rPr>
                <w:kern w:val="24"/>
                <w:szCs w:val="21"/>
              </w:rPr>
            </w:pPr>
          </w:p>
        </w:tc>
        <w:tc>
          <w:tcPr>
            <w:tcW w:w="1432" w:type="pct"/>
            <w:tcBorders>
              <w:tl2br w:val="nil"/>
              <w:tr2bl w:val="nil"/>
            </w:tcBorders>
            <w:vAlign w:val="center"/>
          </w:tcPr>
          <w:p>
            <w:pPr>
              <w:spacing w:line="260" w:lineRule="exact"/>
              <w:jc w:val="center"/>
              <w:rPr>
                <w:kern w:val="24"/>
                <w:szCs w:val="21"/>
              </w:rPr>
            </w:pPr>
            <w:r>
              <w:rPr>
                <w:rFonts w:hint="eastAsia"/>
                <w:kern w:val="24"/>
                <w:szCs w:val="21"/>
              </w:rPr>
              <w:t>熔点（℃）：-77.7</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沸点（℃）：-33.5</w:t>
            </w:r>
          </w:p>
        </w:tc>
        <w:tc>
          <w:tcPr>
            <w:tcW w:w="1590" w:type="pct"/>
            <w:tcBorders>
              <w:tl2br w:val="nil"/>
              <w:tr2bl w:val="nil"/>
            </w:tcBorders>
            <w:vAlign w:val="center"/>
          </w:tcPr>
          <w:p>
            <w:pPr>
              <w:spacing w:line="260" w:lineRule="exact"/>
              <w:jc w:val="center"/>
              <w:rPr>
                <w:kern w:val="24"/>
                <w:szCs w:val="21"/>
              </w:rPr>
            </w:pPr>
            <w:r>
              <w:rPr>
                <w:rFonts w:hint="eastAsia"/>
                <w:kern w:val="24"/>
                <w:szCs w:val="21"/>
              </w:rPr>
              <w:t>相对密度（水=1）：0.82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521" w:type="pct"/>
            <w:vMerge w:val="continue"/>
            <w:tcBorders>
              <w:tl2br w:val="nil"/>
              <w:tr2bl w:val="nil"/>
            </w:tcBorders>
            <w:vAlign w:val="center"/>
          </w:tcPr>
          <w:p>
            <w:pPr>
              <w:spacing w:line="260" w:lineRule="exact"/>
              <w:jc w:val="center"/>
              <w:rPr>
                <w:kern w:val="24"/>
                <w:szCs w:val="21"/>
              </w:rPr>
            </w:pPr>
          </w:p>
        </w:tc>
        <w:tc>
          <w:tcPr>
            <w:tcW w:w="1432" w:type="pct"/>
            <w:tcBorders>
              <w:tl2br w:val="nil"/>
              <w:tr2bl w:val="nil"/>
            </w:tcBorders>
            <w:vAlign w:val="center"/>
          </w:tcPr>
          <w:p>
            <w:pPr>
              <w:spacing w:line="260" w:lineRule="exact"/>
              <w:jc w:val="center"/>
              <w:rPr>
                <w:kern w:val="24"/>
                <w:szCs w:val="21"/>
              </w:rPr>
            </w:pPr>
            <w:r>
              <w:rPr>
                <w:rFonts w:hint="eastAsia"/>
                <w:kern w:val="24"/>
                <w:szCs w:val="21"/>
              </w:rPr>
              <w:t>临界温度（℃）：132.5</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临界压力（MPa）：11.40</w:t>
            </w:r>
          </w:p>
        </w:tc>
        <w:tc>
          <w:tcPr>
            <w:tcW w:w="1590" w:type="pct"/>
            <w:tcBorders>
              <w:tl2br w:val="nil"/>
              <w:tr2bl w:val="nil"/>
            </w:tcBorders>
            <w:vAlign w:val="center"/>
          </w:tcPr>
          <w:p>
            <w:pPr>
              <w:spacing w:line="260" w:lineRule="exact"/>
              <w:jc w:val="center"/>
              <w:rPr>
                <w:kern w:val="24"/>
                <w:szCs w:val="21"/>
              </w:rPr>
            </w:pPr>
            <w:r>
              <w:rPr>
                <w:rFonts w:hint="eastAsia"/>
                <w:kern w:val="24"/>
                <w:szCs w:val="21"/>
              </w:rPr>
              <w:t>相对密度（空气=1）：0.6</w:t>
            </w:r>
          </w:p>
        </w:tc>
      </w:tr>
    </w:tbl>
    <w:p>
      <w:pPr>
        <w:pStyle w:val="73"/>
        <w:spacing w:line="500" w:lineRule="exact"/>
        <w:ind w:firstLine="482"/>
        <w:rPr>
          <w:rStyle w:val="74"/>
          <w:rFonts w:ascii="Times New Roman" w:hAnsi="Times New Roman" w:eastAsia="宋体"/>
          <w:b/>
          <w:snapToGrid/>
          <w:sz w:val="24"/>
          <w:szCs w:val="24"/>
        </w:rPr>
      </w:pPr>
      <w:r>
        <w:rPr>
          <w:rFonts w:ascii="Times New Roman" w:eastAsia="宋体"/>
          <w:b/>
          <w:sz w:val="24"/>
          <w:szCs w:val="24"/>
        </w:rPr>
        <w:t>表</w:t>
      </w:r>
      <w:r>
        <w:rPr>
          <w:rFonts w:hint="eastAsia" w:ascii="Times New Roman" w:eastAsia="宋体"/>
          <w:b/>
          <w:sz w:val="24"/>
          <w:szCs w:val="24"/>
        </w:rPr>
        <w:t>5.8</w:t>
      </w:r>
      <w:r>
        <w:rPr>
          <w:rFonts w:ascii="Times New Roman" w:eastAsia="宋体"/>
          <w:b/>
          <w:sz w:val="24"/>
          <w:szCs w:val="24"/>
        </w:rPr>
        <w:t>-</w:t>
      </w:r>
      <w:r>
        <w:rPr>
          <w:rFonts w:hint="eastAsia" w:ascii="Times New Roman" w:eastAsia="宋体"/>
          <w:b/>
          <w:sz w:val="24"/>
          <w:szCs w:val="24"/>
        </w:rPr>
        <w:t>2续 氨气的理化性质及危险特性</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86"/>
        <w:gridCol w:w="76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0" w:type="pct"/>
            <w:tcBorders>
              <w:tl2br w:val="nil"/>
              <w:tr2bl w:val="nil"/>
            </w:tcBorders>
            <w:vAlign w:val="center"/>
          </w:tcPr>
          <w:p>
            <w:pPr>
              <w:spacing w:line="260" w:lineRule="exact"/>
              <w:jc w:val="center"/>
              <w:rPr>
                <w:kern w:val="24"/>
                <w:szCs w:val="21"/>
              </w:rPr>
            </w:pPr>
            <w:r>
              <w:rPr>
                <w:rFonts w:hint="eastAsia"/>
                <w:kern w:val="24"/>
                <w:szCs w:val="21"/>
              </w:rPr>
              <w:t>燃烧爆炸危险性</w:t>
            </w:r>
          </w:p>
        </w:tc>
        <w:tc>
          <w:tcPr>
            <w:tcW w:w="4480" w:type="pct"/>
            <w:tcBorders>
              <w:tl2br w:val="nil"/>
              <w:tr2bl w:val="nil"/>
            </w:tcBorders>
            <w:vAlign w:val="center"/>
          </w:tcPr>
          <w:p>
            <w:pPr>
              <w:spacing w:line="260" w:lineRule="exact"/>
              <w:rPr>
                <w:kern w:val="24"/>
                <w:szCs w:val="21"/>
              </w:rPr>
            </w:pPr>
            <w:r>
              <w:rPr>
                <w:rFonts w:hint="eastAsia"/>
                <w:kern w:val="24"/>
                <w:szCs w:val="21"/>
              </w:rPr>
              <w:t>危险特性：易燃，与空气混合能形成爆炸性混合物。遇明火、高热能引起燃烧爆炸。与氟、氯等接触会发生剧烈的化学反应。若遇高热，容器内压增大，有开裂和爆炸的危险。</w:t>
            </w:r>
          </w:p>
          <w:p>
            <w:pPr>
              <w:spacing w:line="260" w:lineRule="exact"/>
              <w:rPr>
                <w:kern w:val="24"/>
                <w:szCs w:val="21"/>
              </w:rPr>
            </w:pPr>
            <w:r>
              <w:rPr>
                <w:rFonts w:hint="eastAsia"/>
                <w:szCs w:val="21"/>
              </w:rPr>
              <w:t>灭火方法：消防人员必须穿戴全身防火防毒服。切断气源。若不能立即切断气源，则不 允许熄灭正在燃烧的气体。喷水冷却容器，可能的话将容器从火场移至空旷处。灭火剂：雾状水、抗溶性泡沫、二氧化碳、砂土。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0" w:type="pct"/>
            <w:tcBorders>
              <w:tl2br w:val="nil"/>
              <w:tr2bl w:val="nil"/>
            </w:tcBorders>
            <w:vAlign w:val="center"/>
          </w:tcPr>
          <w:p>
            <w:pPr>
              <w:spacing w:line="260" w:lineRule="exact"/>
              <w:jc w:val="center"/>
              <w:rPr>
                <w:kern w:val="24"/>
                <w:szCs w:val="21"/>
              </w:rPr>
            </w:pPr>
            <w:r>
              <w:rPr>
                <w:rFonts w:hint="eastAsia"/>
                <w:kern w:val="24"/>
                <w:szCs w:val="21"/>
              </w:rPr>
              <w:t>毒性</w:t>
            </w:r>
          </w:p>
        </w:tc>
        <w:tc>
          <w:tcPr>
            <w:tcW w:w="4480" w:type="pct"/>
            <w:tcBorders>
              <w:tl2br w:val="nil"/>
              <w:tr2bl w:val="nil"/>
            </w:tcBorders>
            <w:vAlign w:val="center"/>
          </w:tcPr>
          <w:p>
            <w:pPr>
              <w:spacing w:line="260" w:lineRule="exact"/>
              <w:rPr>
                <w:kern w:val="24"/>
                <w:szCs w:val="21"/>
              </w:rPr>
            </w:pPr>
            <w:r>
              <w:rPr>
                <w:rFonts w:hint="eastAsia"/>
                <w:kern w:val="24"/>
                <w:szCs w:val="21"/>
              </w:rPr>
              <w:t>接触限值：中国 MAC（mg/m</w:t>
            </w:r>
            <w:r>
              <w:rPr>
                <w:rFonts w:hint="eastAsia"/>
                <w:kern w:val="24"/>
                <w:szCs w:val="21"/>
                <w:vertAlign w:val="superscript"/>
              </w:rPr>
              <w:t>3</w:t>
            </w:r>
            <w:r>
              <w:rPr>
                <w:rFonts w:hint="eastAsia"/>
                <w:kern w:val="24"/>
                <w:szCs w:val="21"/>
              </w:rPr>
              <w:t>）30前苏联 MAC（mg/m</w:t>
            </w:r>
            <w:r>
              <w:rPr>
                <w:rFonts w:hint="eastAsia"/>
                <w:kern w:val="24"/>
                <w:szCs w:val="21"/>
                <w:vertAlign w:val="superscript"/>
              </w:rPr>
              <w:t>3</w:t>
            </w:r>
            <w:r>
              <w:rPr>
                <w:rFonts w:hint="eastAsia"/>
                <w:kern w:val="24"/>
                <w:szCs w:val="21"/>
              </w:rPr>
              <w:t>） 20</w:t>
            </w:r>
          </w:p>
          <w:p>
            <w:pPr>
              <w:spacing w:line="260" w:lineRule="exact"/>
              <w:rPr>
                <w:kern w:val="24"/>
                <w:szCs w:val="21"/>
              </w:rPr>
            </w:pPr>
            <w:r>
              <w:rPr>
                <w:rFonts w:hint="eastAsia"/>
                <w:kern w:val="24"/>
                <w:szCs w:val="21"/>
              </w:rPr>
              <w:t>美国国 TVL－TWA OSHA 50ppm，34 mg/m</w:t>
            </w:r>
            <w:r>
              <w:rPr>
                <w:rFonts w:hint="eastAsia"/>
                <w:kern w:val="24"/>
                <w:szCs w:val="21"/>
                <w:vertAlign w:val="superscript"/>
              </w:rPr>
              <w:t>3</w:t>
            </w:r>
            <w:r>
              <w:rPr>
                <w:rFonts w:hint="eastAsia"/>
                <w:kern w:val="24"/>
                <w:szCs w:val="21"/>
              </w:rPr>
              <w:t>；   ACGIH 25ppm，17mg/m</w:t>
            </w:r>
            <w:r>
              <w:rPr>
                <w:rFonts w:hint="eastAsia"/>
                <w:kern w:val="24"/>
                <w:szCs w:val="21"/>
                <w:vertAlign w:val="superscript"/>
              </w:rPr>
              <w:t>3</w:t>
            </w:r>
          </w:p>
          <w:p>
            <w:pPr>
              <w:spacing w:line="260" w:lineRule="exact"/>
              <w:rPr>
                <w:kern w:val="24"/>
                <w:szCs w:val="21"/>
              </w:rPr>
            </w:pPr>
            <w:r>
              <w:rPr>
                <w:rFonts w:hint="eastAsia"/>
                <w:kern w:val="24"/>
                <w:szCs w:val="21"/>
              </w:rPr>
              <w:t>美国 TLV－STEL ACGIH 35ppm，24mg/m</w:t>
            </w:r>
            <w:r>
              <w:rPr>
                <w:rFonts w:hint="eastAsia"/>
                <w:kern w:val="24"/>
                <w:szCs w:val="21"/>
                <w:vertAlign w:val="superscript"/>
              </w:rPr>
              <w:t>3</w:t>
            </w:r>
          </w:p>
          <w:p>
            <w:pPr>
              <w:pStyle w:val="2"/>
              <w:spacing w:line="260" w:lineRule="exact"/>
              <w:jc w:val="both"/>
            </w:pPr>
            <w:r>
              <w:rPr>
                <w:sz w:val="21"/>
                <w:szCs w:val="21"/>
              </w:rPr>
              <w:t>急性毒性：LD</w:t>
            </w:r>
            <w:r>
              <w:rPr>
                <w:sz w:val="21"/>
                <w:szCs w:val="21"/>
                <w:vertAlign w:val="subscript"/>
              </w:rPr>
              <w:t>50</w:t>
            </w:r>
            <w:r>
              <w:rPr>
                <w:sz w:val="21"/>
                <w:szCs w:val="21"/>
              </w:rPr>
              <w:t>350mg/kg（大鼠经口） LC</w:t>
            </w:r>
            <w:r>
              <w:rPr>
                <w:sz w:val="21"/>
                <w:szCs w:val="21"/>
                <w:vertAlign w:val="subscript"/>
              </w:rPr>
              <w:t>50</w:t>
            </w:r>
            <w:r>
              <w:rPr>
                <w:sz w:val="21"/>
                <w:szCs w:val="21"/>
              </w:rPr>
              <w:t>1390mg/m</w:t>
            </w:r>
            <w:r>
              <w:rPr>
                <w:sz w:val="21"/>
                <w:szCs w:val="21"/>
                <w:vertAlign w:val="superscript"/>
              </w:rPr>
              <w:t>3</w:t>
            </w:r>
            <w:r>
              <w:rPr>
                <w:sz w:val="21"/>
                <w:szCs w:val="21"/>
              </w:rPr>
              <w:t>，4小时（大鼠吸入）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0" w:type="pct"/>
            <w:tcBorders>
              <w:tl2br w:val="nil"/>
              <w:tr2bl w:val="nil"/>
            </w:tcBorders>
            <w:vAlign w:val="center"/>
          </w:tcPr>
          <w:p>
            <w:pPr>
              <w:spacing w:line="260" w:lineRule="exact"/>
              <w:jc w:val="center"/>
              <w:rPr>
                <w:kern w:val="24"/>
                <w:szCs w:val="21"/>
              </w:rPr>
            </w:pPr>
            <w:r>
              <w:rPr>
                <w:rFonts w:hint="eastAsia"/>
                <w:kern w:val="24"/>
                <w:szCs w:val="21"/>
              </w:rPr>
              <w:t>对人体危害</w:t>
            </w:r>
          </w:p>
        </w:tc>
        <w:tc>
          <w:tcPr>
            <w:tcW w:w="4480" w:type="pct"/>
            <w:tcBorders>
              <w:tl2br w:val="nil"/>
              <w:tr2bl w:val="nil"/>
            </w:tcBorders>
            <w:vAlign w:val="center"/>
          </w:tcPr>
          <w:p>
            <w:pPr>
              <w:spacing w:line="260" w:lineRule="exact"/>
              <w:rPr>
                <w:kern w:val="24"/>
                <w:szCs w:val="21"/>
              </w:rPr>
            </w:pPr>
            <w:r>
              <w:rPr>
                <w:rFonts w:hint="eastAsia"/>
                <w:kern w:val="24"/>
                <w:szCs w:val="21"/>
              </w:rPr>
              <w:t>侵入途径：吸入。</w:t>
            </w:r>
          </w:p>
          <w:p>
            <w:pPr>
              <w:spacing w:line="260" w:lineRule="exact"/>
              <w:rPr>
                <w:kern w:val="24"/>
                <w:szCs w:val="21"/>
              </w:rPr>
            </w:pPr>
            <w:r>
              <w:rPr>
                <w:rFonts w:hint="eastAsia"/>
                <w:kern w:val="24"/>
                <w:szCs w:val="21"/>
              </w:rPr>
              <w:t>健康危害：低浓度氨对粘膜有刺激作用，高浓度可造成组织溶解坏死。急性中毒：轻度者出现流泪、咽痛、声音嘶哑、咳嗽、咯痰等；眼结膜、鼻粘膜、咽部充血、水肿；胸部X线征象符合支气管炎或支气管周围炎。中度中毒上述症状加剧，出现呼吸困难、紫绀；胸部X线征象符合肺炎或间质性肺炎。严重者可发生中毒性肺水肿，或有呼吸 窘迫综合征，患者剧烈咳嗽、咯大量粉红色泡沫痰、呼吸窘迫、谵妄、昏迷、休克等。可发生喉头水肿或支气管粘膜坏死脱落窒息。高浓度氨可引起反射性呼吸停止。液氨或 高浓度氨可致眼灼伤；液氨可致皮肤灼伤。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0" w:type="pct"/>
            <w:tcBorders>
              <w:tl2br w:val="nil"/>
              <w:tr2bl w:val="nil"/>
            </w:tcBorders>
            <w:vAlign w:val="center"/>
          </w:tcPr>
          <w:p>
            <w:pPr>
              <w:spacing w:line="260" w:lineRule="exact"/>
              <w:jc w:val="center"/>
              <w:rPr>
                <w:kern w:val="24"/>
                <w:szCs w:val="21"/>
              </w:rPr>
            </w:pPr>
            <w:r>
              <w:rPr>
                <w:rFonts w:hint="eastAsia"/>
                <w:kern w:val="24"/>
                <w:szCs w:val="21"/>
              </w:rPr>
              <w:t>急救</w:t>
            </w:r>
          </w:p>
        </w:tc>
        <w:tc>
          <w:tcPr>
            <w:tcW w:w="4480" w:type="pct"/>
            <w:tcBorders>
              <w:tl2br w:val="nil"/>
              <w:tr2bl w:val="nil"/>
            </w:tcBorders>
            <w:vAlign w:val="center"/>
          </w:tcPr>
          <w:p>
            <w:pPr>
              <w:spacing w:line="260" w:lineRule="exact"/>
              <w:rPr>
                <w:kern w:val="24"/>
                <w:szCs w:val="21"/>
              </w:rPr>
            </w:pPr>
            <w:r>
              <w:rPr>
                <w:rFonts w:hint="eastAsia"/>
                <w:kern w:val="24"/>
                <w:szCs w:val="21"/>
              </w:rPr>
              <w:t>皮肤接触：立即脱出被污染的衣着，用2％硼酸液或大量清水彻底冲洗。就医。</w:t>
            </w:r>
          </w:p>
          <w:p>
            <w:pPr>
              <w:spacing w:line="260" w:lineRule="exact"/>
              <w:rPr>
                <w:kern w:val="24"/>
                <w:szCs w:val="21"/>
              </w:rPr>
            </w:pPr>
            <w:r>
              <w:rPr>
                <w:rFonts w:hint="eastAsia"/>
                <w:kern w:val="24"/>
                <w:szCs w:val="21"/>
              </w:rPr>
              <w:t>眼睛接触：立即提起眼睑，用大量流动清水或生理盐水彻底冲洗至少15分钟。就医。</w:t>
            </w:r>
          </w:p>
          <w:p>
            <w:pPr>
              <w:spacing w:line="260" w:lineRule="exact"/>
              <w:rPr>
                <w:kern w:val="24"/>
                <w:szCs w:val="21"/>
              </w:rPr>
            </w:pPr>
            <w:r>
              <w:rPr>
                <w:rFonts w:hint="eastAsia"/>
                <w:kern w:val="24"/>
                <w:szCs w:val="21"/>
              </w:rPr>
              <w:t>吸入：迅速脱离现场至空气新鲜处，保持呼吸道通畅。如呼吸困难，给输氧。如呼吸停止，立即进行人工呼吸。就医。</w:t>
            </w:r>
          </w:p>
        </w:tc>
      </w:tr>
    </w:tbl>
    <w:p>
      <w:pPr>
        <w:pStyle w:val="73"/>
        <w:spacing w:line="500" w:lineRule="exact"/>
        <w:ind w:firstLine="482"/>
        <w:rPr>
          <w:rStyle w:val="74"/>
          <w:rFonts w:ascii="Times New Roman" w:hAnsi="Times New Roman" w:eastAsia="宋体"/>
          <w:b/>
          <w:snapToGrid/>
          <w:sz w:val="24"/>
          <w:szCs w:val="24"/>
        </w:rPr>
      </w:pPr>
      <w:r>
        <w:rPr>
          <w:rFonts w:ascii="Times New Roman" w:eastAsia="宋体"/>
          <w:b/>
          <w:sz w:val="24"/>
          <w:szCs w:val="24"/>
        </w:rPr>
        <w:t>表</w:t>
      </w:r>
      <w:r>
        <w:rPr>
          <w:rFonts w:hint="eastAsia" w:ascii="Times New Roman" w:eastAsia="宋体"/>
          <w:b/>
          <w:sz w:val="24"/>
          <w:szCs w:val="24"/>
        </w:rPr>
        <w:t>5.8</w:t>
      </w:r>
      <w:r>
        <w:rPr>
          <w:rFonts w:ascii="Times New Roman" w:eastAsia="宋体"/>
          <w:b/>
          <w:sz w:val="24"/>
          <w:szCs w:val="24"/>
        </w:rPr>
        <w:t>-</w:t>
      </w:r>
      <w:r>
        <w:rPr>
          <w:rFonts w:hint="eastAsia" w:ascii="Times New Roman" w:eastAsia="宋体"/>
          <w:b/>
          <w:sz w:val="24"/>
          <w:szCs w:val="24"/>
        </w:rPr>
        <w:t>3 硫化氢的理化性质及危险特性</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90"/>
        <w:gridCol w:w="2439"/>
        <w:gridCol w:w="2485"/>
        <w:gridCol w:w="27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23" w:type="pct"/>
            <w:vMerge w:val="restart"/>
            <w:tcBorders>
              <w:tl2br w:val="nil"/>
              <w:tr2bl w:val="nil"/>
            </w:tcBorders>
            <w:vAlign w:val="center"/>
          </w:tcPr>
          <w:p>
            <w:pPr>
              <w:spacing w:line="260" w:lineRule="exact"/>
              <w:jc w:val="center"/>
              <w:rPr>
                <w:kern w:val="24"/>
                <w:szCs w:val="21"/>
              </w:rPr>
            </w:pPr>
            <w:r>
              <w:rPr>
                <w:rFonts w:hint="eastAsia"/>
                <w:kern w:val="24"/>
                <w:szCs w:val="21"/>
              </w:rPr>
              <w:t>标识</w:t>
            </w:r>
          </w:p>
        </w:tc>
        <w:tc>
          <w:tcPr>
            <w:tcW w:w="1431" w:type="pct"/>
            <w:tcBorders>
              <w:tl2br w:val="nil"/>
              <w:tr2bl w:val="nil"/>
            </w:tcBorders>
            <w:vAlign w:val="center"/>
          </w:tcPr>
          <w:p>
            <w:pPr>
              <w:spacing w:line="260" w:lineRule="exact"/>
              <w:jc w:val="center"/>
              <w:rPr>
                <w:kern w:val="24"/>
                <w:szCs w:val="21"/>
              </w:rPr>
            </w:pPr>
            <w:r>
              <w:rPr>
                <w:rFonts w:hint="eastAsia"/>
                <w:kern w:val="24"/>
                <w:szCs w:val="21"/>
              </w:rPr>
              <w:t>中文名：硫化氢</w:t>
            </w:r>
          </w:p>
        </w:tc>
        <w:tc>
          <w:tcPr>
            <w:tcW w:w="3044" w:type="pct"/>
            <w:gridSpan w:val="2"/>
            <w:tcBorders>
              <w:tl2br w:val="nil"/>
              <w:tr2bl w:val="nil"/>
            </w:tcBorders>
            <w:vAlign w:val="center"/>
          </w:tcPr>
          <w:p>
            <w:pPr>
              <w:spacing w:line="260" w:lineRule="exact"/>
              <w:jc w:val="center"/>
              <w:rPr>
                <w:kern w:val="24"/>
                <w:szCs w:val="21"/>
              </w:rPr>
            </w:pPr>
            <w:r>
              <w:rPr>
                <w:rFonts w:hint="eastAsia"/>
                <w:kern w:val="24"/>
                <w:szCs w:val="21"/>
              </w:rPr>
              <w:t>英文名：hydrogen sulfide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23" w:type="pct"/>
            <w:vMerge w:val="continue"/>
            <w:tcBorders>
              <w:tl2br w:val="nil"/>
              <w:tr2bl w:val="nil"/>
            </w:tcBorders>
            <w:vAlign w:val="center"/>
          </w:tcPr>
          <w:p>
            <w:pPr>
              <w:spacing w:line="260" w:lineRule="exact"/>
              <w:jc w:val="center"/>
              <w:rPr>
                <w:kern w:val="24"/>
                <w:szCs w:val="21"/>
              </w:rPr>
            </w:pPr>
          </w:p>
        </w:tc>
        <w:tc>
          <w:tcPr>
            <w:tcW w:w="1431" w:type="pct"/>
            <w:tcBorders>
              <w:tl2br w:val="nil"/>
              <w:tr2bl w:val="nil"/>
            </w:tcBorders>
            <w:vAlign w:val="center"/>
          </w:tcPr>
          <w:p>
            <w:pPr>
              <w:spacing w:line="260" w:lineRule="exact"/>
              <w:jc w:val="center"/>
              <w:rPr>
                <w:kern w:val="24"/>
                <w:szCs w:val="21"/>
              </w:rPr>
            </w:pPr>
            <w:r>
              <w:rPr>
                <w:rFonts w:hint="eastAsia"/>
                <w:kern w:val="24"/>
                <w:szCs w:val="21"/>
              </w:rPr>
              <w:t>分子式：H</w:t>
            </w:r>
            <w:r>
              <w:rPr>
                <w:rFonts w:hint="eastAsia"/>
                <w:kern w:val="24"/>
                <w:szCs w:val="21"/>
                <w:vertAlign w:val="subscript"/>
              </w:rPr>
              <w:t>2</w:t>
            </w:r>
            <w:r>
              <w:rPr>
                <w:rFonts w:hint="eastAsia"/>
                <w:kern w:val="24"/>
                <w:szCs w:val="21"/>
              </w:rPr>
              <w:t>S</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分子量：34.08</w:t>
            </w:r>
          </w:p>
        </w:tc>
        <w:tc>
          <w:tcPr>
            <w:tcW w:w="1586" w:type="pct"/>
            <w:tcBorders>
              <w:tl2br w:val="nil"/>
              <w:tr2bl w:val="nil"/>
            </w:tcBorders>
            <w:vAlign w:val="center"/>
          </w:tcPr>
          <w:p>
            <w:pPr>
              <w:spacing w:line="260" w:lineRule="exact"/>
              <w:jc w:val="center"/>
              <w:rPr>
                <w:kern w:val="24"/>
                <w:szCs w:val="21"/>
              </w:rPr>
            </w:pPr>
            <w:r>
              <w:rPr>
                <w:rFonts w:hint="eastAsia"/>
                <w:kern w:val="24"/>
                <w:szCs w:val="21"/>
              </w:rPr>
              <w:t>CAS号：7783-06-4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23" w:type="pct"/>
            <w:vMerge w:val="restart"/>
            <w:tcBorders>
              <w:tl2br w:val="nil"/>
              <w:tr2bl w:val="nil"/>
            </w:tcBorders>
            <w:vAlign w:val="center"/>
          </w:tcPr>
          <w:p>
            <w:pPr>
              <w:spacing w:line="260" w:lineRule="exact"/>
              <w:jc w:val="center"/>
              <w:rPr>
                <w:kern w:val="24"/>
                <w:szCs w:val="21"/>
              </w:rPr>
            </w:pPr>
            <w:r>
              <w:rPr>
                <w:rFonts w:hint="eastAsia"/>
                <w:kern w:val="24"/>
                <w:szCs w:val="21"/>
              </w:rPr>
              <w:t>理化性质</w:t>
            </w:r>
          </w:p>
        </w:tc>
        <w:tc>
          <w:tcPr>
            <w:tcW w:w="4476" w:type="pct"/>
            <w:gridSpan w:val="3"/>
            <w:tcBorders>
              <w:tl2br w:val="nil"/>
              <w:tr2bl w:val="nil"/>
            </w:tcBorders>
            <w:vAlign w:val="center"/>
          </w:tcPr>
          <w:p>
            <w:pPr>
              <w:spacing w:line="260" w:lineRule="exact"/>
              <w:rPr>
                <w:kern w:val="24"/>
                <w:szCs w:val="21"/>
              </w:rPr>
            </w:pPr>
            <w:r>
              <w:rPr>
                <w:rFonts w:hint="eastAsia"/>
                <w:kern w:val="24"/>
                <w:szCs w:val="21"/>
              </w:rPr>
              <w:t>性状：无色有恶臭气体。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exact"/>
          <w:jc w:val="center"/>
        </w:trPr>
        <w:tc>
          <w:tcPr>
            <w:tcW w:w="523" w:type="pct"/>
            <w:vMerge w:val="continue"/>
            <w:tcBorders>
              <w:tl2br w:val="nil"/>
              <w:tr2bl w:val="nil"/>
            </w:tcBorders>
            <w:vAlign w:val="center"/>
          </w:tcPr>
          <w:p>
            <w:pPr>
              <w:spacing w:line="260" w:lineRule="exact"/>
              <w:jc w:val="center"/>
              <w:rPr>
                <w:kern w:val="24"/>
                <w:szCs w:val="21"/>
              </w:rPr>
            </w:pPr>
          </w:p>
        </w:tc>
        <w:tc>
          <w:tcPr>
            <w:tcW w:w="4476" w:type="pct"/>
            <w:gridSpan w:val="3"/>
            <w:tcBorders>
              <w:tl2br w:val="nil"/>
              <w:tr2bl w:val="nil"/>
            </w:tcBorders>
            <w:vAlign w:val="center"/>
          </w:tcPr>
          <w:p>
            <w:pPr>
              <w:spacing w:line="260" w:lineRule="exact"/>
              <w:rPr>
                <w:kern w:val="24"/>
                <w:szCs w:val="21"/>
              </w:rPr>
            </w:pPr>
            <w:r>
              <w:rPr>
                <w:rFonts w:hint="eastAsia"/>
                <w:kern w:val="24"/>
                <w:szCs w:val="21"/>
              </w:rPr>
              <w:t>溶解性：溶于水、乙醇。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23" w:type="pct"/>
            <w:vMerge w:val="continue"/>
            <w:tcBorders>
              <w:tl2br w:val="nil"/>
              <w:tr2bl w:val="nil"/>
            </w:tcBorders>
            <w:vAlign w:val="center"/>
          </w:tcPr>
          <w:p>
            <w:pPr>
              <w:spacing w:line="260" w:lineRule="exact"/>
              <w:jc w:val="center"/>
              <w:rPr>
                <w:kern w:val="24"/>
                <w:szCs w:val="21"/>
              </w:rPr>
            </w:pPr>
          </w:p>
        </w:tc>
        <w:tc>
          <w:tcPr>
            <w:tcW w:w="1431" w:type="pct"/>
            <w:tcBorders>
              <w:tl2br w:val="nil"/>
              <w:tr2bl w:val="nil"/>
            </w:tcBorders>
            <w:vAlign w:val="center"/>
          </w:tcPr>
          <w:p>
            <w:pPr>
              <w:spacing w:line="260" w:lineRule="exact"/>
              <w:jc w:val="center"/>
              <w:rPr>
                <w:kern w:val="24"/>
                <w:szCs w:val="21"/>
              </w:rPr>
            </w:pPr>
            <w:r>
              <w:rPr>
                <w:rFonts w:hint="eastAsia"/>
                <w:kern w:val="24"/>
                <w:szCs w:val="21"/>
              </w:rPr>
              <w:t>熔点（℃）：-85.5</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沸点（℃）：-60.4</w:t>
            </w:r>
          </w:p>
        </w:tc>
        <w:tc>
          <w:tcPr>
            <w:tcW w:w="1586" w:type="pct"/>
            <w:vMerge w:val="restart"/>
            <w:tcBorders>
              <w:tl2br w:val="nil"/>
              <w:tr2bl w:val="nil"/>
            </w:tcBorders>
            <w:vAlign w:val="center"/>
          </w:tcPr>
          <w:p>
            <w:pPr>
              <w:spacing w:line="260" w:lineRule="exact"/>
              <w:jc w:val="center"/>
              <w:rPr>
                <w:kern w:val="24"/>
                <w:szCs w:val="21"/>
              </w:rPr>
            </w:pPr>
            <w:r>
              <w:rPr>
                <w:rFonts w:hint="eastAsia"/>
                <w:kern w:val="24"/>
                <w:szCs w:val="21"/>
              </w:rPr>
              <w:t>相对密度（空气=1）：1.19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23" w:type="pct"/>
            <w:vMerge w:val="continue"/>
            <w:tcBorders>
              <w:tl2br w:val="nil"/>
              <w:tr2bl w:val="nil"/>
            </w:tcBorders>
            <w:vAlign w:val="center"/>
          </w:tcPr>
          <w:p>
            <w:pPr>
              <w:spacing w:line="260" w:lineRule="exact"/>
              <w:jc w:val="center"/>
              <w:rPr>
                <w:kern w:val="24"/>
                <w:szCs w:val="21"/>
              </w:rPr>
            </w:pPr>
          </w:p>
        </w:tc>
        <w:tc>
          <w:tcPr>
            <w:tcW w:w="1431" w:type="pct"/>
            <w:tcBorders>
              <w:tl2br w:val="nil"/>
              <w:tr2bl w:val="nil"/>
            </w:tcBorders>
            <w:vAlign w:val="center"/>
          </w:tcPr>
          <w:p>
            <w:pPr>
              <w:spacing w:line="260" w:lineRule="exact"/>
              <w:jc w:val="center"/>
              <w:rPr>
                <w:kern w:val="24"/>
                <w:szCs w:val="21"/>
              </w:rPr>
            </w:pPr>
            <w:r>
              <w:rPr>
                <w:rFonts w:hint="eastAsia"/>
                <w:kern w:val="24"/>
                <w:szCs w:val="21"/>
              </w:rPr>
              <w:t>临界温度（℃）：100.4</w:t>
            </w:r>
          </w:p>
        </w:tc>
        <w:tc>
          <w:tcPr>
            <w:tcW w:w="1458" w:type="pct"/>
            <w:tcBorders>
              <w:tl2br w:val="nil"/>
              <w:tr2bl w:val="nil"/>
            </w:tcBorders>
            <w:vAlign w:val="center"/>
          </w:tcPr>
          <w:p>
            <w:pPr>
              <w:spacing w:line="260" w:lineRule="exact"/>
              <w:jc w:val="center"/>
              <w:rPr>
                <w:kern w:val="24"/>
                <w:szCs w:val="21"/>
              </w:rPr>
            </w:pPr>
            <w:r>
              <w:rPr>
                <w:rFonts w:hint="eastAsia"/>
                <w:kern w:val="24"/>
                <w:szCs w:val="21"/>
              </w:rPr>
              <w:t>临界压力（MPa）：9.01</w:t>
            </w:r>
          </w:p>
        </w:tc>
        <w:tc>
          <w:tcPr>
            <w:tcW w:w="1586" w:type="pct"/>
            <w:vMerge w:val="continue"/>
            <w:tcBorders>
              <w:tl2br w:val="nil"/>
              <w:tr2bl w:val="nil"/>
            </w:tcBorders>
            <w:vAlign w:val="center"/>
          </w:tcPr>
          <w:p>
            <w:pPr>
              <w:spacing w:line="260" w:lineRule="exact"/>
              <w:jc w:val="center"/>
              <w:rPr>
                <w:kern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3" w:type="pct"/>
            <w:tcBorders>
              <w:tl2br w:val="nil"/>
              <w:tr2bl w:val="nil"/>
            </w:tcBorders>
            <w:vAlign w:val="center"/>
          </w:tcPr>
          <w:p>
            <w:pPr>
              <w:spacing w:line="260" w:lineRule="exact"/>
              <w:jc w:val="center"/>
              <w:rPr>
                <w:kern w:val="24"/>
                <w:szCs w:val="21"/>
              </w:rPr>
            </w:pPr>
            <w:r>
              <w:rPr>
                <w:rFonts w:hint="eastAsia"/>
                <w:kern w:val="24"/>
                <w:szCs w:val="21"/>
              </w:rPr>
              <w:t>燃烧爆炸危险性</w:t>
            </w:r>
          </w:p>
        </w:tc>
        <w:tc>
          <w:tcPr>
            <w:tcW w:w="4476" w:type="pct"/>
            <w:gridSpan w:val="3"/>
            <w:tcBorders>
              <w:tl2br w:val="nil"/>
              <w:tr2bl w:val="nil"/>
            </w:tcBorders>
            <w:vAlign w:val="center"/>
          </w:tcPr>
          <w:p>
            <w:pPr>
              <w:spacing w:line="260" w:lineRule="exact"/>
              <w:rPr>
                <w:kern w:val="24"/>
                <w:szCs w:val="21"/>
              </w:rPr>
            </w:pPr>
            <w:r>
              <w:rPr>
                <w:rFonts w:hint="eastAsia"/>
                <w:kern w:val="24"/>
                <w:szCs w:val="21"/>
              </w:rPr>
              <w:t>危险特性：易燃，与空气混合能形成爆炸性混合物，遇明火、高热能引起燃烧爆炸。与浓硝酸、发烟硝酸或其它强氧化剂剧烈反应，发生爆炸。气体比空气重，能在较低处扩散到相当远的地方，遇明火会引起回燃。</w:t>
            </w:r>
          </w:p>
          <w:p>
            <w:pPr>
              <w:spacing w:line="260" w:lineRule="exact"/>
              <w:rPr>
                <w:kern w:val="24"/>
                <w:szCs w:val="21"/>
              </w:rPr>
            </w:pPr>
            <w:r>
              <w:rPr>
                <w:rFonts w:hint="eastAsia"/>
                <w:szCs w:val="21"/>
              </w:rPr>
              <w:t>灭火方法：消防人员须穿戴全身防火防毒服。切断气源。若不能立即切断气源，则不允许熄灭正在燃烧的气体。喷水冷却容器，可能的话将容器从火场移至空旷处。灭火剂：雾状水、抗溶性泡沫、干粉。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3" w:type="pct"/>
            <w:tcBorders>
              <w:tl2br w:val="nil"/>
              <w:tr2bl w:val="nil"/>
            </w:tcBorders>
            <w:vAlign w:val="center"/>
          </w:tcPr>
          <w:p>
            <w:pPr>
              <w:spacing w:line="260" w:lineRule="exact"/>
              <w:jc w:val="center"/>
              <w:rPr>
                <w:kern w:val="24"/>
                <w:szCs w:val="21"/>
              </w:rPr>
            </w:pPr>
            <w:r>
              <w:rPr>
                <w:rFonts w:hint="eastAsia"/>
                <w:kern w:val="24"/>
                <w:szCs w:val="21"/>
              </w:rPr>
              <w:t>毒性</w:t>
            </w:r>
          </w:p>
        </w:tc>
        <w:tc>
          <w:tcPr>
            <w:tcW w:w="4476" w:type="pct"/>
            <w:gridSpan w:val="3"/>
            <w:tcBorders>
              <w:tl2br w:val="nil"/>
              <w:tr2bl w:val="nil"/>
            </w:tcBorders>
            <w:vAlign w:val="center"/>
          </w:tcPr>
          <w:p>
            <w:pPr>
              <w:pStyle w:val="2"/>
              <w:spacing w:line="260" w:lineRule="exact"/>
              <w:jc w:val="both"/>
            </w:pPr>
            <w:r>
              <w:rPr>
                <w:sz w:val="21"/>
                <w:szCs w:val="21"/>
              </w:rPr>
              <w:t>LC</w:t>
            </w:r>
            <w:r>
              <w:rPr>
                <w:sz w:val="21"/>
                <w:szCs w:val="21"/>
                <w:vertAlign w:val="subscript"/>
              </w:rPr>
              <w:t>50</w:t>
            </w:r>
            <w:r>
              <w:rPr>
                <w:rFonts w:hint="eastAsia"/>
                <w:sz w:val="21"/>
                <w:szCs w:val="21"/>
              </w:rPr>
              <w:t>618</w:t>
            </w:r>
            <w:r>
              <w:rPr>
                <w:sz w:val="21"/>
                <w:szCs w:val="21"/>
              </w:rPr>
              <w:t>mg/m</w:t>
            </w:r>
            <w:r>
              <w:rPr>
                <w:sz w:val="21"/>
                <w:szCs w:val="21"/>
                <w:vertAlign w:val="superscript"/>
              </w:rPr>
              <w:t>3</w:t>
            </w:r>
            <w:r>
              <w:rPr>
                <w:sz w:val="21"/>
                <w:szCs w:val="21"/>
              </w:rPr>
              <w:t>（大鼠吸入）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3" w:type="pct"/>
            <w:tcBorders>
              <w:tl2br w:val="nil"/>
              <w:tr2bl w:val="nil"/>
            </w:tcBorders>
            <w:vAlign w:val="center"/>
          </w:tcPr>
          <w:p>
            <w:pPr>
              <w:spacing w:line="260" w:lineRule="exact"/>
              <w:jc w:val="center"/>
              <w:rPr>
                <w:kern w:val="24"/>
                <w:szCs w:val="21"/>
              </w:rPr>
            </w:pPr>
            <w:r>
              <w:rPr>
                <w:rFonts w:hint="eastAsia"/>
                <w:kern w:val="24"/>
                <w:szCs w:val="21"/>
              </w:rPr>
              <w:t>对人体危害</w:t>
            </w:r>
          </w:p>
        </w:tc>
        <w:tc>
          <w:tcPr>
            <w:tcW w:w="4476" w:type="pct"/>
            <w:gridSpan w:val="3"/>
            <w:tcBorders>
              <w:tl2br w:val="nil"/>
              <w:tr2bl w:val="nil"/>
            </w:tcBorders>
            <w:vAlign w:val="center"/>
          </w:tcPr>
          <w:p>
            <w:pPr>
              <w:spacing w:line="260" w:lineRule="exact"/>
              <w:rPr>
                <w:kern w:val="24"/>
                <w:szCs w:val="21"/>
              </w:rPr>
            </w:pPr>
            <w:r>
              <w:rPr>
                <w:rFonts w:hint="eastAsia"/>
                <w:kern w:val="24"/>
                <w:szCs w:val="21"/>
              </w:rPr>
              <w:t>侵入途径：吸入。</w:t>
            </w:r>
          </w:p>
          <w:p>
            <w:pPr>
              <w:spacing w:line="260" w:lineRule="exact"/>
              <w:rPr>
                <w:kern w:val="24"/>
                <w:szCs w:val="21"/>
              </w:rPr>
            </w:pPr>
            <w:r>
              <w:rPr>
                <w:rFonts w:hint="eastAsia"/>
                <w:kern w:val="24"/>
                <w:szCs w:val="21"/>
              </w:rPr>
              <w:t>健康危害：本品是强烈的神经毒物，对粘膜有强烈刺激作用。急性中毒：短期内吸入高浓度硫化氢后出现流泪、眼痛、眼内异物感、畏光、视物模糊、流涕、咽喉部灼热感、咳嗽、胸闷、头痛、头晕、乏力、意识模糊等。部分患者可有心肌损害。重者可出现老 水肿、肺水肿。极高浓度（1000mg/m</w:t>
            </w:r>
            <w:r>
              <w:rPr>
                <w:rFonts w:hint="eastAsia"/>
                <w:kern w:val="24"/>
                <w:szCs w:val="21"/>
                <w:vertAlign w:val="superscript"/>
              </w:rPr>
              <w:t>3</w:t>
            </w:r>
            <w:r>
              <w:rPr>
                <w:rFonts w:hint="eastAsia"/>
                <w:kern w:val="24"/>
                <w:szCs w:val="21"/>
              </w:rPr>
              <w:t>以上）时可在数秒钟内突然昏迷，呼吸和心跳骤停，发生闪电型死亡。高浓度接触眼结膜发生水肿和结膜溃疡。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23" w:type="pct"/>
            <w:tcBorders>
              <w:tl2br w:val="nil"/>
              <w:tr2bl w:val="nil"/>
            </w:tcBorders>
            <w:vAlign w:val="center"/>
          </w:tcPr>
          <w:p>
            <w:pPr>
              <w:spacing w:line="260" w:lineRule="exact"/>
              <w:jc w:val="center"/>
              <w:rPr>
                <w:kern w:val="24"/>
                <w:szCs w:val="21"/>
              </w:rPr>
            </w:pPr>
            <w:r>
              <w:rPr>
                <w:rFonts w:hint="eastAsia"/>
                <w:kern w:val="24"/>
                <w:szCs w:val="21"/>
              </w:rPr>
              <w:t>急救</w:t>
            </w:r>
          </w:p>
        </w:tc>
        <w:tc>
          <w:tcPr>
            <w:tcW w:w="4476" w:type="pct"/>
            <w:gridSpan w:val="3"/>
            <w:tcBorders>
              <w:tl2br w:val="nil"/>
              <w:tr2bl w:val="nil"/>
            </w:tcBorders>
            <w:vAlign w:val="center"/>
          </w:tcPr>
          <w:p>
            <w:pPr>
              <w:spacing w:line="260" w:lineRule="exact"/>
              <w:rPr>
                <w:kern w:val="24"/>
                <w:szCs w:val="21"/>
              </w:rPr>
            </w:pPr>
            <w:r>
              <w:rPr>
                <w:rFonts w:hint="eastAsia"/>
                <w:kern w:val="24"/>
                <w:szCs w:val="21"/>
              </w:rPr>
              <w:t>眼睛接触：立即提起眼睑，用大量流动清水或生理盐水彻底冲洗至少15分钟。就医。</w:t>
            </w:r>
          </w:p>
          <w:p>
            <w:pPr>
              <w:spacing w:line="260" w:lineRule="exact"/>
              <w:rPr>
                <w:kern w:val="24"/>
                <w:szCs w:val="21"/>
              </w:rPr>
            </w:pPr>
            <w:r>
              <w:rPr>
                <w:rFonts w:hint="eastAsia"/>
                <w:kern w:val="24"/>
                <w:szCs w:val="21"/>
              </w:rPr>
              <w:t>吸入：迅速脱离现场至空气新鲜处，保持呼吸道通畅。如呼吸困难，给输氧。如呼吸停止，立即进行人工呼吸。就医。</w:t>
            </w:r>
          </w:p>
        </w:tc>
      </w:tr>
    </w:tbl>
    <w:p>
      <w:pPr>
        <w:spacing w:line="500" w:lineRule="exact"/>
        <w:ind w:firstLine="482" w:firstLineChars="200"/>
        <w:rPr>
          <w:kern w:val="24"/>
          <w:sz w:val="24"/>
        </w:rPr>
      </w:pPr>
      <w:r>
        <w:rPr>
          <w:rFonts w:hint="eastAsia"/>
          <w:b/>
          <w:bCs/>
          <w:kern w:val="24"/>
          <w:sz w:val="24"/>
        </w:rPr>
        <w:t>3、环境风险敏感目标</w:t>
      </w:r>
    </w:p>
    <w:p>
      <w:pPr>
        <w:pStyle w:val="10"/>
        <w:spacing w:line="500" w:lineRule="exact"/>
        <w:ind w:right="29" w:firstLine="480"/>
        <w:rPr>
          <w:kern w:val="24"/>
          <w:sz w:val="24"/>
          <w:szCs w:val="24"/>
        </w:rPr>
      </w:pPr>
      <w:r>
        <w:rPr>
          <w:rFonts w:hint="eastAsia"/>
          <w:kern w:val="24"/>
          <w:sz w:val="24"/>
          <w:szCs w:val="24"/>
        </w:rPr>
        <w:t>项目环境风险敏感目标情况参见表2.7-1和2.7-2。</w:t>
      </w:r>
    </w:p>
    <w:p>
      <w:pPr>
        <w:autoSpaceDE w:val="0"/>
        <w:autoSpaceDN w:val="0"/>
        <w:adjustRightInd w:val="0"/>
        <w:spacing w:line="500" w:lineRule="exact"/>
        <w:ind w:firstLine="482" w:firstLineChars="200"/>
        <w:rPr>
          <w:kern w:val="24"/>
          <w:sz w:val="24"/>
        </w:rPr>
      </w:pPr>
      <w:r>
        <w:rPr>
          <w:rFonts w:hint="eastAsia"/>
          <w:b/>
          <w:bCs/>
          <w:kern w:val="24"/>
          <w:sz w:val="24"/>
        </w:rPr>
        <w:t>4、环境风险潜势初判</w:t>
      </w:r>
    </w:p>
    <w:p>
      <w:pPr>
        <w:autoSpaceDE w:val="0"/>
        <w:autoSpaceDN w:val="0"/>
        <w:adjustRightInd w:val="0"/>
        <w:spacing w:line="480" w:lineRule="exact"/>
        <w:ind w:firstLine="480" w:firstLineChars="200"/>
        <w:rPr>
          <w:kern w:val="24"/>
          <w:sz w:val="24"/>
        </w:rPr>
      </w:pPr>
      <w:r>
        <w:rPr>
          <w:rFonts w:hint="eastAsia"/>
          <w:kern w:val="24"/>
          <w:sz w:val="24"/>
        </w:rPr>
        <w:t>项目填埋气初期经导气石笼中心管放空，随着产量及甲烷等有机气体含量增加后，经收集后送至火炬式燃烧器进行燃烧处理，正常情况下，填埋气经大气进行扩散，不涉及甲烷等风险物质的生产、使用、储存等过程，根据《建设项目环境风险评价技术导则》（HJ169-2018），本项目Q&lt;1，环境风险潜势为I，环境风险可开展简单分析。</w:t>
      </w:r>
    </w:p>
    <w:p>
      <w:pPr>
        <w:pStyle w:val="73"/>
        <w:spacing w:line="500" w:lineRule="exact"/>
        <w:ind w:firstLine="482"/>
        <w:rPr>
          <w:rFonts w:ascii="Times New Roman" w:eastAsia="宋体"/>
          <w:b/>
          <w:sz w:val="24"/>
          <w:szCs w:val="24"/>
        </w:rPr>
      </w:pPr>
      <w:r>
        <w:rPr>
          <w:rFonts w:ascii="Times New Roman" w:eastAsia="宋体"/>
          <w:b/>
          <w:sz w:val="24"/>
          <w:szCs w:val="24"/>
        </w:rPr>
        <w:t>表</w:t>
      </w:r>
      <w:r>
        <w:rPr>
          <w:rFonts w:hint="eastAsia" w:ascii="Times New Roman" w:eastAsia="宋体"/>
          <w:b/>
          <w:sz w:val="24"/>
          <w:szCs w:val="24"/>
        </w:rPr>
        <w:t>5.8</w:t>
      </w:r>
      <w:r>
        <w:rPr>
          <w:rFonts w:ascii="Times New Roman" w:eastAsia="宋体"/>
          <w:b/>
          <w:sz w:val="24"/>
          <w:szCs w:val="24"/>
        </w:rPr>
        <w:t>-</w:t>
      </w:r>
      <w:r>
        <w:rPr>
          <w:rFonts w:hint="eastAsia" w:ascii="Times New Roman" w:eastAsia="宋体"/>
          <w:b/>
          <w:sz w:val="24"/>
          <w:szCs w:val="24"/>
        </w:rPr>
        <w:t>4突发环境事件风险物质及临界量</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524"/>
        <w:gridCol w:w="2268"/>
        <w:gridCol w:w="2597"/>
        <w:gridCol w:w="21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95" w:type="pct"/>
            <w:tcBorders>
              <w:tl2br w:val="nil"/>
              <w:tr2bl w:val="nil"/>
            </w:tcBorders>
            <w:vAlign w:val="center"/>
          </w:tcPr>
          <w:p>
            <w:pPr>
              <w:spacing w:line="260" w:lineRule="exact"/>
              <w:jc w:val="center"/>
              <w:rPr>
                <w:b/>
                <w:bCs/>
                <w:kern w:val="24"/>
                <w:szCs w:val="21"/>
              </w:rPr>
            </w:pPr>
            <w:r>
              <w:rPr>
                <w:rFonts w:hint="eastAsia"/>
                <w:b/>
                <w:bCs/>
                <w:kern w:val="24"/>
                <w:szCs w:val="21"/>
              </w:rPr>
              <w:t>序号</w:t>
            </w:r>
          </w:p>
        </w:tc>
        <w:tc>
          <w:tcPr>
            <w:tcW w:w="1331" w:type="pct"/>
            <w:tcBorders>
              <w:tl2br w:val="nil"/>
              <w:tr2bl w:val="nil"/>
            </w:tcBorders>
            <w:vAlign w:val="center"/>
          </w:tcPr>
          <w:p>
            <w:pPr>
              <w:spacing w:line="260" w:lineRule="exact"/>
              <w:jc w:val="center"/>
              <w:rPr>
                <w:b/>
                <w:bCs/>
                <w:szCs w:val="21"/>
              </w:rPr>
            </w:pPr>
            <w:r>
              <w:rPr>
                <w:rFonts w:hint="eastAsia"/>
                <w:b/>
                <w:bCs/>
                <w:kern w:val="24"/>
                <w:szCs w:val="21"/>
              </w:rPr>
              <w:t>物质</w:t>
            </w:r>
            <w:r>
              <w:rPr>
                <w:rFonts w:hint="eastAsia"/>
                <w:b/>
                <w:bCs/>
                <w:szCs w:val="21"/>
              </w:rPr>
              <w:t>名称</w:t>
            </w:r>
          </w:p>
        </w:tc>
        <w:tc>
          <w:tcPr>
            <w:tcW w:w="1524" w:type="pct"/>
            <w:tcBorders>
              <w:tl2br w:val="nil"/>
              <w:tr2bl w:val="nil"/>
            </w:tcBorders>
            <w:vAlign w:val="center"/>
          </w:tcPr>
          <w:p>
            <w:pPr>
              <w:spacing w:line="260" w:lineRule="exact"/>
              <w:jc w:val="center"/>
              <w:rPr>
                <w:b/>
                <w:bCs/>
                <w:szCs w:val="21"/>
              </w:rPr>
            </w:pPr>
            <w:r>
              <w:rPr>
                <w:rFonts w:hint="eastAsia"/>
                <w:b/>
                <w:bCs/>
                <w:kern w:val="24"/>
                <w:szCs w:val="21"/>
              </w:rPr>
              <w:t>CAS</w:t>
            </w:r>
            <w:r>
              <w:rPr>
                <w:rFonts w:hint="eastAsia"/>
                <w:b/>
                <w:bCs/>
                <w:szCs w:val="21"/>
              </w:rPr>
              <w:t>号</w:t>
            </w:r>
          </w:p>
        </w:tc>
        <w:tc>
          <w:tcPr>
            <w:tcW w:w="1250" w:type="pct"/>
            <w:tcBorders>
              <w:tl2br w:val="nil"/>
              <w:tr2bl w:val="nil"/>
            </w:tcBorders>
            <w:vAlign w:val="center"/>
          </w:tcPr>
          <w:p>
            <w:pPr>
              <w:spacing w:line="260" w:lineRule="exact"/>
              <w:jc w:val="center"/>
              <w:rPr>
                <w:b/>
                <w:bCs/>
                <w:kern w:val="24"/>
                <w:szCs w:val="21"/>
              </w:rPr>
            </w:pPr>
            <w:r>
              <w:rPr>
                <w:rFonts w:hint="eastAsia"/>
                <w:b/>
                <w:bCs/>
                <w:kern w:val="24"/>
                <w:szCs w:val="21"/>
              </w:rPr>
              <w:t>临界量/t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95" w:type="pct"/>
            <w:tcBorders>
              <w:tl2br w:val="nil"/>
              <w:tr2bl w:val="nil"/>
            </w:tcBorders>
            <w:vAlign w:val="center"/>
          </w:tcPr>
          <w:p>
            <w:pPr>
              <w:spacing w:line="260" w:lineRule="exact"/>
              <w:jc w:val="center"/>
              <w:rPr>
                <w:kern w:val="24"/>
                <w:szCs w:val="21"/>
              </w:rPr>
            </w:pPr>
            <w:r>
              <w:rPr>
                <w:rFonts w:hint="eastAsia"/>
                <w:kern w:val="24"/>
                <w:szCs w:val="21"/>
              </w:rPr>
              <w:t>1</w:t>
            </w:r>
          </w:p>
        </w:tc>
        <w:tc>
          <w:tcPr>
            <w:tcW w:w="1331" w:type="pct"/>
            <w:tcBorders>
              <w:tl2br w:val="nil"/>
              <w:tr2bl w:val="nil"/>
            </w:tcBorders>
            <w:vAlign w:val="center"/>
          </w:tcPr>
          <w:p>
            <w:pPr>
              <w:spacing w:line="260" w:lineRule="exact"/>
              <w:jc w:val="center"/>
              <w:rPr>
                <w:kern w:val="24"/>
                <w:szCs w:val="21"/>
              </w:rPr>
            </w:pPr>
            <w:r>
              <w:rPr>
                <w:rFonts w:hint="eastAsia"/>
                <w:kern w:val="24"/>
                <w:szCs w:val="21"/>
              </w:rPr>
              <w:t>甲烷</w:t>
            </w:r>
          </w:p>
        </w:tc>
        <w:tc>
          <w:tcPr>
            <w:tcW w:w="1524" w:type="pct"/>
            <w:tcBorders>
              <w:tl2br w:val="nil"/>
              <w:tr2bl w:val="nil"/>
            </w:tcBorders>
            <w:vAlign w:val="center"/>
          </w:tcPr>
          <w:p>
            <w:pPr>
              <w:spacing w:line="260" w:lineRule="exact"/>
              <w:jc w:val="center"/>
              <w:rPr>
                <w:kern w:val="24"/>
                <w:szCs w:val="21"/>
              </w:rPr>
            </w:pPr>
            <w:r>
              <w:rPr>
                <w:rFonts w:hint="eastAsia"/>
                <w:kern w:val="24"/>
                <w:szCs w:val="21"/>
              </w:rPr>
              <w:t>74-82-8</w:t>
            </w:r>
          </w:p>
        </w:tc>
        <w:tc>
          <w:tcPr>
            <w:tcW w:w="1250" w:type="pct"/>
            <w:tcBorders>
              <w:tl2br w:val="nil"/>
              <w:tr2bl w:val="nil"/>
            </w:tcBorders>
            <w:vAlign w:val="center"/>
          </w:tcPr>
          <w:p>
            <w:pPr>
              <w:spacing w:line="260" w:lineRule="exact"/>
              <w:jc w:val="center"/>
              <w:rPr>
                <w:bCs/>
                <w:szCs w:val="21"/>
              </w:rPr>
            </w:pPr>
            <w:r>
              <w:rPr>
                <w:rFonts w:hint="eastAsia"/>
                <w:kern w:val="24"/>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895" w:type="pct"/>
            <w:tcBorders>
              <w:tl2br w:val="nil"/>
              <w:tr2bl w:val="nil"/>
            </w:tcBorders>
            <w:vAlign w:val="center"/>
          </w:tcPr>
          <w:p>
            <w:pPr>
              <w:spacing w:line="260" w:lineRule="exact"/>
              <w:jc w:val="center"/>
              <w:rPr>
                <w:kern w:val="24"/>
                <w:szCs w:val="21"/>
              </w:rPr>
            </w:pPr>
            <w:r>
              <w:rPr>
                <w:rFonts w:hint="eastAsia"/>
                <w:kern w:val="24"/>
                <w:szCs w:val="21"/>
              </w:rPr>
              <w:t>2</w:t>
            </w:r>
          </w:p>
        </w:tc>
        <w:tc>
          <w:tcPr>
            <w:tcW w:w="1331" w:type="pct"/>
            <w:tcBorders>
              <w:tl2br w:val="nil"/>
              <w:tr2bl w:val="nil"/>
            </w:tcBorders>
            <w:vAlign w:val="center"/>
          </w:tcPr>
          <w:p>
            <w:pPr>
              <w:spacing w:line="260" w:lineRule="exact"/>
              <w:jc w:val="center"/>
              <w:rPr>
                <w:bCs/>
                <w:szCs w:val="21"/>
              </w:rPr>
            </w:pPr>
            <w:r>
              <w:rPr>
                <w:rFonts w:hint="eastAsia"/>
                <w:kern w:val="24"/>
                <w:szCs w:val="21"/>
              </w:rPr>
              <w:t>氨气</w:t>
            </w:r>
          </w:p>
        </w:tc>
        <w:tc>
          <w:tcPr>
            <w:tcW w:w="1524" w:type="pct"/>
            <w:tcBorders>
              <w:tl2br w:val="nil"/>
              <w:tr2bl w:val="nil"/>
            </w:tcBorders>
            <w:vAlign w:val="center"/>
          </w:tcPr>
          <w:p>
            <w:pPr>
              <w:spacing w:line="260" w:lineRule="exact"/>
              <w:jc w:val="center"/>
              <w:rPr>
                <w:bCs/>
                <w:szCs w:val="21"/>
              </w:rPr>
            </w:pPr>
            <w:r>
              <w:rPr>
                <w:rFonts w:hint="eastAsia"/>
                <w:kern w:val="24"/>
                <w:szCs w:val="21"/>
              </w:rPr>
              <w:t>7664</w:t>
            </w:r>
            <w:r>
              <w:rPr>
                <w:rFonts w:hint="eastAsia"/>
                <w:bCs/>
                <w:szCs w:val="21"/>
              </w:rPr>
              <w:t>-41-7</w:t>
            </w:r>
          </w:p>
        </w:tc>
        <w:tc>
          <w:tcPr>
            <w:tcW w:w="1250" w:type="pct"/>
            <w:tcBorders>
              <w:tl2br w:val="nil"/>
              <w:tr2bl w:val="nil"/>
            </w:tcBorders>
            <w:vAlign w:val="center"/>
          </w:tcPr>
          <w:p>
            <w:pPr>
              <w:spacing w:line="260" w:lineRule="exact"/>
              <w:jc w:val="center"/>
              <w:rPr>
                <w:bCs/>
                <w:szCs w:val="21"/>
              </w:rPr>
            </w:pPr>
            <w:r>
              <w:rPr>
                <w:rFonts w:hint="eastAsia"/>
                <w:kern w:val="24"/>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9" w:hRule="exact"/>
          <w:jc w:val="center"/>
        </w:trPr>
        <w:tc>
          <w:tcPr>
            <w:tcW w:w="895" w:type="pct"/>
            <w:tcBorders>
              <w:tl2br w:val="nil"/>
              <w:tr2bl w:val="nil"/>
            </w:tcBorders>
            <w:vAlign w:val="center"/>
          </w:tcPr>
          <w:p>
            <w:pPr>
              <w:spacing w:line="260" w:lineRule="exact"/>
              <w:jc w:val="center"/>
              <w:rPr>
                <w:kern w:val="24"/>
                <w:szCs w:val="21"/>
              </w:rPr>
            </w:pPr>
            <w:r>
              <w:rPr>
                <w:rFonts w:hint="eastAsia"/>
                <w:kern w:val="24"/>
                <w:szCs w:val="21"/>
              </w:rPr>
              <w:t>3</w:t>
            </w:r>
          </w:p>
        </w:tc>
        <w:tc>
          <w:tcPr>
            <w:tcW w:w="1331" w:type="pct"/>
            <w:tcBorders>
              <w:tl2br w:val="nil"/>
              <w:tr2bl w:val="nil"/>
            </w:tcBorders>
            <w:vAlign w:val="center"/>
          </w:tcPr>
          <w:p>
            <w:pPr>
              <w:spacing w:line="260" w:lineRule="exact"/>
              <w:jc w:val="center"/>
              <w:rPr>
                <w:kern w:val="24"/>
                <w:szCs w:val="21"/>
              </w:rPr>
            </w:pPr>
            <w:r>
              <w:rPr>
                <w:rFonts w:hint="eastAsia"/>
                <w:kern w:val="24"/>
                <w:szCs w:val="21"/>
              </w:rPr>
              <w:t>硫化氢</w:t>
            </w:r>
          </w:p>
        </w:tc>
        <w:tc>
          <w:tcPr>
            <w:tcW w:w="1524" w:type="pct"/>
            <w:tcBorders>
              <w:tl2br w:val="nil"/>
              <w:tr2bl w:val="nil"/>
            </w:tcBorders>
            <w:vAlign w:val="center"/>
          </w:tcPr>
          <w:p>
            <w:pPr>
              <w:spacing w:line="260" w:lineRule="exact"/>
              <w:jc w:val="center"/>
              <w:rPr>
                <w:kern w:val="24"/>
                <w:szCs w:val="21"/>
              </w:rPr>
            </w:pPr>
            <w:r>
              <w:rPr>
                <w:rFonts w:hint="eastAsia"/>
                <w:kern w:val="24"/>
                <w:szCs w:val="21"/>
              </w:rPr>
              <w:t>7783-06-4</w:t>
            </w:r>
          </w:p>
        </w:tc>
        <w:tc>
          <w:tcPr>
            <w:tcW w:w="1250" w:type="pct"/>
            <w:tcBorders>
              <w:tl2br w:val="nil"/>
              <w:tr2bl w:val="nil"/>
            </w:tcBorders>
            <w:vAlign w:val="center"/>
          </w:tcPr>
          <w:p>
            <w:pPr>
              <w:spacing w:line="260" w:lineRule="exact"/>
              <w:jc w:val="center"/>
              <w:rPr>
                <w:bCs/>
                <w:szCs w:val="21"/>
              </w:rPr>
            </w:pPr>
            <w:r>
              <w:rPr>
                <w:rFonts w:hint="eastAsia"/>
                <w:kern w:val="24"/>
                <w:szCs w:val="21"/>
              </w:rPr>
              <w:t>2</w:t>
            </w:r>
            <w:r>
              <w:rPr>
                <w:rFonts w:hint="eastAsia"/>
                <w:bCs/>
                <w:szCs w:val="21"/>
              </w:rPr>
              <w:t>.5</w:t>
            </w:r>
          </w:p>
        </w:tc>
      </w:tr>
    </w:tbl>
    <w:p>
      <w:pPr>
        <w:pStyle w:val="6"/>
      </w:pPr>
      <w:r>
        <w:rPr>
          <w:rFonts w:hint="eastAsia"/>
        </w:rPr>
        <w:t>5.8.2 风险事故情形分析</w:t>
      </w:r>
    </w:p>
    <w:p>
      <w:pPr>
        <w:autoSpaceDE w:val="0"/>
        <w:autoSpaceDN w:val="0"/>
        <w:adjustRightInd w:val="0"/>
        <w:spacing w:line="480" w:lineRule="exact"/>
        <w:ind w:firstLine="482" w:firstLineChars="200"/>
        <w:rPr>
          <w:b/>
          <w:bCs/>
          <w:kern w:val="24"/>
          <w:sz w:val="24"/>
        </w:rPr>
      </w:pPr>
      <w:r>
        <w:rPr>
          <w:rFonts w:hint="eastAsia"/>
          <w:b/>
          <w:bCs/>
          <w:kern w:val="24"/>
          <w:sz w:val="24"/>
        </w:rPr>
        <w:t>1、填埋气火灾爆炸</w:t>
      </w:r>
    </w:p>
    <w:p>
      <w:pPr>
        <w:pStyle w:val="38"/>
        <w:spacing w:line="480" w:lineRule="exact"/>
        <w:ind w:firstLine="482" w:firstLineChars="200"/>
        <w:rPr>
          <w:rFonts w:ascii="Times New Roman" w:hAnsi="Times New Roman" w:eastAsia="宋体" w:cs="Times New Roman"/>
          <w:b w:val="0"/>
          <w:bCs w:val="0"/>
          <w:color w:val="auto"/>
          <w:sz w:val="24"/>
          <w:lang w:val="zh-CN"/>
        </w:rPr>
      </w:pPr>
      <w:r>
        <w:rPr>
          <w:rFonts w:ascii="Times New Roman" w:hAnsi="Times New Roman" w:eastAsia="宋体"/>
          <w:sz w:val="24"/>
        </w:rPr>
        <w:t>（</w:t>
      </w:r>
      <w:r>
        <w:rPr>
          <w:rFonts w:hint="eastAsia" w:ascii="Times New Roman" w:hAnsi="Times New Roman" w:eastAsia="宋体"/>
          <w:sz w:val="24"/>
        </w:rPr>
        <w:t>1</w:t>
      </w:r>
      <w:r>
        <w:rPr>
          <w:rFonts w:ascii="Times New Roman" w:hAnsi="Times New Roman" w:eastAsia="宋体"/>
          <w:sz w:val="24"/>
        </w:rPr>
        <w:t>）</w:t>
      </w:r>
      <w:r>
        <w:rPr>
          <w:rFonts w:hint="eastAsia" w:ascii="Times New Roman" w:hAnsi="Times New Roman" w:eastAsia="宋体"/>
          <w:sz w:val="24"/>
        </w:rPr>
        <w:t>火灾爆炸风险分析</w:t>
      </w:r>
    </w:p>
    <w:p>
      <w:pPr>
        <w:pStyle w:val="38"/>
        <w:spacing w:line="48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val="zh-CN"/>
        </w:rPr>
        <w:t>填埋区产生的填埋气体是本项目大气环境风险的主要源头，填埋气中含有大量的甲烷，属于易燃易爆气体，当甲烷在空气中所占比例达到一定的范围时（5%-10%，按平均值 10%计算），若遇到周围的火源，可能发生闪火或爆炸。根据其他填埋场的事故原因调查和统计，填埋区内填埋气发生闪火和爆炸的主要隐患为：违章动火、烟头、机械火花、汽车排气管火星、防爆设备失灵、变压器故障火花、其他电气短接等。另外，填埋气导排系统发生堵塞、</w:t>
      </w:r>
      <w:r>
        <w:rPr>
          <w:rFonts w:hint="eastAsia" w:ascii="Times New Roman" w:hAnsi="Times New Roman" w:eastAsia="宋体" w:cs="Times New Roman"/>
          <w:b w:val="0"/>
          <w:bCs w:val="0"/>
          <w:color w:val="auto"/>
          <w:sz w:val="24"/>
        </w:rPr>
        <w:t>收集处理系统未能有效利用等，会导致填埋气在堆体内积累大量聚集，当积聚的压力大于覆盖层重力时，可能瞬间突破覆盖层，减压膨胀发生物理性爆炸。</w:t>
      </w:r>
    </w:p>
    <w:p>
      <w:pPr>
        <w:pStyle w:val="38"/>
        <w:spacing w:line="480" w:lineRule="exact"/>
        <w:ind w:firstLine="480" w:firstLineChars="200"/>
        <w:rPr>
          <w:rFonts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根据本项目所在地周围环境和地形特征，如发生填埋气火灾爆炸事故，场内渗滤液处理站、抽气机房、办公区都将受到威胁，当发生较大规模的气体爆炸事故时，还可能引发一系列后续风险事故：如渗滤液处理装置损坏导致渗滤液事故排放至地表，污染地表水体；爆炸引起库底有害气体（H</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S、NH</w:t>
      </w:r>
      <w:r>
        <w:rPr>
          <w:rFonts w:hint="eastAsia" w:ascii="Times New Roman" w:hAnsi="Times New Roman" w:eastAsia="宋体" w:cs="Times New Roman"/>
          <w:b w:val="0"/>
          <w:bCs w:val="0"/>
          <w:color w:val="auto"/>
          <w:sz w:val="24"/>
          <w:vertAlign w:val="subscript"/>
        </w:rPr>
        <w:t>3</w:t>
      </w:r>
      <w:r>
        <w:rPr>
          <w:rFonts w:hint="eastAsia" w:ascii="Times New Roman" w:hAnsi="Times New Roman" w:eastAsia="宋体" w:cs="Times New Roman"/>
          <w:b w:val="0"/>
          <w:bCs w:val="0"/>
          <w:color w:val="auto"/>
          <w:sz w:val="24"/>
        </w:rPr>
        <w:t>、CO等）释放污染周围空气；爆炸气浪抛起的大量垃圾和砂石破坏垃圾场周围生态环境（植被被垃圾和尘埃覆盖等）和引起水土流失等。</w:t>
      </w:r>
    </w:p>
    <w:p>
      <w:pPr>
        <w:pStyle w:val="38"/>
        <w:spacing w:line="480" w:lineRule="exact"/>
        <w:ind w:firstLine="482" w:firstLineChars="200"/>
        <w:rPr>
          <w:rFonts w:ascii="Times New Roman" w:hAnsi="Times New Roman" w:eastAsia="宋体" w:cs="Times New Roman"/>
          <w:b w:val="0"/>
          <w:bCs w:val="0"/>
          <w:color w:val="auto"/>
          <w:sz w:val="24"/>
        </w:rPr>
      </w:pPr>
      <w:r>
        <w:rPr>
          <w:rFonts w:ascii="Times New Roman" w:hAnsi="Times New Roman" w:eastAsia="宋体"/>
          <w:sz w:val="24"/>
        </w:rPr>
        <w:t>（</w:t>
      </w:r>
      <w:r>
        <w:rPr>
          <w:rFonts w:hint="eastAsia" w:ascii="Times New Roman" w:hAnsi="Times New Roman" w:eastAsia="宋体"/>
          <w:sz w:val="24"/>
        </w:rPr>
        <w:t>2</w:t>
      </w:r>
      <w:r>
        <w:rPr>
          <w:rFonts w:ascii="Times New Roman" w:hAnsi="Times New Roman" w:eastAsia="宋体"/>
          <w:sz w:val="24"/>
        </w:rPr>
        <w:t>）</w:t>
      </w:r>
      <w:r>
        <w:rPr>
          <w:rFonts w:hint="eastAsia" w:ascii="Times New Roman" w:hAnsi="Times New Roman" w:eastAsia="宋体"/>
          <w:sz w:val="24"/>
        </w:rPr>
        <w:t>火灾爆炸风险防范措施</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1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①</w:t>
      </w:r>
      <w:r>
        <w:rPr>
          <w:rFonts w:ascii="Times New Roman" w:hAnsi="Times New Roman" w:eastAsia="宋体"/>
          <w:b w:val="0"/>
          <w:bCs w:val="0"/>
          <w:sz w:val="24"/>
        </w:rPr>
        <w:fldChar w:fldCharType="end"/>
      </w:r>
      <w:r>
        <w:rPr>
          <w:rFonts w:hint="eastAsia" w:ascii="Times New Roman" w:hAnsi="Times New Roman" w:eastAsia="宋体"/>
          <w:b w:val="0"/>
          <w:bCs w:val="0"/>
          <w:sz w:val="24"/>
        </w:rPr>
        <w:t>制定填埋场消防规章制度，由专人负责检查落实，并按要求配备消防设施。</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2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②</w:t>
      </w:r>
      <w:r>
        <w:rPr>
          <w:rFonts w:ascii="Times New Roman" w:hAnsi="Times New Roman" w:eastAsia="宋体"/>
          <w:b w:val="0"/>
          <w:bCs w:val="0"/>
          <w:sz w:val="24"/>
        </w:rPr>
        <w:fldChar w:fldCharType="end"/>
      </w:r>
      <w:r>
        <w:rPr>
          <w:rFonts w:hint="eastAsia" w:ascii="Times New Roman" w:hAnsi="Times New Roman" w:eastAsia="宋体"/>
          <w:b w:val="0"/>
          <w:bCs w:val="0"/>
          <w:sz w:val="24"/>
        </w:rPr>
        <w:t>在甲烷易积聚的地方安装填埋气体监测及安全报警装置，根据现行国家标准《生活垃圾填埋场污染控制标准》（GB16889-2008）等相关标准要求，对填埋库区、填埋气体排放口的甲烷浓度进行自动监测。</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3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③</w:t>
      </w:r>
      <w:r>
        <w:rPr>
          <w:rFonts w:ascii="Times New Roman" w:hAnsi="Times New Roman" w:eastAsia="宋体"/>
          <w:b w:val="0"/>
          <w:bCs w:val="0"/>
          <w:sz w:val="24"/>
        </w:rPr>
        <w:fldChar w:fldCharType="end"/>
      </w:r>
      <w:r>
        <w:rPr>
          <w:rFonts w:hint="eastAsia" w:ascii="Times New Roman" w:hAnsi="Times New Roman" w:eastAsia="宋体"/>
          <w:b w:val="0"/>
          <w:bCs w:val="0"/>
          <w:sz w:val="24"/>
        </w:rPr>
        <w:t>对填埋场的全体工作人员（包括临时参观人员）进行安全常识教育，定期举行消防演练，尽量减少无关人员的进出，填埋区进场口及其他醒目位置设置禁止携带火源和易燃易爆物品的防火防爆标识，对携带有火源或易燃易 爆物质的进场人员或车辆进行严格限制和检查；场区内严禁吸烟和明火作业。每天上班前必须有专人检查垃圾场周围空气是否达到警戒浓度，如果达到警戒浓度应马上通知全体人员撤离垃圾场，并采取相应安全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4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④</w:t>
      </w:r>
      <w:r>
        <w:rPr>
          <w:rFonts w:ascii="Times New Roman" w:hAnsi="Times New Roman" w:eastAsia="宋体"/>
          <w:b w:val="0"/>
          <w:bCs w:val="0"/>
          <w:sz w:val="24"/>
        </w:rPr>
        <w:fldChar w:fldCharType="end"/>
      </w:r>
      <w:r>
        <w:rPr>
          <w:rFonts w:hint="eastAsia" w:ascii="Times New Roman" w:hAnsi="Times New Roman" w:eastAsia="宋体"/>
          <w:b w:val="0"/>
          <w:bCs w:val="0"/>
          <w:sz w:val="24"/>
        </w:rPr>
        <w:t>填埋场运营设备、电气装置满足防火防爆的要求，对场区内的防火防 爆设备定期进行安全检测，检测内容、时间、人员应有记录保存。</w:t>
      </w:r>
    </w:p>
    <w:p>
      <w:pPr>
        <w:pStyle w:val="38"/>
        <w:spacing w:line="480" w:lineRule="exact"/>
        <w:ind w:firstLine="480" w:firstLineChars="200"/>
        <w:rPr>
          <w:rFonts w:asciiTheme="minorEastAsia" w:hAnsiTheme="minorEastAsia" w:eastAsiaTheme="minorEastAsia" w:cstheme="minorEastAsia"/>
          <w:b w:val="0"/>
          <w:bCs w:val="0"/>
          <w:sz w:val="24"/>
        </w:rPr>
      </w:pPr>
      <w:r>
        <w:rPr>
          <w:rFonts w:hint="eastAsia"/>
          <w:b w:val="0"/>
          <w:bCs w:val="0"/>
          <w:sz w:val="24"/>
        </w:rPr>
        <w:fldChar w:fldCharType="begin"/>
      </w:r>
      <w:r>
        <w:rPr>
          <w:rFonts w:hint="eastAsia"/>
          <w:b w:val="0"/>
          <w:bCs w:val="0"/>
          <w:sz w:val="24"/>
        </w:rPr>
        <w:instrText xml:space="preserve"> = 5 \* GB3 \* MERGEFORMAT </w:instrText>
      </w:r>
      <w:r>
        <w:rPr>
          <w:rFonts w:hint="eastAsia"/>
          <w:b w:val="0"/>
          <w:bCs w:val="0"/>
          <w:sz w:val="24"/>
        </w:rPr>
        <w:fldChar w:fldCharType="separate"/>
      </w:r>
      <w:r>
        <w:rPr>
          <w:b w:val="0"/>
          <w:bCs w:val="0"/>
          <w:sz w:val="24"/>
        </w:rPr>
        <w:t>⑤</w:t>
      </w:r>
      <w:r>
        <w:rPr>
          <w:rFonts w:hint="eastAsia"/>
          <w:b w:val="0"/>
          <w:bCs w:val="0"/>
          <w:sz w:val="24"/>
        </w:rPr>
        <w:fldChar w:fldCharType="end"/>
      </w:r>
      <w:r>
        <w:rPr>
          <w:rFonts w:hint="eastAsia" w:asciiTheme="minorEastAsia" w:hAnsiTheme="minorEastAsia" w:eastAsiaTheme="minorEastAsia" w:cstheme="minorEastAsia"/>
          <w:b w:val="0"/>
          <w:bCs w:val="0"/>
          <w:sz w:val="24"/>
        </w:rPr>
        <w:t>建立健全场地垃圾填埋气导排、收集、处理系统，并保障设备设施正常有效运行。</w:t>
      </w:r>
    </w:p>
    <w:p>
      <w:pPr>
        <w:autoSpaceDE w:val="0"/>
        <w:autoSpaceDN w:val="0"/>
        <w:adjustRightInd w:val="0"/>
        <w:spacing w:line="480" w:lineRule="exact"/>
        <w:ind w:firstLine="482" w:firstLineChars="200"/>
        <w:rPr>
          <w:b/>
          <w:bCs/>
          <w:kern w:val="24"/>
          <w:sz w:val="24"/>
        </w:rPr>
      </w:pPr>
      <w:r>
        <w:rPr>
          <w:rFonts w:hint="eastAsia"/>
          <w:b/>
          <w:bCs/>
          <w:kern w:val="24"/>
          <w:sz w:val="24"/>
        </w:rPr>
        <w:t>2、渗滤液系统事故泄露</w:t>
      </w:r>
    </w:p>
    <w:p>
      <w:pPr>
        <w:pStyle w:val="38"/>
        <w:spacing w:line="480" w:lineRule="exact"/>
        <w:ind w:firstLine="482" w:firstLineChars="200"/>
        <w:rPr>
          <w:rFonts w:ascii="Times New Roman" w:hAnsi="Times New Roman" w:eastAsia="宋体" w:cs="Times New Roman"/>
          <w:b w:val="0"/>
          <w:bCs w:val="0"/>
          <w:color w:val="auto"/>
          <w:sz w:val="24"/>
          <w:lang w:val="zh-CN"/>
        </w:rPr>
      </w:pPr>
      <w:r>
        <w:rPr>
          <w:rFonts w:ascii="Times New Roman" w:hAnsi="Times New Roman" w:eastAsia="宋体"/>
          <w:sz w:val="24"/>
        </w:rPr>
        <w:t>（</w:t>
      </w:r>
      <w:r>
        <w:rPr>
          <w:rFonts w:hint="eastAsia" w:ascii="Times New Roman" w:hAnsi="Times New Roman" w:eastAsia="宋体"/>
          <w:sz w:val="24"/>
        </w:rPr>
        <w:t>1</w:t>
      </w:r>
      <w:r>
        <w:rPr>
          <w:rFonts w:ascii="Times New Roman" w:hAnsi="Times New Roman" w:eastAsia="宋体"/>
          <w:sz w:val="24"/>
        </w:rPr>
        <w:t>）</w:t>
      </w:r>
      <w:r>
        <w:rPr>
          <w:rFonts w:hint="eastAsia" w:ascii="Times New Roman" w:hAnsi="Times New Roman" w:eastAsia="宋体"/>
          <w:sz w:val="24"/>
        </w:rPr>
        <w:t>渗滤液泄露风险分析</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垃圾渗滤液水质复杂，含有多种有毒有害的无机物和有机物，垃圾渗滤液中COD、BOD</w:t>
      </w:r>
      <w:r>
        <w:rPr>
          <w:rFonts w:hint="eastAsia" w:ascii="Times New Roman" w:hAnsi="Times New Roman" w:eastAsia="宋体" w:cs="Times New Roman"/>
          <w:b w:val="0"/>
          <w:bCs w:val="0"/>
          <w:color w:val="auto"/>
          <w:sz w:val="24"/>
          <w:vertAlign w:val="subscript"/>
          <w:lang w:val="zh-CN"/>
        </w:rPr>
        <w:t>5</w:t>
      </w:r>
      <w:r>
        <w:rPr>
          <w:rFonts w:hint="eastAsia" w:ascii="Times New Roman" w:hAnsi="Times New Roman" w:eastAsia="宋体" w:cs="Times New Roman"/>
          <w:b w:val="0"/>
          <w:bCs w:val="0"/>
          <w:color w:val="auto"/>
          <w:sz w:val="24"/>
          <w:lang w:val="zh-CN"/>
        </w:rPr>
        <w:t>浓度最高值可达数千至几万，和城市污水相比，浓度高得多。渗滤液中NH</w:t>
      </w:r>
      <w:r>
        <w:rPr>
          <w:rFonts w:hint="eastAsia" w:ascii="Times New Roman" w:hAnsi="Times New Roman" w:eastAsia="宋体" w:cs="Times New Roman"/>
          <w:b w:val="0"/>
          <w:bCs w:val="0"/>
          <w:color w:val="auto"/>
          <w:sz w:val="24"/>
          <w:vertAlign w:val="subscript"/>
          <w:lang w:val="zh-CN"/>
        </w:rPr>
        <w:t>3</w:t>
      </w:r>
      <w:r>
        <w:rPr>
          <w:rFonts w:hint="eastAsia" w:ascii="Times New Roman" w:hAnsi="Times New Roman" w:eastAsia="宋体" w:cs="Times New Roman"/>
          <w:b w:val="0"/>
          <w:bCs w:val="0"/>
          <w:color w:val="auto"/>
          <w:sz w:val="24"/>
          <w:lang w:val="zh-CN"/>
        </w:rPr>
        <w:t>-N 浓度有时可高达3000mg/L，色度呈黑褐色，伴有浓烈的臭味，</w:t>
      </w:r>
      <w:r>
        <w:rPr>
          <w:rFonts w:ascii="Times New Roman" w:hAnsi="Times New Roman" w:eastAsia="宋体" w:cs="Times New Roman"/>
          <w:b w:val="0"/>
          <w:bCs w:val="0"/>
          <w:color w:val="auto"/>
          <w:sz w:val="24"/>
          <w:lang w:val="zh-CN"/>
        </w:rPr>
        <w:t>渗滤液污染地下水是垃圾填埋场工程污染防治的重要问题之一，渗滤液泄露原因可能有：</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1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①</w:t>
      </w:r>
      <w:r>
        <w:rPr>
          <w:rFonts w:ascii="Times New Roman" w:hAnsi="Times New Roman" w:eastAsia="宋体"/>
          <w:b w:val="0"/>
          <w:bCs w:val="0"/>
          <w:sz w:val="24"/>
        </w:rPr>
        <w:fldChar w:fldCharType="end"/>
      </w:r>
      <w:r>
        <w:rPr>
          <w:rFonts w:hint="eastAsia" w:ascii="Times New Roman" w:hAnsi="Times New Roman" w:eastAsia="宋体"/>
          <w:b w:val="0"/>
          <w:bCs w:val="0"/>
          <w:sz w:val="24"/>
        </w:rPr>
        <w:t>渗滤液输送管道破裂</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lang w:val="zh-CN"/>
        </w:rPr>
        <w:t>因输送管道材料质量、所采取的防渗防腐措施或人为破坏等原因，导致管道 破损，致使渗滤液外排至地表，污染地表水、地下水和土壤。因此，应充分考虑 渗滤液对材料的腐蚀性，经常维修检测管线和相应的闸门、水泵等导流系统部件 等，降低事故发生概率。一旦渗滤液输送管道破裂，应尽快确定故障发生部位、 排除方法及排除的可能性，以及填埋作业单元及整个填埋场继续使用的可能性。</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2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②</w:t>
      </w:r>
      <w:r>
        <w:rPr>
          <w:rFonts w:ascii="Times New Roman" w:hAnsi="Times New Roman" w:eastAsia="宋体"/>
          <w:b w:val="0"/>
          <w:bCs w:val="0"/>
          <w:sz w:val="24"/>
        </w:rPr>
        <w:fldChar w:fldCharType="end"/>
      </w:r>
      <w:r>
        <w:rPr>
          <w:rFonts w:hint="eastAsia" w:ascii="Times New Roman" w:hAnsi="Times New Roman" w:eastAsia="宋体"/>
          <w:b w:val="0"/>
          <w:bCs w:val="0"/>
          <w:sz w:val="24"/>
        </w:rPr>
        <w:t>防渗层断裂</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lang w:val="zh-CN"/>
        </w:rPr>
        <w:t>防渗层断裂主要是由于施工不符合技术要求引起基础不均匀沉降所致。因此，应加强防渗层施工的技术监督和工程监理，确保工程达到相关技术规范要求。在运行期间，注意监测渗滤液产生的数量。当发生原因不明确且出现难以解释的渗滤液数量突然减少的现象时，首先考虑为防渗层断裂，并尽快查明断裂发生位置，确定能否采取补救措施，同时对填埋场地下径流监测井进行监测。若有问题应告知当地村民，预测影响水质的程度和持续时间，应急解决居民饮用水问题。</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3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③</w:t>
      </w:r>
      <w:r>
        <w:rPr>
          <w:rFonts w:ascii="Times New Roman" w:hAnsi="Times New Roman" w:eastAsia="宋体"/>
          <w:b w:val="0"/>
          <w:bCs w:val="0"/>
          <w:sz w:val="24"/>
        </w:rPr>
        <w:fldChar w:fldCharType="end"/>
      </w:r>
      <w:r>
        <w:rPr>
          <w:rFonts w:hint="eastAsia" w:ascii="Times New Roman" w:hAnsi="Times New Roman" w:eastAsia="宋体"/>
          <w:b w:val="0"/>
          <w:bCs w:val="0"/>
          <w:sz w:val="24"/>
        </w:rPr>
        <w:t>暴雨等导致的渗滤液剧增</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lang w:val="zh-CN"/>
        </w:rPr>
        <w:t>暴雨会导致渗滤液产生量的激增而导致的渗滤液外溢</w:t>
      </w:r>
      <w:r>
        <w:rPr>
          <w:rFonts w:hint="eastAsia" w:ascii="Times New Roman" w:hAnsi="Times New Roman" w:eastAsia="宋体" w:cs="Times New Roman"/>
          <w:b w:val="0"/>
          <w:bCs w:val="0"/>
          <w:color w:val="auto"/>
          <w:sz w:val="24"/>
          <w:lang w:val="zh-CN"/>
        </w:rPr>
        <w:t>和</w:t>
      </w:r>
      <w:r>
        <w:rPr>
          <w:rFonts w:ascii="Times New Roman" w:hAnsi="Times New Roman" w:eastAsia="宋体" w:cs="Times New Roman"/>
          <w:b w:val="0"/>
          <w:bCs w:val="0"/>
          <w:color w:val="auto"/>
          <w:sz w:val="24"/>
          <w:lang w:val="zh-CN"/>
        </w:rPr>
        <w:t>事故</w:t>
      </w:r>
      <w:r>
        <w:rPr>
          <w:rFonts w:hint="eastAsia" w:ascii="Times New Roman" w:hAnsi="Times New Roman" w:eastAsia="宋体" w:cs="Times New Roman"/>
          <w:b w:val="0"/>
          <w:bCs w:val="0"/>
          <w:color w:val="auto"/>
          <w:sz w:val="24"/>
          <w:lang w:val="zh-CN"/>
        </w:rPr>
        <w:t>排放，可能发生地表漫流污染区域地表水及地下水，另外，渗滤液泄漏后会产生一定的恶臭气体。</w:t>
      </w:r>
    </w:p>
    <w:p>
      <w:pPr>
        <w:pStyle w:val="38"/>
        <w:spacing w:line="480" w:lineRule="exact"/>
        <w:ind w:firstLine="0" w:firstLineChars="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项目</w:t>
      </w:r>
      <w:r>
        <w:rPr>
          <w:rFonts w:ascii="Times New Roman" w:hAnsi="Times New Roman" w:eastAsia="宋体" w:cs="Times New Roman"/>
          <w:b w:val="0"/>
          <w:bCs w:val="0"/>
          <w:color w:val="auto"/>
          <w:sz w:val="24"/>
          <w:lang w:val="zh-CN"/>
        </w:rPr>
        <w:t>现有渗滤液调节池容积</w:t>
      </w:r>
      <w:r>
        <w:rPr>
          <w:rFonts w:hint="eastAsia" w:ascii="Times New Roman" w:hAnsi="Times New Roman" w:eastAsia="宋体" w:cs="Times New Roman"/>
          <w:b w:val="0"/>
          <w:bCs w:val="0"/>
          <w:color w:val="auto"/>
          <w:sz w:val="24"/>
          <w:lang w:val="zh-CN"/>
        </w:rPr>
        <w:t>为</w:t>
      </w:r>
      <w:r>
        <w:rPr>
          <w:rFonts w:hint="eastAsia" w:ascii="Times New Roman" w:hAnsi="Times New Roman" w:eastAsia="宋体" w:cs="Times New Roman"/>
          <w:b w:val="0"/>
          <w:bCs w:val="0"/>
          <w:color w:val="auto"/>
          <w:sz w:val="24"/>
        </w:rPr>
        <w:t>640</w:t>
      </w:r>
      <w:r>
        <w:rPr>
          <w:rFonts w:ascii="Times New Roman" w:hAnsi="Times New Roman" w:eastAsia="宋体" w:cs="Times New Roman"/>
          <w:b w:val="0"/>
          <w:bCs w:val="0"/>
          <w:color w:val="auto"/>
          <w:sz w:val="24"/>
          <w:lang w:val="zh-CN"/>
        </w:rPr>
        <w:t>m</w:t>
      </w:r>
      <w:r>
        <w:rPr>
          <w:rFonts w:ascii="Times New Roman" w:hAnsi="Times New Roman" w:eastAsia="宋体" w:cs="Times New Roman"/>
          <w:b w:val="0"/>
          <w:bCs w:val="0"/>
          <w:color w:val="auto"/>
          <w:sz w:val="24"/>
          <w:vertAlign w:val="superscript"/>
          <w:lang w:val="zh-CN"/>
        </w:rPr>
        <w:t>3</w:t>
      </w:r>
      <w:r>
        <w:rPr>
          <w:rFonts w:ascii="Times New Roman" w:hAnsi="Times New Roman" w:eastAsia="宋体" w:cs="Times New Roman"/>
          <w:b w:val="0"/>
          <w:bCs w:val="0"/>
          <w:color w:val="auto"/>
          <w:sz w:val="24"/>
          <w:lang w:val="zh-CN"/>
        </w:rPr>
        <w:t>，</w:t>
      </w:r>
      <w:r>
        <w:rPr>
          <w:rFonts w:hint="eastAsia" w:ascii="Times New Roman" w:hAnsi="Times New Roman" w:eastAsia="宋体" w:cs="Times New Roman"/>
          <w:b w:val="0"/>
          <w:bCs w:val="0"/>
          <w:color w:val="auto"/>
          <w:sz w:val="24"/>
          <w:lang w:val="zh-CN"/>
        </w:rPr>
        <w:t>本次评价过程中</w:t>
      </w:r>
      <w:r>
        <w:rPr>
          <w:rFonts w:hint="eastAsia" w:ascii="Times New Roman" w:hAnsi="Times New Roman" w:eastAsia="宋体" w:cs="Times New Roman"/>
          <w:b w:val="0"/>
          <w:bCs w:val="0"/>
          <w:color w:val="auto"/>
          <w:sz w:val="24"/>
        </w:rPr>
        <w:t>参照《生活垃圾卫生填埋处理技术规范》(GB50869-2013)附录C计算方法，项目渗滤液调节池容积规模应不小于1800m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，因此，评价要求项目单位应通过扩容或增设等保证场地渗滤液调节池容积满足上述要求，尽量减小</w:t>
      </w:r>
      <w:r>
        <w:rPr>
          <w:rFonts w:ascii="Times New Roman" w:hAnsi="Times New Roman" w:eastAsia="宋体" w:cs="Times New Roman"/>
          <w:b w:val="0"/>
          <w:bCs w:val="0"/>
          <w:color w:val="auto"/>
          <w:sz w:val="24"/>
          <w:lang w:val="zh-CN"/>
        </w:rPr>
        <w:t>暴雨</w:t>
      </w:r>
      <w:r>
        <w:rPr>
          <w:rFonts w:hint="eastAsia" w:ascii="Times New Roman" w:hAnsi="Times New Roman" w:eastAsia="宋体" w:cs="Times New Roman"/>
          <w:b w:val="0"/>
          <w:bCs w:val="0"/>
          <w:color w:val="auto"/>
          <w:sz w:val="24"/>
          <w:lang w:val="zh-CN"/>
        </w:rPr>
        <w:t>等</w:t>
      </w:r>
      <w:r>
        <w:rPr>
          <w:rFonts w:ascii="Times New Roman" w:hAnsi="Times New Roman" w:eastAsia="宋体" w:cs="Times New Roman"/>
          <w:b w:val="0"/>
          <w:bCs w:val="0"/>
          <w:color w:val="auto"/>
          <w:sz w:val="24"/>
          <w:lang w:val="zh-CN"/>
        </w:rPr>
        <w:t>导致</w:t>
      </w:r>
      <w:r>
        <w:rPr>
          <w:rFonts w:hint="eastAsia" w:ascii="Times New Roman" w:hAnsi="Times New Roman" w:eastAsia="宋体" w:cs="Times New Roman"/>
          <w:b w:val="0"/>
          <w:bCs w:val="0"/>
          <w:color w:val="auto"/>
          <w:sz w:val="24"/>
          <w:lang w:val="zh-CN"/>
        </w:rPr>
        <w:t>的</w:t>
      </w:r>
      <w:r>
        <w:rPr>
          <w:rFonts w:ascii="Times New Roman" w:hAnsi="Times New Roman" w:eastAsia="宋体" w:cs="Times New Roman"/>
          <w:b w:val="0"/>
          <w:bCs w:val="0"/>
          <w:color w:val="auto"/>
          <w:sz w:val="24"/>
          <w:lang w:val="zh-CN"/>
        </w:rPr>
        <w:t>渗滤液外溢</w:t>
      </w:r>
      <w:r>
        <w:rPr>
          <w:rFonts w:hint="eastAsia" w:ascii="Times New Roman" w:hAnsi="Times New Roman" w:eastAsia="宋体" w:cs="Times New Roman"/>
          <w:b w:val="0"/>
          <w:bCs w:val="0"/>
          <w:color w:val="auto"/>
          <w:sz w:val="24"/>
          <w:lang w:val="zh-CN"/>
        </w:rPr>
        <w:t>和</w:t>
      </w:r>
      <w:r>
        <w:rPr>
          <w:rFonts w:ascii="Times New Roman" w:hAnsi="Times New Roman" w:eastAsia="宋体" w:cs="Times New Roman"/>
          <w:b w:val="0"/>
          <w:bCs w:val="0"/>
          <w:color w:val="auto"/>
          <w:sz w:val="24"/>
          <w:lang w:val="zh-CN"/>
        </w:rPr>
        <w:t>事故</w:t>
      </w:r>
      <w:r>
        <w:rPr>
          <w:rFonts w:hint="eastAsia" w:ascii="Times New Roman" w:hAnsi="Times New Roman" w:eastAsia="宋体" w:cs="Times New Roman"/>
          <w:b w:val="0"/>
          <w:bCs w:val="0"/>
          <w:color w:val="auto"/>
          <w:sz w:val="24"/>
          <w:lang w:val="zh-CN"/>
        </w:rPr>
        <w:t>排放风险。</w:t>
      </w:r>
    </w:p>
    <w:p>
      <w:pPr>
        <w:spacing w:line="480" w:lineRule="exact"/>
        <w:ind w:firstLine="482" w:firstLineChars="200"/>
        <w:jc w:val="left"/>
        <w:rPr>
          <w:b/>
          <w:bCs/>
          <w:sz w:val="24"/>
        </w:rPr>
      </w:pPr>
      <w:r>
        <w:rPr>
          <w:b/>
          <w:bCs/>
          <w:sz w:val="24"/>
        </w:rPr>
        <w:t>（</w:t>
      </w:r>
      <w:r>
        <w:rPr>
          <w:rFonts w:hint="eastAsia"/>
          <w:b/>
          <w:bCs/>
          <w:sz w:val="24"/>
        </w:rPr>
        <w:t>2</w:t>
      </w:r>
      <w:r>
        <w:rPr>
          <w:b/>
          <w:bCs/>
          <w:sz w:val="24"/>
        </w:rPr>
        <w:t>）渗滤液泄露</w:t>
      </w:r>
      <w:r>
        <w:rPr>
          <w:rFonts w:hint="eastAsia"/>
          <w:b/>
          <w:bCs/>
          <w:sz w:val="24"/>
        </w:rPr>
        <w:t>风险防范措施</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1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①</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严格按《生活垃圾填埋场污染控制标准》(GB16889-2008)</w:t>
      </w:r>
      <w:r>
        <w:rPr>
          <w:rFonts w:hint="eastAsia" w:ascii="Times New Roman" w:hAnsi="Times New Roman" w:eastAsia="宋体" w:cs="Times New Roman"/>
          <w:b w:val="0"/>
          <w:bCs w:val="0"/>
          <w:color w:val="auto"/>
          <w:sz w:val="24"/>
        </w:rPr>
        <w:t>要求进行防渗层完整性监测和</w:t>
      </w:r>
      <w:r>
        <w:rPr>
          <w:rFonts w:ascii="Times New Roman" w:hAnsi="Times New Roman" w:eastAsia="宋体" w:cs="Times New Roman"/>
          <w:b w:val="0"/>
          <w:bCs w:val="0"/>
          <w:color w:val="auto"/>
          <w:sz w:val="24"/>
        </w:rPr>
        <w:t>污染扩散井</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污染监视井</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本底井的</w:t>
      </w:r>
      <w:r>
        <w:rPr>
          <w:rFonts w:hint="eastAsia" w:ascii="Times New Roman" w:hAnsi="Times New Roman" w:eastAsia="宋体" w:cs="Times New Roman"/>
          <w:b w:val="0"/>
          <w:bCs w:val="0"/>
          <w:color w:val="auto"/>
          <w:sz w:val="24"/>
        </w:rPr>
        <w:t>地下水</w:t>
      </w:r>
      <w:r>
        <w:rPr>
          <w:rFonts w:ascii="Times New Roman" w:hAnsi="Times New Roman" w:eastAsia="宋体" w:cs="Times New Roman"/>
          <w:b w:val="0"/>
          <w:bCs w:val="0"/>
          <w:color w:val="auto"/>
          <w:sz w:val="24"/>
        </w:rPr>
        <w:t>水质监测</w:t>
      </w:r>
      <w:r>
        <w:rPr>
          <w:rFonts w:hint="eastAsia" w:ascii="Times New Roman" w:hAnsi="Times New Roman" w:eastAsia="宋体" w:cs="Times New Roman"/>
          <w:b w:val="0"/>
          <w:bCs w:val="0"/>
          <w:color w:val="auto"/>
          <w:sz w:val="24"/>
        </w:rPr>
        <w:t>，发现防渗衬层发生渗漏或地下水质有被污染迹象时，应及时查找原因，发现渗漏位置并采取补救措施，防止污染进一步扩散。做到早发现、早补救。</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2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②</w:t>
      </w:r>
      <w:r>
        <w:rPr>
          <w:rFonts w:ascii="Times New Roman" w:hAnsi="Times New Roman" w:eastAsia="宋体"/>
          <w:b w:val="0"/>
          <w:bCs w:val="0"/>
          <w:sz w:val="24"/>
        </w:rPr>
        <w:fldChar w:fldCharType="end"/>
      </w:r>
      <w:r>
        <w:rPr>
          <w:rFonts w:ascii="Times New Roman" w:hAnsi="Times New Roman" w:eastAsia="宋体" w:cs="Times New Roman"/>
          <w:b w:val="0"/>
          <w:bCs w:val="0"/>
          <w:color w:val="auto"/>
          <w:sz w:val="24"/>
        </w:rPr>
        <w:t>场地运营过程中，要防止因尖状物刺穿、机械损坏、冻结冻裂、基础防渗膜外露、化学腐蚀等原因造成的防渗层渗漏，</w:t>
      </w:r>
      <w:r>
        <w:rPr>
          <w:rFonts w:hint="eastAsia" w:ascii="Times New Roman" w:hAnsi="Times New Roman" w:eastAsia="宋体" w:cs="Times New Roman"/>
          <w:b w:val="0"/>
          <w:bCs w:val="0"/>
          <w:color w:val="auto"/>
          <w:sz w:val="24"/>
        </w:rPr>
        <w:t>应</w:t>
      </w:r>
      <w:r>
        <w:rPr>
          <w:rFonts w:ascii="Times New Roman" w:hAnsi="Times New Roman" w:eastAsia="宋体" w:cs="Times New Roman"/>
          <w:b w:val="0"/>
          <w:bCs w:val="0"/>
          <w:color w:val="auto"/>
          <w:sz w:val="24"/>
        </w:rPr>
        <w:t>注意监测渗滤液的产生量，当发生原因不明的渗滤液数量骤减的情况，应首先考虑防渗层是否断裂。一旦发生防渗层断裂，应尽快查明断裂发生的位置，确定能否采取补救措施，如更换人工防渗衬层、疏通导排系统等，并判断断裂处作业单元至整个填埋场继续使用的可能性，同时对处理场下游方向的土壤和地下水进行监测，确定可能产生的污染影响。</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3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③</w:t>
      </w:r>
      <w:r>
        <w:rPr>
          <w:rFonts w:ascii="Times New Roman" w:hAnsi="Times New Roman" w:eastAsia="宋体"/>
          <w:b w:val="0"/>
          <w:bCs w:val="0"/>
          <w:sz w:val="24"/>
        </w:rPr>
        <w:fldChar w:fldCharType="end"/>
      </w:r>
      <w:r>
        <w:rPr>
          <w:rFonts w:ascii="Times New Roman" w:hAnsi="Times New Roman" w:eastAsia="宋体" w:cs="Times New Roman"/>
          <w:b w:val="0"/>
          <w:bCs w:val="0"/>
          <w:color w:val="auto"/>
          <w:sz w:val="24"/>
        </w:rPr>
        <w:t>在保证填埋工艺质量的前提下，经常清洗渗滤液收集和排放管道使其保持通畅。</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4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④</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确保雨水和渗滤液分流</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每年汛期之前，</w:t>
      </w:r>
      <w:r>
        <w:rPr>
          <w:rFonts w:hint="eastAsia" w:ascii="Times New Roman" w:hAnsi="Times New Roman" w:eastAsia="宋体" w:cs="Times New Roman"/>
          <w:b w:val="0"/>
          <w:bCs w:val="0"/>
          <w:color w:val="auto"/>
          <w:sz w:val="24"/>
        </w:rPr>
        <w:t>对场地</w:t>
      </w:r>
      <w:r>
        <w:rPr>
          <w:rFonts w:ascii="Times New Roman" w:hAnsi="Times New Roman" w:eastAsia="宋体" w:cs="Times New Roman"/>
          <w:b w:val="0"/>
          <w:bCs w:val="0"/>
          <w:color w:val="auto"/>
          <w:sz w:val="24"/>
        </w:rPr>
        <w:t>雨水排水沟</w:t>
      </w:r>
      <w:r>
        <w:rPr>
          <w:rFonts w:hint="eastAsia" w:ascii="Times New Roman" w:hAnsi="Times New Roman" w:eastAsia="宋体" w:cs="Times New Roman"/>
          <w:b w:val="0"/>
          <w:bCs w:val="0"/>
          <w:color w:val="auto"/>
          <w:sz w:val="24"/>
        </w:rPr>
        <w:t>进行</w:t>
      </w:r>
      <w:r>
        <w:rPr>
          <w:rFonts w:ascii="Times New Roman" w:hAnsi="Times New Roman" w:eastAsia="宋体" w:cs="Times New Roman"/>
          <w:b w:val="0"/>
          <w:bCs w:val="0"/>
          <w:color w:val="auto"/>
          <w:sz w:val="24"/>
        </w:rPr>
        <w:t>整修，加强雨水外排能力，确保其畅通无阻。</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5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⑤</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在有大雨、暴雨预报时，</w:t>
      </w:r>
      <w:r>
        <w:rPr>
          <w:rFonts w:hint="eastAsia" w:ascii="Times New Roman" w:hAnsi="Times New Roman" w:eastAsia="宋体" w:cs="Times New Roman"/>
          <w:b w:val="0"/>
          <w:bCs w:val="0"/>
          <w:color w:val="auto"/>
          <w:sz w:val="24"/>
        </w:rPr>
        <w:t>及时调节渗滤液收集池余量，并做好</w:t>
      </w:r>
      <w:r>
        <w:rPr>
          <w:rFonts w:ascii="Times New Roman" w:hAnsi="Times New Roman" w:eastAsia="宋体" w:cs="Times New Roman"/>
          <w:b w:val="0"/>
          <w:bCs w:val="0"/>
          <w:color w:val="auto"/>
          <w:sz w:val="24"/>
        </w:rPr>
        <w:t>垃圾填埋作业面</w:t>
      </w:r>
      <w:r>
        <w:rPr>
          <w:rFonts w:hint="eastAsia" w:ascii="Times New Roman" w:hAnsi="Times New Roman" w:eastAsia="宋体" w:cs="Times New Roman"/>
          <w:b w:val="0"/>
          <w:bCs w:val="0"/>
          <w:color w:val="auto"/>
          <w:sz w:val="24"/>
        </w:rPr>
        <w:t>的覆盖。</w:t>
      </w:r>
    </w:p>
    <w:p>
      <w:pPr>
        <w:autoSpaceDE w:val="0"/>
        <w:autoSpaceDN w:val="0"/>
        <w:adjustRightInd w:val="0"/>
        <w:spacing w:line="480" w:lineRule="exact"/>
        <w:ind w:firstLine="482" w:firstLineChars="200"/>
        <w:rPr>
          <w:b/>
          <w:bCs/>
          <w:kern w:val="24"/>
          <w:sz w:val="24"/>
        </w:rPr>
      </w:pPr>
      <w:r>
        <w:rPr>
          <w:rFonts w:hint="eastAsia"/>
          <w:b/>
          <w:bCs/>
          <w:kern w:val="24"/>
          <w:sz w:val="24"/>
        </w:rPr>
        <w:t>3、垃圾堆体沉降滑坡</w:t>
      </w:r>
    </w:p>
    <w:p>
      <w:pPr>
        <w:pStyle w:val="38"/>
        <w:spacing w:line="480" w:lineRule="exact"/>
        <w:ind w:firstLine="482" w:firstLineChars="200"/>
        <w:rPr>
          <w:rFonts w:ascii="Times New Roman" w:hAnsi="Times New Roman" w:eastAsia="宋体" w:cs="Times New Roman"/>
          <w:b w:val="0"/>
          <w:bCs w:val="0"/>
          <w:color w:val="auto"/>
          <w:sz w:val="24"/>
          <w:lang w:val="zh-CN"/>
        </w:rPr>
      </w:pPr>
      <w:r>
        <w:rPr>
          <w:rFonts w:ascii="Times New Roman" w:hAnsi="Times New Roman" w:eastAsia="宋体"/>
          <w:sz w:val="24"/>
        </w:rPr>
        <w:t>（</w:t>
      </w:r>
      <w:r>
        <w:rPr>
          <w:rFonts w:hint="eastAsia" w:ascii="Times New Roman" w:hAnsi="Times New Roman" w:eastAsia="宋体"/>
          <w:sz w:val="24"/>
        </w:rPr>
        <w:t>1</w:t>
      </w:r>
      <w:r>
        <w:rPr>
          <w:rFonts w:ascii="Times New Roman" w:hAnsi="Times New Roman" w:eastAsia="宋体"/>
          <w:sz w:val="24"/>
        </w:rPr>
        <w:t>）</w:t>
      </w:r>
      <w:r>
        <w:rPr>
          <w:rFonts w:hint="eastAsia" w:ascii="Times New Roman" w:hAnsi="Times New Roman" w:eastAsia="宋体"/>
          <w:sz w:val="24"/>
        </w:rPr>
        <w:t>垃圾堆体沉降滑坡风险分析</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lang w:val="zh-CN"/>
        </w:rPr>
        <w:t>项目设计终场堆高约高出围合坝顶约10m，</w:t>
      </w:r>
      <w:r>
        <w:rPr>
          <w:rFonts w:hint="eastAsia" w:ascii="Times New Roman" w:hAnsi="Times New Roman" w:eastAsia="宋体" w:cs="Times New Roman"/>
          <w:b w:val="0"/>
          <w:bCs w:val="0"/>
          <w:color w:val="auto"/>
          <w:sz w:val="24"/>
          <w:lang w:val="zh-CN"/>
        </w:rPr>
        <w:t>当填埋作业至围合坝顶以上高度及封场后，可能存在垃圾堆体的沉降及滑移风险。</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lang w:val="zh-CN"/>
        </w:rPr>
        <w:t>垃圾</w:t>
      </w:r>
      <w:r>
        <w:rPr>
          <w:rFonts w:hint="eastAsia" w:ascii="Times New Roman" w:hAnsi="Times New Roman" w:eastAsia="宋体" w:cs="Times New Roman"/>
          <w:b w:val="0"/>
          <w:bCs w:val="0"/>
          <w:color w:val="auto"/>
          <w:sz w:val="24"/>
          <w:lang w:val="zh-CN"/>
        </w:rPr>
        <w:t>进场后</w:t>
      </w:r>
      <w:r>
        <w:rPr>
          <w:rFonts w:ascii="Times New Roman" w:hAnsi="Times New Roman" w:eastAsia="宋体" w:cs="Times New Roman"/>
          <w:b w:val="0"/>
          <w:bCs w:val="0"/>
          <w:color w:val="auto"/>
          <w:sz w:val="24"/>
          <w:lang w:val="zh-CN"/>
        </w:rPr>
        <w:t>向上</w:t>
      </w:r>
      <w:r>
        <w:rPr>
          <w:rFonts w:hint="eastAsia" w:ascii="Times New Roman" w:hAnsi="Times New Roman" w:eastAsia="宋体" w:cs="Times New Roman"/>
          <w:b w:val="0"/>
          <w:bCs w:val="0"/>
          <w:color w:val="auto"/>
          <w:sz w:val="24"/>
          <w:lang w:val="zh-CN"/>
        </w:rPr>
        <w:t>逐层</w:t>
      </w:r>
      <w:r>
        <w:rPr>
          <w:rFonts w:ascii="Times New Roman" w:hAnsi="Times New Roman" w:eastAsia="宋体" w:cs="Times New Roman"/>
          <w:b w:val="0"/>
          <w:bCs w:val="0"/>
          <w:color w:val="auto"/>
          <w:sz w:val="24"/>
          <w:lang w:val="zh-CN"/>
        </w:rPr>
        <w:t>填埋作业</w:t>
      </w:r>
      <w:r>
        <w:rPr>
          <w:rFonts w:hint="eastAsia" w:ascii="Times New Roman" w:hAnsi="Times New Roman" w:eastAsia="宋体" w:cs="Times New Roman"/>
          <w:b w:val="0"/>
          <w:bCs w:val="0"/>
          <w:color w:val="auto"/>
          <w:sz w:val="24"/>
          <w:lang w:val="zh-CN"/>
        </w:rPr>
        <w:t>，其</w:t>
      </w:r>
      <w:r>
        <w:rPr>
          <w:rFonts w:ascii="Times New Roman" w:hAnsi="Times New Roman" w:eastAsia="宋体" w:cs="Times New Roman"/>
          <w:b w:val="0"/>
          <w:bCs w:val="0"/>
          <w:color w:val="auto"/>
          <w:sz w:val="24"/>
          <w:lang w:val="zh-CN"/>
        </w:rPr>
        <w:t>总体高度</w:t>
      </w:r>
      <w:r>
        <w:rPr>
          <w:rFonts w:hint="eastAsia" w:ascii="Times New Roman" w:hAnsi="Times New Roman" w:eastAsia="宋体" w:cs="Times New Roman"/>
          <w:b w:val="0"/>
          <w:bCs w:val="0"/>
          <w:color w:val="auto"/>
          <w:sz w:val="24"/>
          <w:lang w:val="zh-CN"/>
        </w:rPr>
        <w:t>不断</w:t>
      </w:r>
      <w:r>
        <w:rPr>
          <w:rFonts w:ascii="Times New Roman" w:hAnsi="Times New Roman" w:eastAsia="宋体" w:cs="Times New Roman"/>
          <w:b w:val="0"/>
          <w:bCs w:val="0"/>
          <w:color w:val="auto"/>
          <w:sz w:val="24"/>
          <w:lang w:val="zh-CN"/>
        </w:rPr>
        <w:t>增加，且存放垃圾中的有机物将持续较长的时间的降解过程，导致垃圾堆的自压缩与沉降，由此带来堆场的不稳定风险</w:t>
      </w:r>
      <w:r>
        <w:rPr>
          <w:rFonts w:hint="eastAsia" w:ascii="Times New Roman" w:hAnsi="Times New Roman" w:eastAsia="宋体" w:cs="Times New Roman"/>
          <w:b w:val="0"/>
          <w:bCs w:val="0"/>
          <w:color w:val="auto"/>
          <w:sz w:val="24"/>
          <w:lang w:val="zh-CN"/>
        </w:rPr>
        <w:t>，本项目为平原型填埋场，</w:t>
      </w:r>
      <w:r>
        <w:rPr>
          <w:rFonts w:ascii="Times New Roman" w:hAnsi="Times New Roman" w:eastAsia="宋体" w:cs="Times New Roman"/>
          <w:b w:val="0"/>
          <w:bCs w:val="0"/>
          <w:color w:val="auto"/>
          <w:sz w:val="24"/>
          <w:lang w:val="zh-CN"/>
        </w:rPr>
        <w:t>项目设计终场堆高约高出围合坝顶约10m，</w:t>
      </w:r>
      <w:r>
        <w:rPr>
          <w:rFonts w:hint="eastAsia" w:ascii="Times New Roman" w:hAnsi="Times New Roman" w:eastAsia="宋体" w:cs="Times New Roman"/>
          <w:b w:val="0"/>
          <w:bCs w:val="0"/>
          <w:color w:val="auto"/>
          <w:sz w:val="24"/>
          <w:lang w:val="zh-CN"/>
        </w:rPr>
        <w:t>当填埋作业至围合坝顶以上高度及封场后，</w:t>
      </w:r>
      <w:r>
        <w:rPr>
          <w:rFonts w:ascii="Times New Roman" w:hAnsi="Times New Roman" w:eastAsia="宋体" w:cs="Times New Roman"/>
          <w:b w:val="0"/>
          <w:bCs w:val="0"/>
          <w:color w:val="auto"/>
          <w:sz w:val="24"/>
          <w:lang w:val="zh-CN"/>
        </w:rPr>
        <w:t>一旦遇到较大降雨，</w:t>
      </w:r>
      <w:r>
        <w:rPr>
          <w:rFonts w:hint="eastAsia" w:ascii="Times New Roman" w:hAnsi="Times New Roman" w:eastAsia="宋体" w:cs="Times New Roman"/>
          <w:b w:val="0"/>
          <w:bCs w:val="0"/>
          <w:color w:val="auto"/>
          <w:sz w:val="24"/>
          <w:lang w:val="zh-CN"/>
        </w:rPr>
        <w:t>还存在一定几率的</w:t>
      </w:r>
      <w:r>
        <w:rPr>
          <w:rFonts w:ascii="Times New Roman" w:hAnsi="Times New Roman" w:eastAsia="宋体" w:cs="Times New Roman"/>
          <w:b w:val="0"/>
          <w:bCs w:val="0"/>
          <w:color w:val="auto"/>
          <w:sz w:val="24"/>
          <w:lang w:val="zh-CN"/>
        </w:rPr>
        <w:t>滑坡</w:t>
      </w:r>
      <w:r>
        <w:rPr>
          <w:rFonts w:hint="eastAsia" w:ascii="Times New Roman" w:hAnsi="Times New Roman" w:eastAsia="宋体" w:cs="Times New Roman"/>
          <w:b w:val="0"/>
          <w:bCs w:val="0"/>
          <w:color w:val="auto"/>
          <w:sz w:val="24"/>
          <w:lang w:val="zh-CN"/>
        </w:rPr>
        <w:t>风险，从而压覆损害场地周边的农田、植被等</w:t>
      </w:r>
      <w:r>
        <w:rPr>
          <w:rFonts w:ascii="Times New Roman" w:hAnsi="Times New Roman" w:eastAsia="宋体" w:cs="Times New Roman"/>
          <w:b w:val="0"/>
          <w:bCs w:val="0"/>
          <w:color w:val="auto"/>
          <w:sz w:val="24"/>
          <w:lang w:val="zh-CN"/>
        </w:rPr>
        <w:t>。</w:t>
      </w:r>
    </w:p>
    <w:p>
      <w:pPr>
        <w:pStyle w:val="38"/>
        <w:spacing w:line="480" w:lineRule="exact"/>
        <w:ind w:firstLine="482" w:firstLineChars="200"/>
        <w:rPr>
          <w:rFonts w:ascii="Times New Roman" w:hAnsi="Times New Roman" w:eastAsia="宋体" w:cs="Times New Roman"/>
          <w:b w:val="0"/>
          <w:bCs w:val="0"/>
          <w:color w:val="auto"/>
          <w:sz w:val="24"/>
          <w:lang w:val="zh-CN"/>
        </w:rPr>
      </w:pPr>
      <w:r>
        <w:rPr>
          <w:rFonts w:ascii="Times New Roman" w:hAnsi="Times New Roman" w:eastAsia="宋体"/>
          <w:sz w:val="24"/>
        </w:rPr>
        <w:t>（</w:t>
      </w:r>
      <w:r>
        <w:rPr>
          <w:rFonts w:hint="eastAsia" w:ascii="Times New Roman" w:hAnsi="Times New Roman" w:eastAsia="宋体"/>
          <w:sz w:val="24"/>
        </w:rPr>
        <w:t>2</w:t>
      </w:r>
      <w:r>
        <w:rPr>
          <w:rFonts w:ascii="Times New Roman" w:hAnsi="Times New Roman" w:eastAsia="宋体"/>
          <w:sz w:val="24"/>
        </w:rPr>
        <w:t>）</w:t>
      </w:r>
      <w:r>
        <w:rPr>
          <w:rFonts w:hint="eastAsia" w:ascii="Times New Roman" w:hAnsi="Times New Roman" w:eastAsia="宋体"/>
          <w:sz w:val="24"/>
        </w:rPr>
        <w:t>垃圾堆体沉降滑坡风险防范措施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1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①</w:t>
      </w:r>
      <w:r>
        <w:rPr>
          <w:rFonts w:ascii="Times New Roman" w:hAnsi="Times New Roman" w:eastAsia="宋体" w:cs="Times New Roman"/>
          <w:b w:val="0"/>
          <w:bCs w:val="0"/>
          <w:color w:val="auto"/>
          <w:sz w:val="24"/>
        </w:rPr>
        <w:fldChar w:fldCharType="end"/>
      </w:r>
      <w:r>
        <w:rPr>
          <w:rFonts w:hint="eastAsia" w:ascii="Times New Roman" w:hAnsi="Times New Roman" w:eastAsia="宋体" w:cs="Times New Roman"/>
          <w:b w:val="0"/>
          <w:bCs w:val="0"/>
          <w:color w:val="auto"/>
          <w:sz w:val="24"/>
          <w:lang w:val="zh-CN"/>
        </w:rPr>
        <w:t>科学填埋作业，严格落实分区、分单元，从下至上分层填埋的作业方式，及时进行摊平压实并满足压实密度要求。</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2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②</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控制堆体的坡度，确保填埋堆体的稳定性。</w:t>
      </w:r>
      <w:r>
        <w:rPr>
          <w:rFonts w:ascii="Times New Roman" w:hAnsi="Times New Roman" w:eastAsia="宋体" w:cs="Times New Roman"/>
          <w:b w:val="0"/>
          <w:bCs w:val="0"/>
          <w:color w:val="auto"/>
          <w:sz w:val="24"/>
          <w:lang w:val="zh-CN"/>
        </w:rPr>
        <w:t>填埋高度与</w:t>
      </w:r>
      <w:r>
        <w:rPr>
          <w:rFonts w:hint="eastAsia" w:ascii="Times New Roman" w:hAnsi="Times New Roman" w:eastAsia="宋体" w:cs="Times New Roman"/>
          <w:b w:val="0"/>
          <w:bCs w:val="0"/>
          <w:color w:val="auto"/>
          <w:sz w:val="24"/>
          <w:lang w:val="zh-CN"/>
        </w:rPr>
        <w:t>围合坝</w:t>
      </w:r>
      <w:r>
        <w:rPr>
          <w:rFonts w:ascii="Times New Roman" w:hAnsi="Times New Roman" w:eastAsia="宋体" w:cs="Times New Roman"/>
          <w:b w:val="0"/>
          <w:bCs w:val="0"/>
          <w:color w:val="auto"/>
          <w:sz w:val="24"/>
          <w:lang w:val="zh-CN"/>
        </w:rPr>
        <w:t>持平后，</w:t>
      </w:r>
      <w:r>
        <w:rPr>
          <w:rFonts w:hint="eastAsia" w:ascii="Times New Roman" w:hAnsi="Times New Roman" w:eastAsia="宋体" w:cs="Times New Roman"/>
          <w:b w:val="0"/>
          <w:bCs w:val="0"/>
          <w:color w:val="auto"/>
          <w:sz w:val="24"/>
          <w:lang w:val="zh-CN"/>
        </w:rPr>
        <w:t>按设计要求进行</w:t>
      </w:r>
      <w:r>
        <w:rPr>
          <w:rFonts w:ascii="Times New Roman" w:hAnsi="Times New Roman" w:eastAsia="宋体" w:cs="Times New Roman"/>
          <w:b w:val="0"/>
          <w:bCs w:val="0"/>
          <w:color w:val="auto"/>
          <w:sz w:val="24"/>
          <w:lang w:val="zh-CN"/>
        </w:rPr>
        <w:t>后退起坡，直至封场高程</w:t>
      </w:r>
      <w:r>
        <w:rPr>
          <w:rFonts w:hint="eastAsia" w:ascii="Times New Roman" w:hAnsi="Times New Roman" w:eastAsia="宋体" w:cs="Times New Roman"/>
          <w:b w:val="0"/>
          <w:bCs w:val="0"/>
          <w:color w:val="auto"/>
          <w:sz w:val="24"/>
          <w:lang w:val="zh-CN"/>
        </w:rPr>
        <w:t>，并采取</w:t>
      </w:r>
      <w:r>
        <w:rPr>
          <w:rFonts w:ascii="Times New Roman" w:hAnsi="Times New Roman" w:eastAsia="宋体" w:cs="Times New Roman"/>
          <w:b w:val="0"/>
          <w:bCs w:val="0"/>
          <w:color w:val="auto"/>
          <w:sz w:val="24"/>
          <w:lang w:val="zh-CN"/>
        </w:rPr>
        <w:t>边坡排水</w:t>
      </w:r>
      <w:r>
        <w:rPr>
          <w:rFonts w:hint="eastAsia" w:ascii="Times New Roman" w:hAnsi="Times New Roman" w:eastAsia="宋体" w:cs="Times New Roman"/>
          <w:b w:val="0"/>
          <w:bCs w:val="0"/>
          <w:color w:val="auto"/>
          <w:sz w:val="24"/>
          <w:lang w:val="zh-CN"/>
        </w:rPr>
        <w:t>、</w:t>
      </w:r>
      <w:r>
        <w:rPr>
          <w:rFonts w:ascii="Times New Roman" w:hAnsi="Times New Roman" w:eastAsia="宋体" w:cs="Times New Roman"/>
          <w:b w:val="0"/>
          <w:bCs w:val="0"/>
          <w:color w:val="auto"/>
          <w:sz w:val="24"/>
          <w:lang w:val="zh-CN"/>
        </w:rPr>
        <w:t>移植草皮护坡</w:t>
      </w:r>
      <w:r>
        <w:rPr>
          <w:rFonts w:hint="eastAsia" w:ascii="Times New Roman" w:hAnsi="Times New Roman" w:eastAsia="宋体" w:cs="Times New Roman"/>
          <w:b w:val="0"/>
          <w:bCs w:val="0"/>
          <w:color w:val="auto"/>
          <w:sz w:val="24"/>
          <w:lang w:val="zh-CN"/>
        </w:rPr>
        <w:t>等措施。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3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③</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lang w:val="zh-CN"/>
        </w:rPr>
        <w:t>在垃圾堆体上部设沉降观测点，定期进行相对标高、相对角度观测，以随时掌垃圾堆体沉降情况</w:t>
      </w:r>
      <w:r>
        <w:rPr>
          <w:rFonts w:hint="eastAsia" w:ascii="Times New Roman" w:hAnsi="Times New Roman" w:eastAsia="宋体" w:cs="Times New Roman"/>
          <w:b w:val="0"/>
          <w:bCs w:val="0"/>
          <w:color w:val="auto"/>
          <w:sz w:val="24"/>
          <w:lang w:val="zh-CN"/>
        </w:rPr>
        <w:t>，</w:t>
      </w:r>
      <w:r>
        <w:rPr>
          <w:rFonts w:ascii="Times New Roman" w:hAnsi="Times New Roman" w:eastAsia="宋体" w:cs="Times New Roman"/>
          <w:b w:val="0"/>
          <w:bCs w:val="0"/>
          <w:color w:val="auto"/>
          <w:sz w:val="24"/>
          <w:lang w:val="zh-CN"/>
        </w:rPr>
        <w:t>发现堆体</w:t>
      </w:r>
      <w:r>
        <w:rPr>
          <w:rFonts w:hint="eastAsia" w:ascii="Times New Roman" w:hAnsi="Times New Roman" w:eastAsia="宋体" w:cs="Times New Roman"/>
          <w:b w:val="0"/>
          <w:bCs w:val="0"/>
          <w:color w:val="auto"/>
          <w:sz w:val="24"/>
          <w:lang w:val="zh-CN"/>
        </w:rPr>
        <w:t>因</w:t>
      </w:r>
      <w:r>
        <w:rPr>
          <w:rFonts w:ascii="Times New Roman" w:hAnsi="Times New Roman" w:eastAsia="宋体" w:cs="Times New Roman"/>
          <w:b w:val="0"/>
          <w:bCs w:val="0"/>
          <w:color w:val="auto"/>
          <w:sz w:val="24"/>
          <w:lang w:val="zh-CN"/>
        </w:rPr>
        <w:t>垃圾分解造成的不均匀沉降形成裂隙</w:t>
      </w:r>
      <w:r>
        <w:rPr>
          <w:rFonts w:hint="eastAsia" w:ascii="Times New Roman" w:hAnsi="Times New Roman" w:eastAsia="宋体" w:cs="Times New Roman"/>
          <w:b w:val="0"/>
          <w:bCs w:val="0"/>
          <w:color w:val="auto"/>
          <w:sz w:val="24"/>
          <w:lang w:val="zh-CN"/>
        </w:rPr>
        <w:t>时，</w:t>
      </w:r>
      <w:r>
        <w:rPr>
          <w:rFonts w:ascii="Times New Roman" w:hAnsi="Times New Roman" w:eastAsia="宋体" w:cs="Times New Roman"/>
          <w:b w:val="0"/>
          <w:bCs w:val="0"/>
          <w:color w:val="auto"/>
          <w:sz w:val="24"/>
          <w:lang w:val="zh-CN"/>
        </w:rPr>
        <w:t>及时</w:t>
      </w:r>
      <w:r>
        <w:rPr>
          <w:rFonts w:hint="eastAsia" w:ascii="Times New Roman" w:hAnsi="Times New Roman" w:eastAsia="宋体" w:cs="Times New Roman"/>
          <w:b w:val="0"/>
          <w:bCs w:val="0"/>
          <w:color w:val="auto"/>
          <w:sz w:val="24"/>
          <w:lang w:val="zh-CN"/>
        </w:rPr>
        <w:t>进行</w:t>
      </w:r>
      <w:r>
        <w:rPr>
          <w:rFonts w:ascii="Times New Roman" w:hAnsi="Times New Roman" w:eastAsia="宋体" w:cs="Times New Roman"/>
          <w:b w:val="0"/>
          <w:bCs w:val="0"/>
          <w:color w:val="auto"/>
          <w:sz w:val="24"/>
          <w:lang w:val="zh-CN"/>
        </w:rPr>
        <w:t>填充密实</w:t>
      </w:r>
      <w:r>
        <w:rPr>
          <w:rFonts w:hint="eastAsia" w:ascii="Times New Roman" w:hAnsi="Times New Roman" w:eastAsia="宋体" w:cs="Times New Roman"/>
          <w:b w:val="0"/>
          <w:bCs w:val="0"/>
          <w:color w:val="auto"/>
          <w:sz w:val="24"/>
          <w:lang w:val="zh-CN"/>
        </w:rPr>
        <w:t>等。</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4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④</w:t>
      </w:r>
      <w:r>
        <w:rPr>
          <w:rFonts w:ascii="Times New Roman" w:hAnsi="Times New Roman" w:eastAsia="宋体" w:cs="Times New Roman"/>
          <w:b w:val="0"/>
          <w:bCs w:val="0"/>
          <w:color w:val="auto"/>
          <w:sz w:val="24"/>
        </w:rPr>
        <w:fldChar w:fldCharType="end"/>
      </w:r>
      <w:r>
        <w:rPr>
          <w:rFonts w:hint="eastAsia" w:ascii="Times New Roman" w:hAnsi="Times New Roman" w:eastAsia="宋体" w:cs="Times New Roman"/>
          <w:b w:val="0"/>
          <w:bCs w:val="0"/>
          <w:color w:val="auto"/>
          <w:sz w:val="24"/>
          <w:lang w:val="zh-CN"/>
        </w:rPr>
        <w:t>及时做好填埋作业面的覆盖，减少进入垃圾层的降雨量，避免垃圾层因雨水过多而失稳。</w:t>
      </w:r>
    </w:p>
    <w:p>
      <w:pPr>
        <w:pStyle w:val="6"/>
        <w:spacing w:line="480" w:lineRule="exact"/>
      </w:pPr>
      <w:r>
        <w:rPr>
          <w:rFonts w:hint="eastAsia"/>
        </w:rPr>
        <w:t>5.8</w:t>
      </w:r>
      <w:r>
        <w:t>.</w:t>
      </w:r>
      <w:r>
        <w:rPr>
          <w:rFonts w:hint="eastAsia"/>
        </w:rPr>
        <w:t>3 风险事故应急预案</w:t>
      </w:r>
    </w:p>
    <w:p>
      <w:pPr>
        <w:spacing w:line="480" w:lineRule="exact"/>
        <w:ind w:firstLine="480" w:firstLineChars="200"/>
        <w:rPr>
          <w:rFonts w:cs="宋体"/>
          <w:sz w:val="24"/>
        </w:rPr>
      </w:pPr>
      <w:r>
        <w:rPr>
          <w:rFonts w:hint="eastAsia" w:cs="宋体"/>
          <w:sz w:val="24"/>
        </w:rPr>
        <w:t>针对本项目环境风险，项目单位应制定有效的风险事故应急预案，加强事故防范力度和处理能力。</w:t>
      </w:r>
    </w:p>
    <w:p>
      <w:pPr>
        <w:pStyle w:val="10"/>
        <w:spacing w:line="480" w:lineRule="exact"/>
        <w:ind w:right="29" w:firstLine="482"/>
        <w:rPr>
          <w:b/>
          <w:bCs/>
          <w:sz w:val="24"/>
          <w:szCs w:val="24"/>
        </w:rPr>
      </w:pPr>
      <w:r>
        <w:rPr>
          <w:rFonts w:hint="eastAsia"/>
          <w:b/>
          <w:bCs/>
          <w:kern w:val="24"/>
          <w:sz w:val="24"/>
          <w:szCs w:val="24"/>
        </w:rPr>
        <w:t>1、预案制定原则</w:t>
      </w:r>
    </w:p>
    <w:p>
      <w:pPr>
        <w:pStyle w:val="10"/>
        <w:spacing w:line="480" w:lineRule="exact"/>
        <w:ind w:right="29" w:firstLine="480"/>
        <w:rPr>
          <w:sz w:val="24"/>
          <w:szCs w:val="24"/>
        </w:rPr>
      </w:pPr>
      <w:r>
        <w:rPr>
          <w:sz w:val="24"/>
          <w:szCs w:val="24"/>
        </w:rPr>
        <w:t>（</w:t>
      </w:r>
      <w:r>
        <w:rPr>
          <w:rFonts w:hint="eastAsia"/>
          <w:sz w:val="24"/>
          <w:szCs w:val="24"/>
        </w:rPr>
        <w:t>1</w:t>
      </w:r>
      <w:r>
        <w:rPr>
          <w:sz w:val="24"/>
          <w:szCs w:val="24"/>
        </w:rPr>
        <w:t>）</w:t>
      </w:r>
      <w:r>
        <w:rPr>
          <w:rFonts w:hint="eastAsia"/>
          <w:sz w:val="24"/>
          <w:szCs w:val="24"/>
        </w:rPr>
        <w:t>目的</w:t>
      </w:r>
    </w:p>
    <w:p>
      <w:pPr>
        <w:pStyle w:val="10"/>
        <w:spacing w:line="480" w:lineRule="exact"/>
        <w:ind w:right="29" w:firstLine="480"/>
        <w:rPr>
          <w:sz w:val="24"/>
          <w:szCs w:val="24"/>
        </w:rPr>
      </w:pPr>
      <w:r>
        <w:rPr>
          <w:rFonts w:hint="eastAsia"/>
          <w:sz w:val="24"/>
          <w:szCs w:val="24"/>
        </w:rPr>
        <w:t>制定预案的目的是为了加强对事故的综合指挥能力，提高紧急救援速度和协调水平，明确各级组织和人员在事故应急中的责任和义务，保护生命、保护环境、保护财产，保障公众秩序和社会稳定。</w:t>
      </w:r>
    </w:p>
    <w:p>
      <w:pPr>
        <w:pStyle w:val="10"/>
        <w:spacing w:line="480" w:lineRule="exact"/>
        <w:ind w:right="29" w:firstLine="480"/>
        <w:rPr>
          <w:sz w:val="24"/>
          <w:szCs w:val="24"/>
        </w:rPr>
      </w:pPr>
      <w:r>
        <w:rPr>
          <w:sz w:val="24"/>
          <w:szCs w:val="24"/>
        </w:rPr>
        <w:t>（</w:t>
      </w:r>
      <w:r>
        <w:rPr>
          <w:rFonts w:hint="eastAsia"/>
          <w:sz w:val="24"/>
          <w:szCs w:val="24"/>
        </w:rPr>
        <w:t>2</w:t>
      </w:r>
      <w:r>
        <w:rPr>
          <w:sz w:val="24"/>
          <w:szCs w:val="24"/>
        </w:rPr>
        <w:t>）</w:t>
      </w:r>
      <w:r>
        <w:rPr>
          <w:rFonts w:hint="eastAsia"/>
          <w:sz w:val="24"/>
          <w:szCs w:val="24"/>
        </w:rPr>
        <w:t>指导思想</w:t>
      </w:r>
    </w:p>
    <w:p>
      <w:pPr>
        <w:pStyle w:val="10"/>
        <w:spacing w:line="480" w:lineRule="exact"/>
        <w:ind w:right="29" w:firstLine="480"/>
        <w:rPr>
          <w:sz w:val="24"/>
          <w:szCs w:val="24"/>
        </w:rPr>
      </w:pPr>
      <w:r>
        <w:rPr>
          <w:rFonts w:hint="eastAsia"/>
          <w:sz w:val="24"/>
          <w:szCs w:val="24"/>
        </w:rPr>
        <w:t>预案的指导思想应本着以人为本、快速反应、企地联动、常备不懈，最大限 度地保护人员安全，努力保护财产安全的原则进行。</w:t>
      </w:r>
    </w:p>
    <w:p>
      <w:pPr>
        <w:pStyle w:val="10"/>
        <w:spacing w:line="480" w:lineRule="exact"/>
        <w:ind w:right="29" w:firstLine="480"/>
        <w:rPr>
          <w:sz w:val="24"/>
          <w:szCs w:val="24"/>
        </w:rPr>
      </w:pPr>
      <w:r>
        <w:rPr>
          <w:sz w:val="24"/>
          <w:szCs w:val="24"/>
        </w:rPr>
        <w:t>（</w:t>
      </w:r>
      <w:r>
        <w:rPr>
          <w:rFonts w:hint="eastAsia"/>
          <w:sz w:val="24"/>
          <w:szCs w:val="24"/>
        </w:rPr>
        <w:t>3</w:t>
      </w:r>
      <w:r>
        <w:rPr>
          <w:sz w:val="24"/>
          <w:szCs w:val="24"/>
        </w:rPr>
        <w:t>）</w:t>
      </w:r>
      <w:r>
        <w:rPr>
          <w:rFonts w:hint="eastAsia"/>
          <w:sz w:val="24"/>
          <w:szCs w:val="24"/>
        </w:rPr>
        <w:t>预案启动</w:t>
      </w:r>
    </w:p>
    <w:p>
      <w:pPr>
        <w:pStyle w:val="10"/>
        <w:spacing w:line="480" w:lineRule="exact"/>
        <w:ind w:right="29" w:firstLine="480"/>
        <w:rPr>
          <w:sz w:val="24"/>
          <w:szCs w:val="24"/>
        </w:rPr>
      </w:pPr>
      <w:r>
        <w:rPr>
          <w:rFonts w:hint="eastAsia"/>
          <w:sz w:val="24"/>
          <w:szCs w:val="24"/>
        </w:rPr>
        <w:t>事故发生后，相应的事故应急预案立即启动。根据应急预案要求，各级组织和人员各负其责，各级应急预案与地方应急救援预案同步启动。</w:t>
      </w:r>
    </w:p>
    <w:p>
      <w:pPr>
        <w:pStyle w:val="10"/>
        <w:spacing w:line="480" w:lineRule="exact"/>
        <w:ind w:right="29" w:firstLine="482"/>
        <w:rPr>
          <w:b/>
          <w:bCs/>
          <w:sz w:val="24"/>
          <w:szCs w:val="24"/>
        </w:rPr>
      </w:pPr>
      <w:r>
        <w:rPr>
          <w:rFonts w:hint="eastAsia"/>
          <w:b/>
          <w:bCs/>
          <w:kern w:val="24"/>
          <w:sz w:val="24"/>
          <w:szCs w:val="24"/>
        </w:rPr>
        <w:t>2、应急目标要求</w:t>
      </w:r>
    </w:p>
    <w:p>
      <w:pPr>
        <w:pStyle w:val="10"/>
        <w:spacing w:line="480" w:lineRule="exact"/>
        <w:ind w:right="29" w:firstLine="480"/>
        <w:rPr>
          <w:sz w:val="24"/>
          <w:szCs w:val="24"/>
        </w:rPr>
      </w:pPr>
      <w:r>
        <w:rPr>
          <w:rFonts w:hint="eastAsia"/>
          <w:sz w:val="24"/>
          <w:szCs w:val="24"/>
        </w:rPr>
        <w:t>建设单位应统一组建应急救援指挥部，同时做好与壶关县政府部门的风险联动，以填埋场实施企业为主，场区结合，力保危险区域人员的生命和财产安全，使损失降到最低限度。</w:t>
      </w:r>
    </w:p>
    <w:p>
      <w:pPr>
        <w:pStyle w:val="10"/>
        <w:spacing w:line="480" w:lineRule="exact"/>
        <w:ind w:right="29" w:firstLine="482"/>
        <w:rPr>
          <w:b/>
          <w:bCs/>
          <w:sz w:val="24"/>
          <w:szCs w:val="24"/>
        </w:rPr>
      </w:pPr>
      <w:r>
        <w:rPr>
          <w:rFonts w:hint="eastAsia"/>
          <w:b/>
          <w:bCs/>
          <w:kern w:val="24"/>
          <w:sz w:val="24"/>
          <w:szCs w:val="24"/>
        </w:rPr>
        <w:t>3、应急组织机构与职责</w:t>
      </w:r>
    </w:p>
    <w:p>
      <w:pPr>
        <w:pStyle w:val="10"/>
        <w:spacing w:line="480" w:lineRule="exact"/>
        <w:ind w:right="29" w:firstLine="480"/>
        <w:rPr>
          <w:sz w:val="24"/>
          <w:szCs w:val="24"/>
        </w:rPr>
      </w:pPr>
      <w:r>
        <w:rPr>
          <w:rFonts w:hint="eastAsia"/>
          <w:sz w:val="24"/>
          <w:szCs w:val="24"/>
        </w:rPr>
        <w:t>现场总指挥：快速汇总、传达事故有关信息和伤害估算，发布报警信息迅速 组织疏散，撤离危险区。</w:t>
      </w:r>
    </w:p>
    <w:p>
      <w:pPr>
        <w:pStyle w:val="10"/>
        <w:spacing w:line="480" w:lineRule="exact"/>
        <w:ind w:right="29" w:firstLine="480"/>
        <w:rPr>
          <w:sz w:val="24"/>
          <w:szCs w:val="24"/>
        </w:rPr>
      </w:pPr>
      <w:r>
        <w:rPr>
          <w:rFonts w:hint="eastAsia"/>
          <w:sz w:val="24"/>
          <w:szCs w:val="24"/>
        </w:rPr>
        <w:t>填埋生产区职责：负责对污染事故性质、源参数、扩散、气象条件提出报告，负责对事故现场采取紧急措施，防止事故扩大，负责对污染区采取措施、降低危险，对事故区伤亡人员进行抢救。</w:t>
      </w:r>
    </w:p>
    <w:p>
      <w:pPr>
        <w:pStyle w:val="10"/>
        <w:spacing w:line="480" w:lineRule="exact"/>
        <w:ind w:right="29" w:firstLine="480"/>
        <w:rPr>
          <w:sz w:val="24"/>
          <w:szCs w:val="24"/>
        </w:rPr>
      </w:pPr>
      <w:r>
        <w:rPr>
          <w:rFonts w:hint="eastAsia"/>
          <w:sz w:val="24"/>
          <w:szCs w:val="24"/>
        </w:rPr>
        <w:t>专业救援组：配备专人和仪器、药品急救，组织医疗救护等专业队伍的救援 行动；通讯联络组：负责建立抢险单位、救援单位及地方政府有关部门的联络；</w:t>
      </w:r>
    </w:p>
    <w:p>
      <w:pPr>
        <w:pStyle w:val="10"/>
        <w:spacing w:line="480" w:lineRule="exact"/>
        <w:ind w:right="29" w:firstLine="480"/>
        <w:rPr>
          <w:sz w:val="24"/>
          <w:szCs w:val="24"/>
        </w:rPr>
      </w:pPr>
      <w:r>
        <w:rPr>
          <w:rFonts w:hint="eastAsia"/>
          <w:sz w:val="24"/>
          <w:szCs w:val="24"/>
        </w:rPr>
        <w:t>后勤保障组：负责抢险物资组织，后勤、车辆的保障，对危险区实施交通管制，有效实施疏散。</w:t>
      </w:r>
    </w:p>
    <w:p>
      <w:pPr>
        <w:pStyle w:val="10"/>
        <w:spacing w:line="480" w:lineRule="exact"/>
        <w:ind w:right="29" w:firstLine="482"/>
        <w:rPr>
          <w:b/>
          <w:bCs/>
          <w:sz w:val="24"/>
          <w:szCs w:val="24"/>
        </w:rPr>
      </w:pPr>
      <w:r>
        <w:rPr>
          <w:rFonts w:hint="eastAsia"/>
          <w:b/>
          <w:bCs/>
          <w:kern w:val="24"/>
          <w:sz w:val="24"/>
          <w:szCs w:val="24"/>
        </w:rPr>
        <w:t>4、事故应急处理措施</w:t>
      </w:r>
    </w:p>
    <w:p>
      <w:pPr>
        <w:pStyle w:val="10"/>
        <w:spacing w:line="480" w:lineRule="exact"/>
        <w:ind w:right="29" w:firstLine="480"/>
        <w:rPr>
          <w:sz w:val="24"/>
          <w:szCs w:val="24"/>
        </w:rPr>
      </w:pPr>
      <w:r>
        <w:rPr>
          <w:rFonts w:hint="eastAsia"/>
          <w:sz w:val="24"/>
          <w:szCs w:val="24"/>
        </w:rPr>
        <w:t>险情发生后，现场总指挥启动应急预案，应急小组立即形成，由应急指挥组组长统一发布应急指挥命令，各应急组织机构按照其职责履行救援任务。积极组织人员扑救，及时报警，若发生火灾爆炸施工，通知消防部门紧急出动灭火，如 有可能对周围环境质量造成不良影响时，应及时报告环境保护部门，进行监测。必要时，应报告有关部门，对可能危及的人群进行转移和疏散。</w:t>
      </w:r>
    </w:p>
    <w:p>
      <w:pPr>
        <w:pStyle w:val="10"/>
        <w:spacing w:line="480" w:lineRule="exact"/>
        <w:ind w:right="29" w:firstLine="482"/>
        <w:rPr>
          <w:b/>
          <w:bCs/>
          <w:sz w:val="24"/>
          <w:szCs w:val="24"/>
        </w:rPr>
      </w:pPr>
      <w:r>
        <w:rPr>
          <w:rFonts w:hint="eastAsia"/>
          <w:b/>
          <w:bCs/>
          <w:kern w:val="24"/>
          <w:sz w:val="24"/>
          <w:szCs w:val="24"/>
        </w:rPr>
        <w:t>5、应急预案的关闭</w:t>
      </w:r>
    </w:p>
    <w:p>
      <w:pPr>
        <w:pStyle w:val="10"/>
        <w:spacing w:line="480" w:lineRule="exact"/>
        <w:ind w:right="29" w:firstLine="480"/>
        <w:rPr>
          <w:sz w:val="24"/>
          <w:szCs w:val="24"/>
        </w:rPr>
      </w:pPr>
      <w:r>
        <w:rPr>
          <w:rFonts w:hint="eastAsia"/>
          <w:sz w:val="24"/>
          <w:szCs w:val="24"/>
        </w:rPr>
        <w:t>（1）确认事故现场危险已消除；</w:t>
      </w:r>
    </w:p>
    <w:p>
      <w:pPr>
        <w:pStyle w:val="10"/>
        <w:spacing w:line="480" w:lineRule="exact"/>
        <w:ind w:right="29" w:firstLine="480"/>
        <w:rPr>
          <w:sz w:val="24"/>
          <w:szCs w:val="24"/>
        </w:rPr>
      </w:pPr>
      <w:r>
        <w:rPr>
          <w:rFonts w:hint="eastAsia"/>
          <w:sz w:val="24"/>
          <w:szCs w:val="24"/>
        </w:rPr>
        <w:t>（2）确认事故已经得到有效控制，不会造成进一步威胁；</w:t>
      </w:r>
    </w:p>
    <w:p>
      <w:pPr>
        <w:pStyle w:val="10"/>
        <w:spacing w:line="480" w:lineRule="exact"/>
        <w:ind w:right="29" w:firstLine="480"/>
        <w:rPr>
          <w:sz w:val="24"/>
          <w:szCs w:val="24"/>
        </w:rPr>
      </w:pPr>
      <w:r>
        <w:rPr>
          <w:rFonts w:hint="eastAsia"/>
          <w:sz w:val="24"/>
          <w:szCs w:val="24"/>
        </w:rPr>
        <w:t>（3）各应急小组现场工作结束后，逐级向现场应急指挥组汇报；</w:t>
      </w:r>
    </w:p>
    <w:p>
      <w:pPr>
        <w:pStyle w:val="10"/>
        <w:spacing w:line="480" w:lineRule="exact"/>
        <w:ind w:right="29" w:firstLine="480"/>
        <w:rPr>
          <w:sz w:val="24"/>
          <w:szCs w:val="24"/>
        </w:rPr>
      </w:pPr>
      <w:r>
        <w:rPr>
          <w:rFonts w:hint="eastAsia"/>
          <w:sz w:val="24"/>
          <w:szCs w:val="24"/>
        </w:rPr>
        <w:t>（4）现场应急指挥组确认达到应急抢险预案关闭条件后下达关闭命令；</w:t>
      </w:r>
    </w:p>
    <w:p>
      <w:pPr>
        <w:pStyle w:val="10"/>
        <w:spacing w:line="480" w:lineRule="exact"/>
        <w:ind w:right="29" w:firstLine="480"/>
        <w:rPr>
          <w:sz w:val="24"/>
          <w:szCs w:val="24"/>
        </w:rPr>
      </w:pPr>
      <w:r>
        <w:rPr>
          <w:rFonts w:hint="eastAsia"/>
          <w:sz w:val="24"/>
          <w:szCs w:val="24"/>
        </w:rPr>
        <w:t>（5）各应急小组接到命令后，清理现场并撤离。</w:t>
      </w:r>
    </w:p>
    <w:p>
      <w:pPr>
        <w:pStyle w:val="10"/>
        <w:spacing w:line="480" w:lineRule="exact"/>
        <w:ind w:right="29" w:firstLine="482"/>
        <w:rPr>
          <w:b/>
          <w:bCs/>
          <w:sz w:val="24"/>
          <w:szCs w:val="24"/>
        </w:rPr>
      </w:pPr>
      <w:r>
        <w:rPr>
          <w:rFonts w:hint="eastAsia"/>
          <w:b/>
          <w:bCs/>
          <w:kern w:val="24"/>
          <w:sz w:val="24"/>
          <w:szCs w:val="24"/>
        </w:rPr>
        <w:t>6、生产恢复、预案后评估及更新</w:t>
      </w:r>
    </w:p>
    <w:p>
      <w:pPr>
        <w:pStyle w:val="10"/>
        <w:spacing w:line="480" w:lineRule="exact"/>
        <w:ind w:right="29" w:firstLine="480"/>
        <w:rPr>
          <w:sz w:val="24"/>
          <w:szCs w:val="24"/>
        </w:rPr>
      </w:pPr>
      <w:r>
        <w:rPr>
          <w:rFonts w:hint="eastAsia"/>
          <w:sz w:val="24"/>
          <w:szCs w:val="24"/>
        </w:rPr>
        <w:t>（1）生产恢复</w:t>
      </w:r>
    </w:p>
    <w:p>
      <w:pPr>
        <w:pStyle w:val="10"/>
        <w:spacing w:line="480" w:lineRule="exact"/>
        <w:ind w:right="29" w:firstLine="480"/>
        <w:rPr>
          <w:sz w:val="24"/>
          <w:szCs w:val="24"/>
        </w:rPr>
      </w:pPr>
      <w:r>
        <w:rPr>
          <w:rFonts w:hint="eastAsia"/>
          <w:sz w:val="24"/>
          <w:szCs w:val="24"/>
        </w:rPr>
        <w:t>事故得到控制后，由填埋区进行生产恢复和环境恢复。</w:t>
      </w:r>
    </w:p>
    <w:p>
      <w:pPr>
        <w:pStyle w:val="10"/>
        <w:spacing w:line="480" w:lineRule="exact"/>
        <w:ind w:right="29" w:firstLine="480"/>
        <w:rPr>
          <w:sz w:val="24"/>
          <w:szCs w:val="24"/>
        </w:rPr>
      </w:pPr>
      <w:r>
        <w:rPr>
          <w:rFonts w:hint="eastAsia"/>
          <w:sz w:val="24"/>
          <w:szCs w:val="24"/>
        </w:rPr>
        <w:t>（2）预案后评估</w:t>
      </w:r>
    </w:p>
    <w:p>
      <w:pPr>
        <w:pStyle w:val="10"/>
        <w:spacing w:line="480" w:lineRule="exact"/>
        <w:ind w:right="29" w:firstLine="480"/>
        <w:rPr>
          <w:sz w:val="24"/>
          <w:szCs w:val="24"/>
        </w:rPr>
      </w:pPr>
      <w:r>
        <w:rPr>
          <w:rFonts w:hint="eastAsia"/>
          <w:sz w:val="24"/>
          <w:szCs w:val="24"/>
        </w:rPr>
        <w:t>采用自我评估的方式，由应急指挥部组织对预案实施过程中存在的问题进行 评估，总结经验，并组织对应急预案进行修改、完善。</w:t>
      </w:r>
    </w:p>
    <w:p>
      <w:pPr>
        <w:pStyle w:val="10"/>
        <w:spacing w:line="480" w:lineRule="exact"/>
        <w:ind w:right="29" w:firstLine="480"/>
        <w:rPr>
          <w:sz w:val="24"/>
          <w:szCs w:val="24"/>
        </w:rPr>
      </w:pPr>
      <w:r>
        <w:rPr>
          <w:rFonts w:hint="eastAsia"/>
          <w:sz w:val="24"/>
          <w:szCs w:val="24"/>
        </w:rPr>
        <w:t>（3）预案更新</w:t>
      </w:r>
    </w:p>
    <w:p>
      <w:pPr>
        <w:pStyle w:val="10"/>
        <w:spacing w:line="480" w:lineRule="exact"/>
        <w:ind w:right="29" w:firstLine="480"/>
        <w:rPr>
          <w:sz w:val="24"/>
          <w:szCs w:val="24"/>
        </w:rPr>
      </w:pPr>
      <w:r>
        <w:rPr>
          <w:rFonts w:hint="eastAsia"/>
          <w:sz w:val="24"/>
          <w:szCs w:val="24"/>
        </w:rPr>
        <w:t>当应急预案所涉及的工况进行调整或经评估存在问题时，由应急指挥部组织修改，报环境主管部门审查、备案。</w:t>
      </w:r>
    </w:p>
    <w:p>
      <w:pPr>
        <w:pStyle w:val="10"/>
        <w:spacing w:line="480" w:lineRule="exact"/>
        <w:ind w:right="29" w:firstLine="482"/>
        <w:rPr>
          <w:b/>
          <w:bCs/>
          <w:sz w:val="24"/>
          <w:szCs w:val="24"/>
        </w:rPr>
      </w:pPr>
      <w:r>
        <w:rPr>
          <w:rFonts w:hint="eastAsia"/>
          <w:b/>
          <w:bCs/>
          <w:kern w:val="24"/>
          <w:sz w:val="24"/>
          <w:szCs w:val="24"/>
        </w:rPr>
        <w:t>7、应急预案的培训和演练</w:t>
      </w:r>
    </w:p>
    <w:p>
      <w:pPr>
        <w:pStyle w:val="10"/>
        <w:spacing w:line="480" w:lineRule="exact"/>
        <w:ind w:right="29" w:firstLine="480"/>
        <w:rPr>
          <w:sz w:val="24"/>
          <w:szCs w:val="24"/>
        </w:rPr>
      </w:pPr>
      <w:r>
        <w:rPr>
          <w:rFonts w:hint="eastAsia"/>
          <w:sz w:val="24"/>
          <w:szCs w:val="24"/>
        </w:rPr>
        <w:t>（1）预案培训</w:t>
      </w:r>
    </w:p>
    <w:p>
      <w:pPr>
        <w:pStyle w:val="10"/>
        <w:spacing w:line="480" w:lineRule="exact"/>
        <w:ind w:right="29" w:firstLine="480"/>
        <w:rPr>
          <w:sz w:val="24"/>
          <w:szCs w:val="24"/>
        </w:rPr>
      </w:pPr>
      <w:r>
        <w:rPr>
          <w:rFonts w:hint="eastAsia"/>
          <w:sz w:val="24"/>
          <w:szCs w:val="24"/>
        </w:rPr>
        <w:t>本单位人员定期进行应急救援培训，培训主要包括：异常情况的判断和处理、应急处理措施、事故状态下逃生及自救知识、应急响应工作程序等。</w:t>
      </w:r>
    </w:p>
    <w:p>
      <w:pPr>
        <w:pStyle w:val="10"/>
        <w:spacing w:line="480" w:lineRule="exact"/>
        <w:ind w:right="29" w:firstLine="480"/>
        <w:rPr>
          <w:sz w:val="24"/>
          <w:szCs w:val="24"/>
        </w:rPr>
      </w:pPr>
      <w:r>
        <w:rPr>
          <w:rFonts w:hint="eastAsia"/>
          <w:sz w:val="24"/>
          <w:szCs w:val="24"/>
        </w:rPr>
        <w:t>（2）预案演练</w:t>
      </w:r>
    </w:p>
    <w:p>
      <w:pPr>
        <w:pStyle w:val="10"/>
        <w:spacing w:line="480" w:lineRule="exact"/>
        <w:ind w:right="29" w:firstLine="480"/>
        <w:rPr>
          <w:sz w:val="24"/>
          <w:szCs w:val="24"/>
        </w:rPr>
      </w:pPr>
      <w:r>
        <w:rPr>
          <w:rFonts w:hint="eastAsia"/>
          <w:sz w:val="24"/>
          <w:szCs w:val="24"/>
        </w:rPr>
        <w:t>每半年进行一次应急演练，每次应急演练后，要组织对演练情况进行总结和分析，并依据实际情况修改、完善应急预案，由于联络人员和预案内容可能随时发生替更，所以联络人员及预案修改后要 加强双方的信息交流，建立联络制度，及时互相通知人员和预案变更情况。</w:t>
      </w:r>
    </w:p>
    <w:p>
      <w:pPr>
        <w:pStyle w:val="6"/>
        <w:spacing w:line="480" w:lineRule="exact"/>
      </w:pPr>
      <w:r>
        <w:rPr>
          <w:rFonts w:hint="eastAsia"/>
        </w:rPr>
        <w:t>5.8</w:t>
      </w:r>
      <w:r>
        <w:t>.</w:t>
      </w:r>
      <w:r>
        <w:rPr>
          <w:rFonts w:hint="eastAsia"/>
        </w:rPr>
        <w:t>4 结论</w:t>
      </w:r>
    </w:p>
    <w:p>
      <w:pPr>
        <w:autoSpaceDE w:val="0"/>
        <w:autoSpaceDN w:val="0"/>
        <w:adjustRightInd w:val="0"/>
        <w:spacing w:line="480" w:lineRule="exact"/>
        <w:ind w:firstLine="480" w:firstLineChars="200"/>
        <w:rPr>
          <w:b/>
          <w:bCs/>
          <w:kern w:val="24"/>
          <w:sz w:val="24"/>
        </w:rPr>
      </w:pPr>
      <w:r>
        <w:rPr>
          <w:rFonts w:hint="eastAsia"/>
          <w:sz w:val="24"/>
        </w:rPr>
        <w:t>综上所述，项目建设存在一定的环境风险，但项目单位在认真执行评价提出的各风险防范措施，按要求制定和执行环境风险应急预案后，可有效降低事故发生的几率，项目风险事故的环境影响也可控制在可防控范围内。</w:t>
      </w:r>
    </w:p>
    <w:p>
      <w:pPr>
        <w:spacing w:line="480" w:lineRule="exact"/>
        <w:ind w:firstLine="480"/>
        <w:jc w:val="center"/>
        <w:rPr>
          <w:b/>
        </w:rPr>
        <w:sectPr>
          <w:headerReference r:id="rId17" w:type="default"/>
          <w:footerReference r:id="rId18" w:type="default"/>
          <w:pgSz w:w="11906" w:h="16838"/>
          <w:pgMar w:top="1440" w:right="1800" w:bottom="1440" w:left="1800" w:header="851" w:footer="992" w:gutter="0"/>
          <w:cols w:space="720" w:num="1"/>
          <w:docGrid w:type="lines" w:linePitch="312" w:charSpace="0"/>
        </w:sectPr>
      </w:pPr>
    </w:p>
    <w:bookmarkEnd w:id="121"/>
    <w:bookmarkEnd w:id="122"/>
    <w:p>
      <w:pPr>
        <w:pStyle w:val="4"/>
        <w:spacing w:after="260" w:line="579" w:lineRule="auto"/>
        <w:jc w:val="center"/>
        <w:rPr>
          <w:lang w:val="zh-CN"/>
        </w:rPr>
      </w:pPr>
      <w:bookmarkStart w:id="158" w:name="_Toc863930343"/>
      <w:r>
        <w:t>6</w:t>
      </w:r>
      <w:bookmarkEnd w:id="123"/>
      <w:r>
        <w:rPr>
          <w:lang w:val="zh-CN"/>
        </w:rPr>
        <w:t>环境保护措施及可行性论证</w:t>
      </w:r>
      <w:bookmarkEnd w:id="124"/>
      <w:bookmarkEnd w:id="158"/>
    </w:p>
    <w:p>
      <w:pPr>
        <w:pStyle w:val="5"/>
        <w:spacing w:beforeLines="0" w:after="120"/>
        <w:rPr>
          <w:rFonts w:eastAsia="宋体"/>
          <w:b/>
          <w:bCs w:val="0"/>
          <w:color w:val="auto"/>
          <w:szCs w:val="30"/>
        </w:rPr>
      </w:pPr>
      <w:bookmarkStart w:id="159" w:name="_Toc22945400"/>
      <w:bookmarkStart w:id="160" w:name="_Toc30455"/>
      <w:bookmarkStart w:id="161" w:name="_Toc413076039"/>
      <w:bookmarkStart w:id="162" w:name="_Toc364787185"/>
      <w:r>
        <w:rPr>
          <w:rFonts w:eastAsia="宋体"/>
          <w:b/>
          <w:bCs w:val="0"/>
          <w:color w:val="auto"/>
          <w:szCs w:val="30"/>
        </w:rPr>
        <w:t>6.1 施工期污染防治措施</w:t>
      </w:r>
      <w:bookmarkEnd w:id="159"/>
      <w:bookmarkEnd w:id="160"/>
    </w:p>
    <w:p>
      <w:pPr>
        <w:snapToGrid w:val="0"/>
        <w:spacing w:line="480" w:lineRule="exact"/>
        <w:ind w:firstLine="480" w:firstLineChars="200"/>
        <w:jc w:val="left"/>
        <w:rPr>
          <w:sz w:val="24"/>
        </w:rPr>
      </w:pPr>
      <w:r>
        <w:rPr>
          <w:sz w:val="24"/>
        </w:rPr>
        <w:t>项目施工期已结束，</w:t>
      </w:r>
      <w:r>
        <w:rPr>
          <w:rFonts w:hint="eastAsia"/>
          <w:sz w:val="24"/>
        </w:rPr>
        <w:t>施工过程遗留的环境问题主要为因场地平整及清库等产生的多余弃土，约22万m</w:t>
      </w:r>
      <w:r>
        <w:rPr>
          <w:rFonts w:hint="eastAsia"/>
          <w:sz w:val="24"/>
          <w:vertAlign w:val="superscript"/>
        </w:rPr>
        <w:t>3</w:t>
      </w:r>
      <w:r>
        <w:rPr>
          <w:rFonts w:hint="eastAsia"/>
          <w:sz w:val="24"/>
        </w:rPr>
        <w:t>。</w:t>
      </w:r>
    </w:p>
    <w:p>
      <w:pPr>
        <w:snapToGrid w:val="0"/>
        <w:spacing w:line="480" w:lineRule="exact"/>
        <w:ind w:firstLine="480" w:firstLineChars="200"/>
        <w:jc w:val="left"/>
        <w:rPr>
          <w:sz w:val="24"/>
          <w:szCs w:val="28"/>
        </w:rPr>
      </w:pPr>
      <w:r>
        <w:rPr>
          <w:rFonts w:hint="eastAsia"/>
          <w:sz w:val="24"/>
        </w:rPr>
        <w:t>针对上述多余弃土，主要采取以下处置措施：均在场内西南角空地进行临时堆存，其中约9.335万m</w:t>
      </w:r>
      <w:r>
        <w:rPr>
          <w:rFonts w:hint="eastAsia"/>
          <w:sz w:val="24"/>
          <w:vertAlign w:val="superscript"/>
        </w:rPr>
        <w:t>3</w:t>
      </w:r>
      <w:r>
        <w:rPr>
          <w:rFonts w:hint="eastAsia"/>
          <w:sz w:val="24"/>
        </w:rPr>
        <w:t>回用于本项目场地填埋作业和封场用土，剩余部分均由壶关县住房和城乡建设管理局进行综合调配，可以全部合理处置。</w:t>
      </w:r>
    </w:p>
    <w:p>
      <w:pPr>
        <w:pStyle w:val="5"/>
        <w:spacing w:beforeLines="0" w:after="120"/>
        <w:rPr>
          <w:rFonts w:eastAsia="宋体"/>
          <w:b/>
          <w:bCs w:val="0"/>
          <w:color w:val="auto"/>
          <w:szCs w:val="30"/>
        </w:rPr>
      </w:pPr>
      <w:bookmarkStart w:id="163" w:name="_Toc505159397"/>
      <w:bookmarkStart w:id="164" w:name="_Toc5777"/>
      <w:r>
        <w:rPr>
          <w:rFonts w:eastAsia="宋体"/>
          <w:b/>
          <w:bCs w:val="0"/>
          <w:color w:val="auto"/>
          <w:szCs w:val="30"/>
        </w:rPr>
        <w:t>6.2 运营期污染防治措施</w:t>
      </w:r>
      <w:bookmarkEnd w:id="163"/>
      <w:bookmarkEnd w:id="164"/>
    </w:p>
    <w:p>
      <w:pPr>
        <w:pStyle w:val="6"/>
        <w:spacing w:line="480" w:lineRule="exact"/>
      </w:pPr>
      <w:r>
        <w:t>6</w:t>
      </w:r>
      <w:r>
        <w:rPr>
          <w:lang w:val="zh-CN"/>
        </w:rPr>
        <w:t>.</w:t>
      </w:r>
      <w:r>
        <w:t>2</w:t>
      </w:r>
      <w:r>
        <w:rPr>
          <w:lang w:val="zh-CN"/>
        </w:rPr>
        <w:t>.</w:t>
      </w:r>
      <w:r>
        <w:t>1</w:t>
      </w:r>
      <w:r>
        <w:rPr>
          <w:lang w:val="zh-CN"/>
        </w:rPr>
        <w:t xml:space="preserve"> 大气</w:t>
      </w:r>
      <w:r>
        <w:rPr>
          <w:rFonts w:hint="eastAsia"/>
          <w:lang w:val="zh-CN"/>
        </w:rPr>
        <w:t>污染防治措施</w:t>
      </w:r>
    </w:p>
    <w:p>
      <w:pPr>
        <w:spacing w:line="480" w:lineRule="exact"/>
        <w:ind w:firstLine="480" w:firstLineChars="200"/>
        <w:rPr>
          <w:sz w:val="24"/>
        </w:rPr>
      </w:pPr>
      <w:r>
        <w:rPr>
          <w:rFonts w:hint="eastAsia"/>
          <w:sz w:val="24"/>
        </w:rPr>
        <w:t>项目运营过程中大气污染源主要为垃圾压实后垃圾中有机物发酵产生的填埋气及由此产生的恶臭，其次为垃圾运输、倾倒、覆土等过程产生的扬尘等。</w:t>
      </w:r>
    </w:p>
    <w:p>
      <w:pPr>
        <w:pStyle w:val="38"/>
        <w:spacing w:line="480" w:lineRule="exact"/>
        <w:ind w:firstLine="482"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t>1、</w:t>
      </w:r>
      <w:r>
        <w:rPr>
          <w:rFonts w:ascii="Times New Roman" w:hAnsi="Times New Roman" w:eastAsia="宋体" w:cs="Times New Roman"/>
          <w:color w:val="auto"/>
          <w:sz w:val="24"/>
          <w:lang w:val="zh-CN"/>
        </w:rPr>
        <w:t>填埋气</w:t>
      </w:r>
      <w:r>
        <w:rPr>
          <w:rFonts w:hint="eastAsia" w:ascii="Times New Roman" w:hAnsi="Times New Roman" w:eastAsia="宋体" w:cs="Times New Roman"/>
          <w:color w:val="auto"/>
          <w:sz w:val="24"/>
          <w:lang w:val="zh-CN"/>
        </w:rPr>
        <w:t>收集导排治理</w:t>
      </w:r>
      <w:r>
        <w:rPr>
          <w:rFonts w:ascii="Times New Roman" w:hAnsi="Times New Roman" w:eastAsia="宋体" w:cs="Times New Roman"/>
          <w:color w:val="auto"/>
          <w:sz w:val="24"/>
          <w:lang w:val="zh-CN"/>
        </w:rPr>
        <w:t>措施</w:t>
      </w:r>
    </w:p>
    <w:p>
      <w:pPr>
        <w:spacing w:line="480" w:lineRule="exact"/>
        <w:ind w:firstLine="482" w:firstLineChars="200"/>
        <w:rPr>
          <w:sz w:val="24"/>
        </w:rPr>
      </w:pPr>
      <w:r>
        <w:rPr>
          <w:rFonts w:hint="eastAsia"/>
          <w:b/>
          <w:bCs/>
          <w:sz w:val="24"/>
          <w:lang w:val="zh-CN"/>
        </w:rPr>
        <w:t>收集导排措施</w:t>
      </w:r>
      <w:r>
        <w:rPr>
          <w:rFonts w:hint="eastAsia"/>
          <w:sz w:val="24"/>
          <w:lang w:val="zh-CN"/>
        </w:rPr>
        <w:t>：场地填埋气收集导排设施主要为包括石笼井、水平导气管和抽气机房，其中石笼井</w:t>
      </w:r>
      <w:r>
        <w:rPr>
          <w:sz w:val="24"/>
        </w:rPr>
        <w:t>初始</w:t>
      </w:r>
      <w:r>
        <w:rPr>
          <w:rFonts w:hint="eastAsia"/>
          <w:sz w:val="24"/>
        </w:rPr>
        <w:t>设置</w:t>
      </w:r>
      <w:r>
        <w:rPr>
          <w:sz w:val="24"/>
        </w:rPr>
        <w:t>高度为3m，随垃圾填埋高度逐渐增加直至封场</w:t>
      </w:r>
      <w:r>
        <w:rPr>
          <w:rFonts w:hint="eastAsia"/>
          <w:sz w:val="24"/>
        </w:rPr>
        <w:t>，井内填充</w:t>
      </w:r>
      <w:r>
        <w:rPr>
          <w:sz w:val="24"/>
        </w:rPr>
        <w:t>砂砾石滤层</w:t>
      </w:r>
      <w:r>
        <w:rPr>
          <w:rFonts w:hint="eastAsia"/>
          <w:sz w:val="24"/>
        </w:rPr>
        <w:t>和</w:t>
      </w:r>
      <w:r>
        <w:rPr>
          <w:sz w:val="24"/>
        </w:rPr>
        <w:t>中心集气花管</w:t>
      </w:r>
      <w:r>
        <w:rPr>
          <w:rFonts w:hint="eastAsia"/>
          <w:sz w:val="24"/>
        </w:rPr>
        <w:t>，</w:t>
      </w:r>
      <w:r>
        <w:rPr>
          <w:rFonts w:hint="eastAsia"/>
          <w:sz w:val="24"/>
          <w:lang w:val="zh-CN"/>
        </w:rPr>
        <w:t>属竖向、被动导排，场内填埋区</w:t>
      </w:r>
      <w:r>
        <w:rPr>
          <w:rFonts w:hint="eastAsia"/>
          <w:sz w:val="24"/>
        </w:rPr>
        <w:t>共设石笼井</w:t>
      </w:r>
      <w:r>
        <w:rPr>
          <w:sz w:val="24"/>
        </w:rPr>
        <w:t>25座</w:t>
      </w:r>
      <w:r>
        <w:rPr>
          <w:rFonts w:hint="eastAsia"/>
          <w:sz w:val="24"/>
        </w:rPr>
        <w:t>，其相互间距约40m，另外，井内中心竖向导气花管设置高度一般高出</w:t>
      </w:r>
      <w:r>
        <w:rPr>
          <w:sz w:val="24"/>
        </w:rPr>
        <w:t>覆盖层</w:t>
      </w:r>
      <w:r>
        <w:rPr>
          <w:rFonts w:hint="eastAsia"/>
          <w:sz w:val="24"/>
        </w:rPr>
        <w:t>约</w:t>
      </w:r>
      <w:r>
        <w:rPr>
          <w:sz w:val="24"/>
        </w:rPr>
        <w:t>1m</w:t>
      </w:r>
      <w:r>
        <w:rPr>
          <w:rFonts w:hint="eastAsia"/>
          <w:sz w:val="24"/>
        </w:rPr>
        <w:t>。</w:t>
      </w:r>
    </w:p>
    <w:p>
      <w:pPr>
        <w:spacing w:line="480" w:lineRule="exact"/>
        <w:ind w:firstLine="480" w:firstLineChars="200"/>
        <w:rPr>
          <w:sz w:val="24"/>
        </w:rPr>
      </w:pPr>
      <w:r>
        <w:rPr>
          <w:rFonts w:hint="eastAsia"/>
          <w:sz w:val="24"/>
          <w:lang w:val="zh-CN"/>
        </w:rPr>
        <w:t>水平导气管和抽气机房属填埋气主动收集导排设施，水平导气管为</w:t>
      </w:r>
      <w:r>
        <w:rPr>
          <w:sz w:val="24"/>
        </w:rPr>
        <w:t>直径100mm的HDPE</w:t>
      </w:r>
      <w:r>
        <w:rPr>
          <w:rFonts w:hint="eastAsia"/>
          <w:sz w:val="24"/>
        </w:rPr>
        <w:t>集气</w:t>
      </w:r>
      <w:r>
        <w:rPr>
          <w:sz w:val="24"/>
        </w:rPr>
        <w:t>支管</w:t>
      </w:r>
      <w:r>
        <w:rPr>
          <w:rFonts w:hint="eastAsia"/>
          <w:sz w:val="24"/>
        </w:rPr>
        <w:t>，布置在各导气石笼间，初始端连接各井内中心花管，终端</w:t>
      </w:r>
      <w:r>
        <w:rPr>
          <w:sz w:val="24"/>
        </w:rPr>
        <w:t>连接抽气机房</w:t>
      </w:r>
      <w:r>
        <w:rPr>
          <w:rFonts w:hint="eastAsia"/>
          <w:sz w:val="24"/>
        </w:rPr>
        <w:t>及火炬燃烧器，</w:t>
      </w:r>
      <w:r>
        <w:rPr>
          <w:rFonts w:hint="eastAsia"/>
          <w:sz w:val="24"/>
          <w:lang w:val="zh-CN"/>
        </w:rPr>
        <w:t>抽气机房设在库区外东南角，利用风机对填埋气体</w:t>
      </w:r>
      <w:r>
        <w:rPr>
          <w:rFonts w:hint="eastAsia"/>
          <w:sz w:val="24"/>
        </w:rPr>
        <w:t>进行集中收集。</w:t>
      </w:r>
    </w:p>
    <w:p>
      <w:pPr>
        <w:pStyle w:val="38"/>
        <w:spacing w:line="480" w:lineRule="exact"/>
        <w:ind w:firstLine="482" w:firstLineChars="200"/>
        <w:rPr>
          <w:rFonts w:ascii="Times New Roman" w:hAnsi="Times New Roman" w:eastAsia="宋体" w:cs="Times New Roman"/>
          <w:b w:val="0"/>
          <w:bCs w:val="0"/>
          <w:color w:val="auto"/>
          <w:sz w:val="24"/>
        </w:rPr>
      </w:pPr>
      <w:r>
        <w:rPr>
          <w:rFonts w:hint="eastAsia" w:ascii="Times New Roman" w:hAnsi="Times New Roman" w:eastAsia="宋体" w:cs="Times New Roman"/>
          <w:color w:val="auto"/>
          <w:sz w:val="24"/>
        </w:rPr>
        <w:t>治理措施</w:t>
      </w:r>
      <w:r>
        <w:rPr>
          <w:rFonts w:hint="eastAsia" w:ascii="Times New Roman" w:hAnsi="Times New Roman" w:eastAsia="宋体" w:cs="Times New Roman"/>
          <w:b w:val="0"/>
          <w:bCs w:val="0"/>
          <w:color w:val="auto"/>
          <w:sz w:val="24"/>
        </w:rPr>
        <w:t>：场地填埋初期，产气量较少，甲烷等有机气体含量较低，填埋气可经导气石笼中心管直接放空，随着场内运行、垃圾填埋气产量及甲烷等有机气体含量逐渐增加，填埋气经导气支管、抽气机房主动收集后，由火炬式燃烧器进行燃烧处理，</w:t>
      </w:r>
      <w:r>
        <w:rPr>
          <w:rFonts w:ascii="Times New Roman" w:hAnsi="Times New Roman" w:eastAsia="宋体" w:cs="Times New Roman"/>
          <w:b w:val="0"/>
          <w:bCs w:val="0"/>
          <w:color w:val="auto"/>
          <w:sz w:val="24"/>
        </w:rPr>
        <w:t>燃烧器通过自动感应管道内的甲烷等可燃气体浓度自动进行点火，</w:t>
      </w:r>
      <w:r>
        <w:rPr>
          <w:rFonts w:hint="eastAsia" w:ascii="Times New Roman" w:hAnsi="Times New Roman" w:eastAsia="宋体" w:cs="Times New Roman"/>
          <w:b w:val="0"/>
          <w:bCs w:val="0"/>
          <w:color w:val="auto"/>
          <w:sz w:val="24"/>
        </w:rPr>
        <w:t>同时</w:t>
      </w:r>
      <w:r>
        <w:rPr>
          <w:rFonts w:ascii="Times New Roman" w:hAnsi="Times New Roman" w:eastAsia="宋体" w:cs="Times New Roman"/>
          <w:b w:val="0"/>
          <w:bCs w:val="0"/>
          <w:color w:val="auto"/>
          <w:sz w:val="24"/>
        </w:rPr>
        <w:t>，库区周边还需设置填埋气体报警装置，保证填埋气</w:t>
      </w:r>
      <w:r>
        <w:rPr>
          <w:rFonts w:hint="eastAsia" w:ascii="Times New Roman" w:hAnsi="Times New Roman" w:eastAsia="宋体" w:cs="Times New Roman"/>
          <w:b w:val="0"/>
          <w:bCs w:val="0"/>
          <w:color w:val="auto"/>
          <w:sz w:val="24"/>
        </w:rPr>
        <w:t>的</w:t>
      </w:r>
      <w:r>
        <w:rPr>
          <w:rFonts w:ascii="Times New Roman" w:hAnsi="Times New Roman" w:eastAsia="宋体" w:cs="Times New Roman"/>
          <w:b w:val="0"/>
          <w:bCs w:val="0"/>
          <w:color w:val="auto"/>
          <w:sz w:val="24"/>
        </w:rPr>
        <w:t>安全和及时处理。</w:t>
      </w:r>
    </w:p>
    <w:p>
      <w:pPr>
        <w:snapToGrid w:val="0"/>
        <w:spacing w:line="480" w:lineRule="exact"/>
        <w:ind w:left="420" w:leftChars="200"/>
        <w:rPr>
          <w:b/>
          <w:bCs/>
          <w:sz w:val="24"/>
        </w:rPr>
      </w:pPr>
      <w:r>
        <w:rPr>
          <w:rFonts w:hint="eastAsia"/>
          <w:b/>
          <w:bCs/>
          <w:sz w:val="24"/>
        </w:rPr>
        <w:t>2</w:t>
      </w:r>
      <w:r>
        <w:rPr>
          <w:b/>
          <w:bCs/>
          <w:sz w:val="24"/>
        </w:rPr>
        <w:t>、恶臭污染防治措施</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lang w:val="zh-CN"/>
        </w:rPr>
        <w:t>场地</w:t>
      </w:r>
      <w:r>
        <w:rPr>
          <w:rFonts w:hint="eastAsia" w:ascii="Times New Roman" w:hAnsi="Times New Roman" w:eastAsia="宋体" w:cs="Times New Roman"/>
          <w:b w:val="0"/>
          <w:bCs w:val="0"/>
          <w:color w:val="auto"/>
          <w:sz w:val="24"/>
          <w:lang w:val="zh-CN"/>
        </w:rPr>
        <w:t>恶臭</w:t>
      </w:r>
      <w:r>
        <w:rPr>
          <w:rFonts w:ascii="Times New Roman" w:hAnsi="Times New Roman" w:eastAsia="宋体" w:cs="Times New Roman"/>
          <w:b w:val="0"/>
          <w:bCs w:val="0"/>
          <w:color w:val="auto"/>
          <w:sz w:val="24"/>
          <w:lang w:val="zh-CN"/>
        </w:rPr>
        <w:t>主要来自填埋作业区及渗滤液</w:t>
      </w:r>
      <w:r>
        <w:rPr>
          <w:rFonts w:hint="eastAsia" w:ascii="Times New Roman" w:hAnsi="Times New Roman" w:eastAsia="宋体" w:cs="Times New Roman"/>
          <w:b w:val="0"/>
          <w:bCs w:val="0"/>
          <w:color w:val="auto"/>
          <w:sz w:val="24"/>
          <w:lang w:val="zh-CN"/>
        </w:rPr>
        <w:t>提升井、</w:t>
      </w:r>
      <w:r>
        <w:rPr>
          <w:rFonts w:ascii="Times New Roman" w:hAnsi="Times New Roman" w:eastAsia="宋体" w:cs="Times New Roman"/>
          <w:b w:val="0"/>
          <w:bCs w:val="0"/>
          <w:color w:val="auto"/>
          <w:sz w:val="24"/>
          <w:lang w:val="zh-CN"/>
        </w:rPr>
        <w:t>调节池、处理车间</w:t>
      </w:r>
      <w:r>
        <w:rPr>
          <w:rFonts w:hint="eastAsia" w:ascii="Times New Roman" w:hAnsi="Times New Roman" w:eastAsia="宋体" w:cs="Times New Roman"/>
          <w:b w:val="0"/>
          <w:bCs w:val="0"/>
          <w:color w:val="auto"/>
          <w:sz w:val="24"/>
          <w:lang w:val="zh-CN"/>
        </w:rPr>
        <w:t>，本项目渗滤液调节池及提升井均采用埋地封闭结构，渗滤液处理车间为砖混封闭结构并利用排风扇进行通风换气，库区填埋作业过程中要求垃圾层层压实，每日覆盖土层，随时通过喷药车进行喷药灭杀，尽量抑制场地恶臭排放及逸散。</w:t>
      </w:r>
    </w:p>
    <w:p>
      <w:pPr>
        <w:pStyle w:val="38"/>
        <w:spacing w:line="480" w:lineRule="exact"/>
        <w:ind w:firstLine="482" w:firstLineChars="200"/>
        <w:rPr>
          <w:rFonts w:ascii="Times New Roman" w:hAnsi="Times New Roman" w:eastAsia="宋体" w:cs="Times New Roman"/>
          <w:color w:val="auto"/>
          <w:sz w:val="24"/>
          <w:lang w:val="zh-CN"/>
        </w:rPr>
      </w:pP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w:t>
      </w:r>
      <w:r>
        <w:rPr>
          <w:rFonts w:ascii="Times New Roman" w:hAnsi="Times New Roman" w:eastAsia="宋体" w:cs="Times New Roman"/>
          <w:color w:val="auto"/>
          <w:sz w:val="24"/>
          <w:lang w:val="zh-CN"/>
        </w:rPr>
        <w:t>填埋场粉尘</w:t>
      </w:r>
    </w:p>
    <w:p>
      <w:pPr>
        <w:spacing w:line="480" w:lineRule="exact"/>
        <w:ind w:firstLine="480" w:firstLineChars="200"/>
        <w:jc w:val="left"/>
        <w:rPr>
          <w:sz w:val="24"/>
        </w:rPr>
      </w:pPr>
      <w:r>
        <w:rPr>
          <w:rFonts w:hint="eastAsia"/>
          <w:sz w:val="24"/>
        </w:rPr>
        <w:t>本项目</w:t>
      </w:r>
      <w:r>
        <w:rPr>
          <w:sz w:val="24"/>
        </w:rPr>
        <w:t>粉尘</w:t>
      </w:r>
      <w:r>
        <w:rPr>
          <w:rFonts w:hint="eastAsia"/>
          <w:sz w:val="24"/>
        </w:rPr>
        <w:t>包括垃圾填埋作业扬尘，临时弃土场堆放及</w:t>
      </w:r>
      <w:r>
        <w:rPr>
          <w:sz w:val="24"/>
        </w:rPr>
        <w:t>运输、</w:t>
      </w:r>
      <w:r>
        <w:rPr>
          <w:rFonts w:hint="eastAsia"/>
          <w:sz w:val="24"/>
        </w:rPr>
        <w:t>覆盖扬尘，</w:t>
      </w:r>
      <w:r>
        <w:rPr>
          <w:sz w:val="24"/>
        </w:rPr>
        <w:t>干燥天气较大风力时路面及垃圾填埋表面扬尘</w:t>
      </w:r>
      <w:r>
        <w:rPr>
          <w:rFonts w:hint="eastAsia"/>
          <w:sz w:val="24"/>
        </w:rPr>
        <w:t>，车辆行驶运输扬尘等，其中垃圾填埋、覆土作业是扬尘产生的主要来源，项目场地四周设有3.0m高的防飞散网，另外，评价还要求严格落实以下抑尘措施：加强场地及道路清扫、洒水，保证频次；场区出入口配套建设洗车平台，运输车辆出场前进行冲洗；填埋区分单元科学作业，尽量缩小堆存作业面积、表面增湿、及时覆盖及垃圾卸车等作业点设移动防飞网等；场内西南临时弃土场土堆表面进行覆盖或播撒草籽，土方场内倒运过程中落实湿法作业，车辆减速慢行，土方覆盖后及时压实等。</w:t>
      </w:r>
    </w:p>
    <w:p>
      <w:pPr>
        <w:pStyle w:val="2"/>
        <w:spacing w:line="480" w:lineRule="exact"/>
        <w:ind w:firstLine="480" w:firstLineChars="200"/>
        <w:rPr>
          <w:rFonts w:ascii="Times New Roman" w:hAnsi="Times New Roman" w:cs="Times New Roman"/>
        </w:rPr>
      </w:pPr>
      <w:r>
        <w:rPr>
          <w:rFonts w:hint="eastAsia" w:cs="Times New Roman"/>
          <w:color w:val="auto"/>
        </w:rPr>
        <w:t>采区上述抑尘措施后，</w:t>
      </w:r>
      <w:r>
        <w:rPr>
          <w:rFonts w:ascii="Times New Roman" w:hAnsi="Times New Roman" w:cs="Times New Roman"/>
          <w:color w:val="auto"/>
        </w:rPr>
        <w:t>项目扬尘量可削减约80%，扬尘排放量约1.01t。</w:t>
      </w:r>
    </w:p>
    <w:p>
      <w:pPr>
        <w:pStyle w:val="38"/>
        <w:numPr>
          <w:ilvl w:val="0"/>
          <w:numId w:val="2"/>
        </w:numPr>
        <w:spacing w:line="480" w:lineRule="exact"/>
        <w:ind w:firstLine="482"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color w:val="auto"/>
          <w:sz w:val="24"/>
          <w:lang w:val="zh-CN"/>
        </w:rPr>
        <w:t>蚊蝇滋扰</w:t>
      </w:r>
      <w:r>
        <w:rPr>
          <w:rFonts w:ascii="Times New Roman" w:hAnsi="Times New Roman" w:eastAsia="宋体" w:cs="Times New Roman"/>
          <w:b w:val="0"/>
          <w:bCs w:val="0"/>
          <w:color w:val="auto"/>
          <w:sz w:val="24"/>
          <w:lang w:val="zh-CN"/>
        </w:rPr>
        <w:t>：</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lang w:val="zh-CN"/>
        </w:rPr>
        <w:t>填埋场是蚊蝇滋生地，由于垃圾堆体内温度相对较高，四季都适合蚊蝇栖息和生长，可能会对区域的卫生防疫环境产生一定的影响，因此，场地运营过程中应科学作业，严格日覆土，及时喷洒药物，对蚊蝇实行分季度、有重点的杀灭成虫，控制蚊蝇世代繁殖，减少蚊蝇和鼠类繁殖。</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根据《排污许可证申请与核发技术规范 环境卫生管理业》（HJ1106-2020）附录A中的表</w:t>
      </w:r>
      <w:r>
        <w:rPr>
          <w:rFonts w:hint="eastAsia" w:ascii="Times New Roman" w:hAnsi="Times New Roman" w:eastAsia="宋体" w:cs="Times New Roman"/>
          <w:b w:val="0"/>
          <w:bCs w:val="0"/>
          <w:color w:val="auto"/>
          <w:sz w:val="24"/>
        </w:rPr>
        <w:t>A.1，填埋单元和公用单元废气治理可行技术如下表所示。</w:t>
      </w:r>
    </w:p>
    <w:p>
      <w:pPr>
        <w:autoSpaceDE w:val="0"/>
        <w:autoSpaceDN w:val="0"/>
        <w:adjustRightInd w:val="0"/>
        <w:spacing w:line="500" w:lineRule="exact"/>
        <w:jc w:val="center"/>
        <w:rPr>
          <w:b/>
          <w:bCs/>
          <w:sz w:val="24"/>
        </w:rPr>
      </w:pPr>
      <w:r>
        <w:rPr>
          <w:b/>
          <w:bCs/>
          <w:sz w:val="24"/>
        </w:rPr>
        <w:t>表</w:t>
      </w:r>
      <w:r>
        <w:rPr>
          <w:rFonts w:hint="eastAsia"/>
          <w:b/>
          <w:bCs/>
          <w:sz w:val="24"/>
        </w:rPr>
        <w:t>6</w:t>
      </w:r>
      <w:r>
        <w:rPr>
          <w:b/>
          <w:bCs/>
          <w:sz w:val="24"/>
        </w:rPr>
        <w:t>.2-</w:t>
      </w:r>
      <w:r>
        <w:rPr>
          <w:rFonts w:hint="eastAsia"/>
          <w:b/>
          <w:bCs/>
          <w:sz w:val="24"/>
        </w:rPr>
        <w:t>1填埋单元和公用单元废气治理可行技术参考表</w:t>
      </w:r>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8"/>
        <w:gridCol w:w="996"/>
        <w:gridCol w:w="1259"/>
        <w:gridCol w:w="2221"/>
        <w:gridCol w:w="30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atLeast"/>
          <w:jc w:val="center"/>
        </w:trPr>
        <w:tc>
          <w:tcPr>
            <w:tcW w:w="562"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主要生产单元</w:t>
            </w:r>
          </w:p>
        </w:tc>
        <w:tc>
          <w:tcPr>
            <w:tcW w:w="584"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产污环节名称</w:t>
            </w:r>
          </w:p>
        </w:tc>
        <w:tc>
          <w:tcPr>
            <w:tcW w:w="739"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污染物种类</w:t>
            </w:r>
          </w:p>
        </w:tc>
        <w:tc>
          <w:tcPr>
            <w:tcW w:w="1303"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可行技术（参考）</w:t>
            </w:r>
          </w:p>
        </w:tc>
        <w:tc>
          <w:tcPr>
            <w:tcW w:w="1809"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本项目措施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562"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填埋</w:t>
            </w:r>
          </w:p>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单元</w:t>
            </w:r>
          </w:p>
        </w:tc>
        <w:tc>
          <w:tcPr>
            <w:tcW w:w="584"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填埋作业</w:t>
            </w:r>
          </w:p>
        </w:tc>
        <w:tc>
          <w:tcPr>
            <w:tcW w:w="739"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颗粒物、硫化氢、氨、臭气浓度</w:t>
            </w:r>
          </w:p>
        </w:tc>
        <w:tc>
          <w:tcPr>
            <w:tcW w:w="1303"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洒水抑尘、设置防风抑尘网、导气系统、渗滤液导排系统、移动喷雾除臭系统、填埋气综合利用</w:t>
            </w:r>
          </w:p>
        </w:tc>
        <w:tc>
          <w:tcPr>
            <w:tcW w:w="1809"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洒水抑尘、运输车辆冲洗、防飞散网及移动防飞网、分区分单元科学作业、喷药车随时喷药灭杀、填埋气收集导排及处理设施、渗滤液导排系统等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562"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公用单元</w:t>
            </w:r>
          </w:p>
        </w:tc>
        <w:tc>
          <w:tcPr>
            <w:tcW w:w="584" w:type="pct"/>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渗滤液收集、废水处理</w:t>
            </w:r>
          </w:p>
        </w:tc>
        <w:tc>
          <w:tcPr>
            <w:tcW w:w="739" w:type="pct"/>
            <w:tcBorders>
              <w:tl2br w:val="nil"/>
              <w:tr2bl w:val="nil"/>
            </w:tcBorders>
            <w:vAlign w:val="center"/>
          </w:tcPr>
          <w:p>
            <w:pPr>
              <w:pStyle w:val="3"/>
              <w:spacing w:line="260" w:lineRule="exact"/>
              <w:rPr>
                <w:rFonts w:asciiTheme="minorEastAsia" w:hAnsiTheme="minorEastAsia" w:eastAsiaTheme="minorEastAsia" w:cstheme="minorEastAsia"/>
                <w:bCs w:val="0"/>
                <w:color w:val="FF0000"/>
                <w:szCs w:val="21"/>
              </w:rPr>
            </w:pPr>
            <w:r>
              <w:rPr>
                <w:rFonts w:hint="eastAsia" w:asciiTheme="minorEastAsia" w:hAnsiTheme="minorEastAsia" w:eastAsiaTheme="minorEastAsia" w:cstheme="minorEastAsia"/>
                <w:bCs w:val="0"/>
                <w:szCs w:val="21"/>
              </w:rPr>
              <w:t>硫化氢、氨、臭气浓度</w:t>
            </w:r>
          </w:p>
        </w:tc>
        <w:tc>
          <w:tcPr>
            <w:tcW w:w="1303" w:type="pct"/>
            <w:tcBorders>
              <w:tl2br w:val="nil"/>
              <w:tr2bl w:val="nil"/>
            </w:tcBorders>
            <w:vAlign w:val="center"/>
          </w:tcPr>
          <w:p>
            <w:pPr>
              <w:pStyle w:val="3"/>
              <w:spacing w:line="260" w:lineRule="exact"/>
              <w:rPr>
                <w:rFonts w:asciiTheme="minorEastAsia" w:hAnsiTheme="minorEastAsia" w:eastAsiaTheme="minorEastAsia" w:cstheme="minorEastAsia"/>
                <w:bCs w:val="0"/>
                <w:color w:val="FF0000"/>
                <w:szCs w:val="21"/>
              </w:rPr>
            </w:pPr>
            <w:r>
              <w:rPr>
                <w:rFonts w:hint="eastAsia" w:asciiTheme="minorEastAsia" w:hAnsiTheme="minorEastAsia" w:eastAsiaTheme="minorEastAsia" w:cstheme="minorEastAsia"/>
                <w:bCs w:val="0"/>
                <w:color w:val="auto"/>
                <w:szCs w:val="21"/>
              </w:rPr>
              <w:t>生物过滤、化学洗涤、活性炭吸附</w:t>
            </w:r>
          </w:p>
        </w:tc>
        <w:tc>
          <w:tcPr>
            <w:tcW w:w="1809" w:type="pct"/>
            <w:tcBorders>
              <w:tl2br w:val="nil"/>
              <w:tr2bl w:val="nil"/>
            </w:tcBorders>
            <w:vAlign w:val="center"/>
          </w:tcPr>
          <w:p>
            <w:pPr>
              <w:pStyle w:val="3"/>
              <w:spacing w:line="260" w:lineRule="exact"/>
              <w:rPr>
                <w:rFonts w:asciiTheme="minorEastAsia" w:hAnsiTheme="minorEastAsia" w:eastAsiaTheme="minorEastAsia" w:cstheme="minorEastAsia"/>
                <w:bCs w:val="0"/>
                <w:color w:val="FF0000"/>
                <w:szCs w:val="21"/>
              </w:rPr>
            </w:pPr>
            <w:r>
              <w:rPr>
                <w:rFonts w:hint="eastAsia" w:asciiTheme="minorEastAsia" w:hAnsiTheme="minorEastAsia" w:eastAsiaTheme="minorEastAsia" w:cstheme="minorEastAsia"/>
                <w:bCs w:val="0"/>
                <w:color w:val="auto"/>
                <w:szCs w:val="21"/>
              </w:rPr>
              <w:t>渗滤液调节池及提升井均为钢混埋地封闭结构，渗滤液处理车间利用排风扇通风换气</w:t>
            </w:r>
          </w:p>
        </w:tc>
      </w:tr>
    </w:tbl>
    <w:p>
      <w:pPr>
        <w:pStyle w:val="38"/>
        <w:spacing w:line="480" w:lineRule="exact"/>
        <w:ind w:firstLine="480" w:firstLineChars="200"/>
        <w:rPr>
          <w:rFonts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zh-CN"/>
        </w:rPr>
        <w:t>另外，</w:t>
      </w:r>
      <w:r>
        <w:rPr>
          <w:rFonts w:ascii="Times New Roman" w:hAnsi="Times New Roman" w:eastAsia="宋体" w:cs="Times New Roman"/>
          <w:b w:val="0"/>
          <w:bCs w:val="0"/>
          <w:color w:val="auto"/>
          <w:sz w:val="24"/>
        </w:rPr>
        <w:t>2022年9月</w:t>
      </w:r>
      <w:r>
        <w:rPr>
          <w:rFonts w:hint="eastAsia" w:ascii="Times New Roman" w:hAnsi="Times New Roman" w:eastAsia="宋体" w:cs="Times New Roman"/>
          <w:b w:val="0"/>
          <w:bCs w:val="0"/>
          <w:color w:val="auto"/>
          <w:sz w:val="24"/>
        </w:rPr>
        <w:t>6</w:t>
      </w:r>
      <w:r>
        <w:rPr>
          <w:rFonts w:ascii="Times New Roman" w:hAnsi="Times New Roman" w:eastAsia="宋体" w:cs="Times New Roman"/>
          <w:b w:val="0"/>
          <w:bCs w:val="0"/>
          <w:color w:val="auto"/>
          <w:sz w:val="24"/>
        </w:rPr>
        <w:t>日、</w:t>
      </w:r>
      <w:r>
        <w:rPr>
          <w:rFonts w:hint="eastAsia" w:ascii="Times New Roman" w:hAnsi="Times New Roman" w:eastAsia="宋体" w:cs="Times New Roman"/>
          <w:b w:val="0"/>
          <w:bCs w:val="0"/>
          <w:color w:val="auto"/>
          <w:sz w:val="24"/>
        </w:rPr>
        <w:t>7</w:t>
      </w:r>
      <w:r>
        <w:rPr>
          <w:rFonts w:ascii="Times New Roman" w:hAnsi="Times New Roman" w:eastAsia="宋体" w:cs="Times New Roman"/>
          <w:b w:val="0"/>
          <w:bCs w:val="0"/>
          <w:color w:val="auto"/>
          <w:sz w:val="24"/>
        </w:rPr>
        <w:t>日，监测单位对</w:t>
      </w:r>
      <w:r>
        <w:rPr>
          <w:rFonts w:hint="eastAsia" w:ascii="Times New Roman" w:hAnsi="Times New Roman" w:eastAsia="宋体" w:cs="Times New Roman"/>
          <w:b w:val="0"/>
          <w:bCs w:val="0"/>
          <w:color w:val="auto"/>
          <w:sz w:val="24"/>
        </w:rPr>
        <w:t>本项目</w:t>
      </w:r>
      <w:r>
        <w:rPr>
          <w:rFonts w:hint="eastAsia" w:eastAsia="宋体" w:cs="Times New Roman"/>
          <w:b w:val="0"/>
          <w:bCs w:val="0"/>
          <w:color w:val="auto"/>
          <w:sz w:val="24"/>
        </w:rPr>
        <w:t>场界的无组织</w:t>
      </w:r>
      <w:r>
        <w:rPr>
          <w:rFonts w:hint="eastAsia" w:ascii="Times New Roman" w:hAnsi="Times New Roman" w:eastAsia="宋体" w:cs="Times New Roman"/>
          <w:b w:val="0"/>
          <w:bCs w:val="0"/>
          <w:color w:val="auto"/>
          <w:sz w:val="24"/>
        </w:rPr>
        <w:t>H</w:t>
      </w:r>
      <w:r>
        <w:rPr>
          <w:rFonts w:hint="eastAsia" w:ascii="Times New Roman" w:hAnsi="Times New Roman" w:eastAsia="宋体" w:cs="Times New Roman"/>
          <w:b w:val="0"/>
          <w:bCs w:val="0"/>
          <w:color w:val="auto"/>
          <w:sz w:val="24"/>
          <w:vertAlign w:val="subscript"/>
        </w:rPr>
        <w:t>2</w:t>
      </w:r>
      <w:r>
        <w:rPr>
          <w:rFonts w:hint="eastAsia" w:ascii="Times New Roman" w:hAnsi="Times New Roman" w:eastAsia="宋体" w:cs="Times New Roman"/>
          <w:b w:val="0"/>
          <w:bCs w:val="0"/>
          <w:color w:val="auto"/>
          <w:sz w:val="24"/>
        </w:rPr>
        <w:t>S、NH</w:t>
      </w:r>
      <w:r>
        <w:rPr>
          <w:rFonts w:hint="eastAsia" w:ascii="Times New Roman" w:hAnsi="Times New Roman" w:eastAsia="宋体" w:cs="Times New Roman"/>
          <w:b w:val="0"/>
          <w:bCs w:val="0"/>
          <w:color w:val="auto"/>
          <w:sz w:val="24"/>
          <w:vertAlign w:val="subscript"/>
        </w:rPr>
        <w:t>3</w:t>
      </w:r>
      <w:r>
        <w:rPr>
          <w:rFonts w:hint="eastAsia" w:eastAsia="宋体" w:cs="Times New Roman"/>
          <w:b w:val="0"/>
          <w:bCs w:val="0"/>
          <w:color w:val="auto"/>
          <w:sz w:val="24"/>
        </w:rPr>
        <w:t>、颗粒物</w:t>
      </w:r>
      <w:r>
        <w:rPr>
          <w:rFonts w:ascii="Times New Roman" w:hAnsi="Times New Roman" w:eastAsia="宋体" w:cs="Times New Roman"/>
          <w:b w:val="0"/>
          <w:bCs w:val="0"/>
          <w:color w:val="auto"/>
          <w:sz w:val="24"/>
        </w:rPr>
        <w:t>进行了</w:t>
      </w:r>
      <w:r>
        <w:rPr>
          <w:rFonts w:hint="eastAsia" w:ascii="Times New Roman" w:hAnsi="Times New Roman" w:eastAsia="宋体" w:cs="Times New Roman"/>
          <w:b w:val="0"/>
          <w:bCs w:val="0"/>
          <w:color w:val="auto"/>
          <w:sz w:val="24"/>
        </w:rPr>
        <w:t>监测</w:t>
      </w:r>
      <w:r>
        <w:rPr>
          <w:rFonts w:ascii="Times New Roman" w:hAnsi="Times New Roman" w:eastAsia="宋体" w:cs="Times New Roman"/>
          <w:b w:val="0"/>
          <w:bCs w:val="0"/>
          <w:color w:val="auto"/>
          <w:sz w:val="24"/>
        </w:rPr>
        <w:t>，</w:t>
      </w:r>
      <w:r>
        <w:rPr>
          <w:rFonts w:hint="eastAsia" w:eastAsia="宋体" w:cs="Times New Roman"/>
          <w:b w:val="0"/>
          <w:bCs w:val="0"/>
          <w:color w:val="auto"/>
          <w:sz w:val="24"/>
        </w:rPr>
        <w:t>场界浓度均可达标，本项目大气污染防治措施可行性较好。</w:t>
      </w:r>
    </w:p>
    <w:p>
      <w:pPr>
        <w:pStyle w:val="6"/>
        <w:spacing w:line="480" w:lineRule="exact"/>
        <w:rPr>
          <w:color w:val="FF0000"/>
        </w:rPr>
      </w:pPr>
      <w:bookmarkStart w:id="165" w:name="_Toc15200"/>
      <w:r>
        <w:t>6.2.2</w:t>
      </w:r>
      <w:bookmarkEnd w:id="165"/>
      <w:r>
        <w:rPr>
          <w:rFonts w:hint="eastAsia"/>
        </w:rPr>
        <w:t xml:space="preserve"> 废水防治措施</w:t>
      </w:r>
    </w:p>
    <w:p>
      <w:pPr>
        <w:spacing w:line="480" w:lineRule="exact"/>
        <w:ind w:firstLine="480" w:firstLineChars="200"/>
        <w:rPr>
          <w:sz w:val="24"/>
        </w:rPr>
      </w:pPr>
      <w:r>
        <w:rPr>
          <w:sz w:val="24"/>
        </w:rPr>
        <w:t>项目场地运营产生的废水主要为垃圾渗滤液及部分职工生活</w:t>
      </w:r>
      <w:r>
        <w:rPr>
          <w:rFonts w:hint="eastAsia"/>
          <w:sz w:val="24"/>
        </w:rPr>
        <w:t>废水</w:t>
      </w:r>
      <w:r>
        <w:rPr>
          <w:sz w:val="24"/>
        </w:rPr>
        <w:t>和车辆冲洗废水，</w:t>
      </w:r>
      <w:r>
        <w:rPr>
          <w:rFonts w:hint="eastAsia"/>
          <w:sz w:val="24"/>
        </w:rPr>
        <w:t>其中渗滤液产生量平均约20.24m</w:t>
      </w:r>
      <w:r>
        <w:rPr>
          <w:rFonts w:hint="eastAsia"/>
          <w:sz w:val="24"/>
          <w:vertAlign w:val="superscript"/>
        </w:rPr>
        <w:t>3</w:t>
      </w:r>
      <w:r>
        <w:rPr>
          <w:rFonts w:hint="eastAsia"/>
          <w:sz w:val="24"/>
        </w:rPr>
        <w:t>/d，职工生活废水量约0.88m</w:t>
      </w:r>
      <w:r>
        <w:rPr>
          <w:rFonts w:hint="eastAsia"/>
          <w:sz w:val="24"/>
          <w:vertAlign w:val="superscript"/>
        </w:rPr>
        <w:t>3</w:t>
      </w:r>
      <w:r>
        <w:rPr>
          <w:rFonts w:hint="eastAsia"/>
          <w:sz w:val="24"/>
        </w:rPr>
        <w:t>/d，洗车废水量约0.68m</w:t>
      </w:r>
      <w:r>
        <w:rPr>
          <w:rFonts w:hint="eastAsia"/>
          <w:sz w:val="24"/>
          <w:vertAlign w:val="superscript"/>
        </w:rPr>
        <w:t>3</w:t>
      </w:r>
      <w:r>
        <w:rPr>
          <w:rFonts w:hint="eastAsia"/>
          <w:sz w:val="24"/>
        </w:rPr>
        <w:t>/d，</w:t>
      </w:r>
      <w:r>
        <w:rPr>
          <w:sz w:val="24"/>
        </w:rPr>
        <w:t>另外，渗滤液车间废水处理过程还会产生一定的反渗透浓水</w:t>
      </w:r>
      <w:r>
        <w:rPr>
          <w:rFonts w:hint="eastAsia"/>
          <w:sz w:val="24"/>
        </w:rPr>
        <w:t>。</w:t>
      </w:r>
    </w:p>
    <w:p>
      <w:pPr>
        <w:spacing w:line="480" w:lineRule="exact"/>
        <w:ind w:firstLine="480" w:firstLineChars="200"/>
        <w:rPr>
          <w:sz w:val="24"/>
        </w:rPr>
      </w:pPr>
      <w:r>
        <w:rPr>
          <w:rFonts w:hint="eastAsia"/>
          <w:sz w:val="24"/>
        </w:rPr>
        <w:t>圾滤液经盲沟导排后自流进入北侧坝前提升井，先被泵入渗滤液调节池，然后进入渗滤液处理车间进行处理，设计处理能力40m</w:t>
      </w:r>
      <w:r>
        <w:rPr>
          <w:rFonts w:hint="eastAsia"/>
          <w:sz w:val="24"/>
          <w:vertAlign w:val="superscript"/>
        </w:rPr>
        <w:t>3</w:t>
      </w:r>
      <w:r>
        <w:rPr>
          <w:rFonts w:hint="eastAsia"/>
          <w:sz w:val="24"/>
        </w:rPr>
        <w:t>/d，处理工艺为“预处理+两级DTRO反渗透”，出水满足《城市污水再生利用城市杂用水水质》(GB/T18920­2020)标准要求后全部回用于场地及县城绿化、道路清扫，少量</w:t>
      </w:r>
      <w:r>
        <w:rPr>
          <w:sz w:val="24"/>
        </w:rPr>
        <w:t>职工生活</w:t>
      </w:r>
      <w:r>
        <w:rPr>
          <w:rFonts w:hint="eastAsia"/>
          <w:sz w:val="24"/>
        </w:rPr>
        <w:t>废水</w:t>
      </w:r>
      <w:r>
        <w:rPr>
          <w:sz w:val="24"/>
        </w:rPr>
        <w:t>和车辆冲洗废水</w:t>
      </w:r>
      <w:r>
        <w:rPr>
          <w:rFonts w:hint="eastAsia"/>
          <w:sz w:val="24"/>
        </w:rPr>
        <w:t>分别经化粪池和沉淀池后进入渗滤液调节池随垃圾渗滤液一起处理，反渗透浓水由吸污车定期运至库区回喷垃圾堆体，本项目无外排废水。</w:t>
      </w:r>
    </w:p>
    <w:p>
      <w:pPr>
        <w:spacing w:line="480" w:lineRule="exact"/>
        <w:ind w:firstLine="482" w:firstLineChars="200"/>
        <w:rPr>
          <w:b/>
          <w:bCs/>
          <w:sz w:val="24"/>
        </w:rPr>
      </w:pPr>
      <w:r>
        <w:rPr>
          <w:b/>
          <w:bCs/>
          <w:sz w:val="24"/>
        </w:rPr>
        <w:t>1、</w:t>
      </w:r>
      <w:r>
        <w:rPr>
          <w:rFonts w:hint="eastAsia"/>
          <w:b/>
          <w:bCs/>
          <w:sz w:val="24"/>
        </w:rPr>
        <w:t>渗滤液处理工艺流程</w:t>
      </w:r>
    </w:p>
    <w:p>
      <w:pPr>
        <w:pStyle w:val="38"/>
        <w:spacing w:line="480" w:lineRule="exact"/>
        <w:ind w:firstLine="482" w:firstLineChars="200"/>
        <w:rPr>
          <w:rFonts w:ascii="Times New Roman" w:hAnsi="Times New Roman" w:eastAsia="宋体" w:cs="Times New Roman"/>
          <w:color w:val="0000FF"/>
          <w:sz w:val="24"/>
        </w:rPr>
      </w:pPr>
      <w:r>
        <w:rPr>
          <w:rFonts w:ascii="Times New Roman" w:hAnsi="Times New Roman" w:eastAsia="宋体" w:cs="Times New Roman"/>
          <w:color w:val="auto"/>
          <w:sz w:val="24"/>
          <w:lang w:val="zh-CN"/>
        </w:rPr>
        <w:fldChar w:fldCharType="begin"/>
      </w:r>
      <w:r>
        <w:rPr>
          <w:rFonts w:ascii="Times New Roman" w:hAnsi="Times New Roman" w:eastAsia="宋体" w:cs="Times New Roman"/>
          <w:color w:val="auto"/>
          <w:sz w:val="24"/>
          <w:lang w:val="zh-CN"/>
        </w:rPr>
        <w:instrText xml:space="preserve"> </w:instrText>
      </w:r>
      <w:r>
        <w:rPr>
          <w:rFonts w:hint="eastAsia" w:ascii="Times New Roman" w:hAnsi="Times New Roman" w:eastAsia="宋体" w:cs="Times New Roman"/>
          <w:color w:val="auto"/>
          <w:sz w:val="24"/>
          <w:lang w:val="zh-CN"/>
        </w:rPr>
        <w:instrText xml:space="preserve">= 1 \* GB3</w:instrText>
      </w:r>
      <w:r>
        <w:rPr>
          <w:rFonts w:ascii="Times New Roman" w:hAnsi="Times New Roman" w:eastAsia="宋体" w:cs="Times New Roman"/>
          <w:color w:val="auto"/>
          <w:sz w:val="24"/>
          <w:lang w:val="zh-CN"/>
        </w:rPr>
        <w:instrText xml:space="preserve"> </w:instrText>
      </w:r>
      <w:r>
        <w:rPr>
          <w:rFonts w:ascii="Times New Roman" w:hAnsi="Times New Roman" w:eastAsia="宋体" w:cs="Times New Roman"/>
          <w:color w:val="auto"/>
          <w:sz w:val="24"/>
          <w:lang w:val="zh-CN"/>
        </w:rPr>
        <w:fldChar w:fldCharType="separate"/>
      </w:r>
      <w:r>
        <w:rPr>
          <w:rFonts w:hint="eastAsia" w:ascii="Times New Roman" w:hAnsi="Times New Roman" w:eastAsia="宋体" w:cs="Times New Roman"/>
          <w:color w:val="auto"/>
          <w:sz w:val="24"/>
          <w:lang w:val="zh-CN"/>
        </w:rPr>
        <w:t>①</w:t>
      </w:r>
      <w:r>
        <w:rPr>
          <w:rFonts w:ascii="Times New Roman" w:hAnsi="Times New Roman" w:eastAsia="宋体" w:cs="Times New Roman"/>
          <w:color w:val="auto"/>
          <w:sz w:val="24"/>
          <w:lang w:val="zh-CN"/>
        </w:rPr>
        <w:fldChar w:fldCharType="end"/>
      </w:r>
      <w:r>
        <w:rPr>
          <w:rFonts w:hint="eastAsia" w:ascii="Times New Roman" w:hAnsi="Times New Roman" w:eastAsia="宋体" w:cs="Times New Roman"/>
          <w:color w:val="auto"/>
          <w:sz w:val="24"/>
        </w:rPr>
        <w:t>预处理</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渗滤液pH值随着厂龄的增加、环境等各种条件的变化而变化，其组成成份复杂，存在各种钙、镁、钡、硅等种难溶盐，这些难溶无机盐进入反渗透系统后被高倍浓缩，当其浓度超过该条件下的溶解度时将会在膜表面产生结垢现象。而调节原水pH值能有效防止碳酸盐类无机盐的结垢，故在进入反渗透前须对原水进行pH值调节。</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调节池出水泵进入反渗透系统的原水罐，在原水罐中通过加酸，调节pH，原水罐的出水经原水泵加压后再进入石英砂过滤器，砂滤器数量按具体处理规模确定，其过滤精度为50μm。砂滤器进、出水端都有压力表，当压差超过2.5bar的时候须执行反洗程序。砂滤器反冲洗的频率取决于进水的悬浮物含量，对一般的垃圾填埋场，砂滤器反冲洗周期约100小时左右，对于SS值比较低的原水，砂滤运行100小时后若压差未超过2.5bar也须进行反冲洗，以避免石英砂的过度压实及板结现象，两者以先到时间为自动激活砂滤反洗时间。砂滤水洗采用原水清洗，气洗使用旋片压缩机产生的压缩空气。</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砂滤出水后进入芯式过滤器，对于渗滤液级系统，由于原水中钙、镁、钡等易结垢离子和硅酸盐含量高，经DT膜组件高倍浓缩后这些盐容易在浓缩液侧出现过饱和状态，所以根据实际水质情况在芯式过滤器前加入一定量的阻垢剂防止硅垢及硫酸盐结垢现象的发生，具体添加量由原水水质分析情况确定，阻垢剂应加20倍水进行稀释后使用。芯式过滤器为膜柱提供最后一道保护屏障，芯式过滤器的精度为10μm。同样，芯式过滤器的数量同砂滤一样按具体处理规模确定。</w:t>
      </w:r>
    </w:p>
    <w:p>
      <w:pPr>
        <w:pStyle w:val="38"/>
        <w:spacing w:line="480" w:lineRule="exact"/>
        <w:ind w:firstLine="482" w:firstLineChars="20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2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②</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一级DTRO</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经过芯式过滤器的渗滤液直接进入高压柱塞泵。DT膜系统每台柱塞泵后边都有一个减震器，用于吸收高压泵产生的压力脉冲，给反渗透膜柱提供平稳的压力。经高压泵后的出水进入在线泵或膜柱。由于高压泵流量不足以向膜柱直接供水，所以通过在线泵将膜柱出口一</w:t>
      </w:r>
      <w:r>
        <w:rPr>
          <w:rFonts w:hint="eastAsia" w:ascii="Times New Roman" w:hAnsi="Times New Roman" w:eastAsia="宋体" w:cs="Times New Roman"/>
          <w:b w:val="0"/>
          <w:bCs w:val="0"/>
          <w:color w:val="auto"/>
          <w:sz w:val="24"/>
        </w:rPr>
        <w:t>部分</w:t>
      </w:r>
      <w:r>
        <w:rPr>
          <w:rFonts w:ascii="Times New Roman" w:hAnsi="Times New Roman" w:eastAsia="宋体" w:cs="Times New Roman"/>
          <w:b w:val="0"/>
          <w:bCs w:val="0"/>
          <w:color w:val="auto"/>
          <w:sz w:val="24"/>
        </w:rPr>
        <w:t>浓缩液回流至在线泵入口以保证膜表面足够的流量和流速，避免膜污染。在线泵流出的高压力及高流量水直接进入膜柱。</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膜柱组出水分为两部分－浓缩液和透过液，浓缩液端有一个压力调节阀，用于控制膜组内的压力，以产生必要的净水回收率。透过液进入二级膜柱进一步处理。浓缩液排入浓缩液储池，通过吸污车回灌</w:t>
      </w:r>
      <w:r>
        <w:rPr>
          <w:rFonts w:hint="eastAsia" w:ascii="Times New Roman" w:hAnsi="Times New Roman" w:eastAsia="宋体" w:cs="Times New Roman"/>
          <w:b w:val="0"/>
          <w:bCs w:val="0"/>
          <w:color w:val="auto"/>
          <w:sz w:val="24"/>
        </w:rPr>
        <w:t>填埋</w:t>
      </w:r>
      <w:r>
        <w:rPr>
          <w:rFonts w:ascii="Times New Roman" w:hAnsi="Times New Roman" w:eastAsia="宋体" w:cs="Times New Roman"/>
          <w:b w:val="0"/>
          <w:bCs w:val="0"/>
          <w:color w:val="auto"/>
          <w:sz w:val="24"/>
        </w:rPr>
        <w:t>库区。</w:t>
      </w:r>
    </w:p>
    <w:p>
      <w:pPr>
        <w:pStyle w:val="38"/>
        <w:spacing w:line="480" w:lineRule="exact"/>
        <w:ind w:firstLine="482" w:firstLineChars="20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3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二级DTRO：</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第二级DT膜系统用于对一级DT膜系统透过液的进一步处理，因此又称为透过液级，经一级DT膜系统处理后的透过液无需添加任何药剂直接送入二级DT膜系统高压泵，一级与二级之间无须设置缓冲罐，系统运行时流量自动匹配。第二级高压泵设置了变频控制，二级高压泵运行频率和输出流量将根据一级透过液流量传感器反馈值自动匹配，同时二级高压泵入口管路设置了浓缩液自补偿，使得二级系统的运行不受一级系统产水量的影响。第二级反渗透不需要在线增压泵，由于其进水电导率比较低，回收率比较高，仅仅使用高压泵就可以满足要求。</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二级浓缩液端也设有一个伺服电机控制阀，用于控制膜组内的压力和回收率。第二级膜柱浓缩液排向第一级系统的进水端，以提高系统的回收率，透过液排入脱气塔，经过吹脱除去水中二氧化碳等气体，使pH达到6－9，最后达标回用。</w:t>
      </w:r>
    </w:p>
    <w:p>
      <w:pPr>
        <w:pStyle w:val="38"/>
        <w:spacing w:line="480" w:lineRule="exact"/>
        <w:ind w:firstLine="482" w:firstLineChars="20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4 \* GB3 \* MERGEFORMAT </w:instrText>
      </w:r>
      <w:r>
        <w:rPr>
          <w:rFonts w:ascii="Times New Roman" w:hAnsi="Times New Roman" w:eastAsia="宋体" w:cs="Times New Roman"/>
          <w:color w:val="auto"/>
          <w:sz w:val="24"/>
        </w:rPr>
        <w:fldChar w:fldCharType="separate"/>
      </w:r>
      <w:r>
        <w:rPr>
          <w:sz w:val="24"/>
        </w:rPr>
        <w:t>④</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清水脱气及pH值调节</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由于渗滤液中含有一定的溶解性气体，而反渗透膜可以脱除溶解性的离子而不能脱除溶解性的气体，就可能导致反渗透膜产水pH值会稍低于排放要求，经脱气塔脱除透过液中溶解的酸性气体后，pH值能显著上升，若经脱气塔后的清水pH值仍低于排放要求，此时系统将自动加少量碱回调pH值至标准要求。由于出水经脱气塔脱气处理，只需加微量的碱液即能达到标准要求。</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出水pH回调在清水罐中进行，清水排放管中安装有pH值传感器，PLC判断出水pH值并自动调节计量泵的频率以调整加碱量，最终使排水pH值达到处理要求。</w:t>
      </w:r>
    </w:p>
    <w:p>
      <w:pPr>
        <w:pStyle w:val="38"/>
        <w:spacing w:line="480" w:lineRule="exact"/>
        <w:ind w:firstLine="482" w:firstLineChars="20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5 \* GB3 \* MERGEFORMAT </w:instrText>
      </w:r>
      <w:r>
        <w:rPr>
          <w:rFonts w:ascii="Times New Roman" w:hAnsi="Times New Roman" w:eastAsia="宋体" w:cs="Times New Roman"/>
          <w:color w:val="auto"/>
          <w:sz w:val="24"/>
        </w:rPr>
        <w:fldChar w:fldCharType="separate"/>
      </w:r>
      <w:r>
        <w:rPr>
          <w:sz w:val="24"/>
        </w:rPr>
        <w:t>⑤</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设备的冲洗和清洗</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膜组的清洗包括</w:t>
      </w:r>
      <w:r>
        <w:rPr>
          <w:rFonts w:hint="eastAsia" w:ascii="Times New Roman" w:hAnsi="Times New Roman" w:eastAsia="宋体" w:cs="Times New Roman"/>
          <w:b w:val="0"/>
          <w:bCs w:val="0"/>
          <w:color w:val="auto"/>
          <w:sz w:val="24"/>
        </w:rPr>
        <w:t>系统</w:t>
      </w:r>
      <w:r>
        <w:rPr>
          <w:rFonts w:ascii="Times New Roman" w:hAnsi="Times New Roman" w:eastAsia="宋体" w:cs="Times New Roman"/>
          <w:b w:val="0"/>
          <w:bCs w:val="0"/>
          <w:color w:val="auto"/>
          <w:sz w:val="24"/>
        </w:rPr>
        <w:t>冲洗和化学清洗两种。</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系统冲洗：膜组的冲洗在每次系统关闭时进行，在正常开机运行状态下需要停机时，一般都采取先冲洗后再停机模式。系统故障时自动停机，也执行冲洗程序。冲洗的主要目的是防止渗滤液中的污染物在膜片表面沉积。冲洗分为两种，一种是用渗滤液冲洗，一种是净水冲洗，两种冲洗的时间都可以在操作界面上设定，一般为2－5分钟。</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化学清洗：为保持膜片的性能，膜组应该定期进行化学清洗。清洗剂分酸性清洗剂和碱性清洗剂两种，碱性清洗剂的主要作用是清除有机物的污染，酸性清洗剂的主要作用是清除无机物污染。</w:t>
      </w:r>
    </w:p>
    <w:p>
      <w:pPr>
        <w:pStyle w:val="38"/>
        <w:spacing w:line="240" w:lineRule="auto"/>
        <w:ind w:firstLine="0" w:firstLineChars="0"/>
        <w:rPr>
          <w:rFonts w:ascii="Times New Roman" w:hAnsi="Times New Roman" w:eastAsia="宋体" w:cs="Times New Roman"/>
          <w:color w:val="auto"/>
          <w:sz w:val="24"/>
        </w:rPr>
      </w:pPr>
      <w:r>
        <w:rPr>
          <w:rFonts w:ascii="Times New Roman" w:hAnsi="Times New Roman" w:eastAsia="宋体" w:cs="Times New Roman"/>
          <w:color w:val="auto"/>
          <w:sz w:val="24"/>
        </w:rPr>
        <w:drawing>
          <wp:inline distT="0" distB="0" distL="114300" distR="114300">
            <wp:extent cx="5274310" cy="2693035"/>
            <wp:effectExtent l="0" t="0" r="2540" b="12065"/>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101" cstate="print"/>
                    <a:stretch>
                      <a:fillRect/>
                    </a:stretch>
                  </pic:blipFill>
                  <pic:spPr>
                    <a:xfrm>
                      <a:off x="0" y="0"/>
                      <a:ext cx="5274310" cy="2693035"/>
                    </a:xfrm>
                    <a:prstGeom prst="rect">
                      <a:avLst/>
                    </a:prstGeom>
                  </pic:spPr>
                </pic:pic>
              </a:graphicData>
            </a:graphic>
          </wp:inline>
        </w:drawing>
      </w:r>
    </w:p>
    <w:p>
      <w:pPr>
        <w:pStyle w:val="38"/>
        <w:spacing w:line="240" w:lineRule="auto"/>
        <w:ind w:firstLine="0" w:firstLineChars="0"/>
        <w:jc w:val="center"/>
        <w:rPr>
          <w:rFonts w:ascii="Times New Roman" w:hAnsi="Times New Roman" w:eastAsia="宋体" w:cs="Times New Roman"/>
          <w:color w:val="auto"/>
          <w:sz w:val="24"/>
        </w:rPr>
      </w:pPr>
      <w:r>
        <w:rPr>
          <w:rFonts w:ascii="Times New Roman" w:hAnsi="Times New Roman" w:eastAsia="宋体" w:cs="Times New Roman"/>
          <w:color w:val="auto"/>
          <w:sz w:val="24"/>
        </w:rPr>
        <w:t>项目渗滤液处理工艺流程图</w:t>
      </w:r>
    </w:p>
    <w:p>
      <w:pPr>
        <w:spacing w:line="480" w:lineRule="exact"/>
        <w:ind w:left="420" w:leftChars="200"/>
        <w:jc w:val="left"/>
        <w:rPr>
          <w:b/>
          <w:bCs/>
          <w:sz w:val="24"/>
        </w:rPr>
      </w:pPr>
      <w:r>
        <w:rPr>
          <w:b/>
          <w:bCs/>
          <w:sz w:val="24"/>
        </w:rPr>
        <w:t>2、渗滤液处理工艺选择的合理性</w:t>
      </w:r>
    </w:p>
    <w:p>
      <w:pPr>
        <w:pStyle w:val="10"/>
        <w:spacing w:line="500" w:lineRule="exact"/>
        <w:ind w:firstLine="480"/>
        <w:jc w:val="left"/>
        <w:rPr>
          <w:sz w:val="24"/>
          <w:szCs w:val="24"/>
        </w:rPr>
      </w:pPr>
      <w:r>
        <w:rPr>
          <w:rFonts w:hint="eastAsia"/>
          <w:sz w:val="24"/>
          <w:szCs w:val="24"/>
        </w:rPr>
        <w:t>一般情况下，新建生活填埋场按照填埋气组成等参数可以大致分为五个阶段，第一阶段为好氧阶段，导气管中引出的气体主要为空气，此时产生的渗滤液COD浓度较高，氨氮浓度较低，可生化性较好；第二阶段为酸化阶段，垃圾堆体中以酸化反应为主，填埋气主要为氮气、二氧化碳、氢气，渗滤液水质与第一阶段类似；第三阶段为不稳定的产甲烷段，堆体中厌氧产甲烷菌开始逐渐成为优势菌种，甲烷气体的比重开始上升，渗滤液中的有机物开始下降，相反由厌氧分解蛋白质等含氮物质产生的铵盐开始上升，渗滤液的可生化性下降；第四阶段为稳定的产甲烷阶段，填埋气主要由二氧化碳和甲烷组成，渗滤液的可生化性已经比较差，易于生化的有机物急剧下降；到最后一个阶段即结束阶段，垃圾中的有机物已经分解殆尽，此时的渗滤液已不具备可生化性。</w:t>
      </w:r>
    </w:p>
    <w:p>
      <w:pPr>
        <w:pStyle w:val="10"/>
        <w:spacing w:line="500" w:lineRule="exact"/>
        <w:ind w:firstLine="480"/>
        <w:jc w:val="left"/>
        <w:rPr>
          <w:sz w:val="24"/>
          <w:szCs w:val="24"/>
        </w:rPr>
      </w:pPr>
      <w:r>
        <w:rPr>
          <w:rFonts w:hint="eastAsia"/>
          <w:sz w:val="24"/>
          <w:szCs w:val="24"/>
        </w:rPr>
        <w:t>本项目为新建工程，场地渗滤液水质将完整经历上述5个阶段，水质变化相对较大，要求渗滤液处理系统既可以处理前期浓度高可生化性好的渗滤液，又可以处理三五年后浓度低但可生化性差的渗滤液，保证系统出水稳定达标。由于进入到第三阶段后，渗滤液的碳氮比也开始下降，逐渐失衡，采用生化处理脱氮将越来越困难，根据以上情况，为保证渗滤液处理系统能在不同时期都稳定有效运行，本项目选择“预处理+两级DTRO反渗透”的处理工艺，该处理工艺技术成熟、运行管理方便，被广泛采用。</w:t>
      </w:r>
    </w:p>
    <w:p>
      <w:pPr>
        <w:pStyle w:val="38"/>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根据《排污许可证申请与核发技术规范 环境卫生管理业》（HJ1106-2020）附录A中的表</w:t>
      </w:r>
      <w:r>
        <w:rPr>
          <w:rFonts w:hint="eastAsia" w:ascii="Times New Roman" w:hAnsi="Times New Roman" w:eastAsia="宋体" w:cs="Times New Roman"/>
          <w:b w:val="0"/>
          <w:bCs w:val="0"/>
          <w:color w:val="auto"/>
          <w:sz w:val="24"/>
        </w:rPr>
        <w:t>A.2，废水治理可行技术如下表所示。</w:t>
      </w:r>
    </w:p>
    <w:p>
      <w:pPr>
        <w:autoSpaceDE w:val="0"/>
        <w:autoSpaceDN w:val="0"/>
        <w:adjustRightInd w:val="0"/>
        <w:spacing w:line="500" w:lineRule="exact"/>
        <w:jc w:val="center"/>
        <w:rPr>
          <w:b/>
          <w:bCs/>
          <w:sz w:val="24"/>
        </w:rPr>
      </w:pPr>
      <w:r>
        <w:rPr>
          <w:b/>
          <w:bCs/>
          <w:sz w:val="24"/>
        </w:rPr>
        <w:t>表</w:t>
      </w:r>
      <w:r>
        <w:rPr>
          <w:rFonts w:hint="eastAsia"/>
          <w:b/>
          <w:bCs/>
          <w:sz w:val="24"/>
        </w:rPr>
        <w:t>6</w:t>
      </w:r>
      <w:r>
        <w:rPr>
          <w:b/>
          <w:bCs/>
          <w:sz w:val="24"/>
        </w:rPr>
        <w:t>.2-</w:t>
      </w:r>
      <w:r>
        <w:rPr>
          <w:rFonts w:hint="eastAsia"/>
          <w:b/>
          <w:bCs/>
          <w:sz w:val="24"/>
        </w:rPr>
        <w:t>2  废水治理可行技术参考表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18"/>
        <w:gridCol w:w="2072"/>
        <w:gridCol w:w="2991"/>
        <w:gridCol w:w="23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atLeast"/>
          <w:jc w:val="center"/>
        </w:trPr>
        <w:tc>
          <w:tcPr>
            <w:tcW w:w="656"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废水类别</w:t>
            </w:r>
          </w:p>
        </w:tc>
        <w:tc>
          <w:tcPr>
            <w:tcW w:w="2971" w:type="pct"/>
            <w:gridSpan w:val="2"/>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可行技术（参考）</w:t>
            </w:r>
          </w:p>
        </w:tc>
        <w:tc>
          <w:tcPr>
            <w:tcW w:w="1372"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本项目措施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56" w:type="pct"/>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渗滤液</w:t>
            </w:r>
          </w:p>
        </w:tc>
        <w:tc>
          <w:tcPr>
            <w:tcW w:w="1216"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预处理+生物处理+深度处理；</w:t>
            </w:r>
          </w:p>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预处理+深度处理；生物处理+深度处理</w:t>
            </w:r>
          </w:p>
        </w:tc>
        <w:tc>
          <w:tcPr>
            <w:tcW w:w="1754" w:type="pct"/>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
                <w:szCs w:val="21"/>
              </w:rPr>
              <w:t>预处理</w:t>
            </w:r>
            <w:r>
              <w:rPr>
                <w:rFonts w:hint="eastAsia" w:asciiTheme="minorEastAsia" w:hAnsiTheme="minorEastAsia" w:eastAsiaTheme="minorEastAsia" w:cstheme="minorEastAsia"/>
                <w:bCs w:val="0"/>
                <w:szCs w:val="21"/>
              </w:rPr>
              <w:t>：水解酸化、混凝沉淀、砂滤等</w:t>
            </w:r>
          </w:p>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
                <w:szCs w:val="21"/>
              </w:rPr>
              <w:t>生物处理</w:t>
            </w:r>
            <w:r>
              <w:rPr>
                <w:rFonts w:hint="eastAsia" w:asciiTheme="minorEastAsia" w:hAnsiTheme="minorEastAsia" w:eastAsiaTheme="minorEastAsia" w:cstheme="minorEastAsia"/>
                <w:bCs w:val="0"/>
                <w:szCs w:val="21"/>
              </w:rPr>
              <w:t>：氧化沟、纯氧曝气反应器、膜生物反应器、序批式生物反应器、生物滤池、接触氧化法、生物转盘法、上流式厌氧污泥床法等</w:t>
            </w:r>
          </w:p>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
                <w:szCs w:val="21"/>
              </w:rPr>
              <w:t>深度处理</w:t>
            </w:r>
            <w:r>
              <w:rPr>
                <w:rFonts w:hint="eastAsia" w:asciiTheme="minorEastAsia" w:hAnsiTheme="minorEastAsia" w:eastAsiaTheme="minorEastAsia" w:cstheme="minorEastAsia"/>
                <w:bCs w:val="0"/>
                <w:szCs w:val="21"/>
              </w:rPr>
              <w:t>：纳滤、反渗透等膜分离法，吸附过滤，混凝沉淀，高级化学氧化等</w:t>
            </w:r>
          </w:p>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
                <w:szCs w:val="21"/>
              </w:rPr>
              <w:t>消毒</w:t>
            </w:r>
            <w:r>
              <w:rPr>
                <w:rFonts w:hint="eastAsia" w:asciiTheme="minorEastAsia" w:hAnsiTheme="minorEastAsia" w:eastAsiaTheme="minorEastAsia" w:cstheme="minorEastAsia"/>
                <w:bCs w:val="0"/>
                <w:szCs w:val="21"/>
              </w:rPr>
              <w:t>：加氯法、紫外线消毒法</w:t>
            </w:r>
          </w:p>
        </w:tc>
        <w:tc>
          <w:tcPr>
            <w:tcW w:w="1372"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预处理（砂滤+芯滤）+深度处理（两级DTRO膜法）</w:t>
            </w:r>
          </w:p>
        </w:tc>
      </w:tr>
    </w:tbl>
    <w:p>
      <w:pPr>
        <w:pStyle w:val="38"/>
        <w:spacing w:line="480" w:lineRule="exact"/>
        <w:ind w:firstLine="480" w:firstLineChars="200"/>
        <w:rPr>
          <w:rFonts w:ascii="Times New Roman" w:hAnsi="Times New Roman" w:eastAsia="宋体" w:cs="Times New Roman"/>
          <w:b w:val="0"/>
          <w:bCs w:val="0"/>
          <w:color w:val="auto"/>
          <w:sz w:val="24"/>
          <w:lang w:val="zh-CN"/>
        </w:rPr>
      </w:pPr>
      <w:r>
        <w:rPr>
          <w:rFonts w:hint="eastAsia" w:ascii="Times New Roman" w:hAnsi="Times New Roman" w:eastAsia="宋体" w:cs="Times New Roman"/>
          <w:b w:val="0"/>
          <w:bCs w:val="0"/>
          <w:color w:val="auto"/>
          <w:sz w:val="24"/>
          <w:lang w:val="zh-CN"/>
        </w:rPr>
        <w:t>本项目渗滤液设计处理效果详见下表。</w:t>
      </w:r>
    </w:p>
    <w:p>
      <w:pPr>
        <w:spacing w:line="480" w:lineRule="exact"/>
        <w:jc w:val="center"/>
        <w:rPr>
          <w:rFonts w:eastAsiaTheme="minorEastAsia"/>
          <w:b/>
          <w:sz w:val="24"/>
        </w:rPr>
      </w:pPr>
    </w:p>
    <w:p>
      <w:pPr>
        <w:spacing w:line="480" w:lineRule="exact"/>
        <w:jc w:val="center"/>
        <w:rPr>
          <w:rFonts w:eastAsiaTheme="minorEastAsia"/>
          <w:b/>
          <w:sz w:val="24"/>
        </w:rPr>
      </w:pPr>
    </w:p>
    <w:p>
      <w:pPr>
        <w:spacing w:line="480" w:lineRule="exact"/>
        <w:jc w:val="center"/>
        <w:rPr>
          <w:rFonts w:eastAsiaTheme="minorEastAsia"/>
          <w:b/>
          <w:sz w:val="24"/>
        </w:rPr>
      </w:pPr>
      <w:r>
        <w:rPr>
          <w:rFonts w:eastAsiaTheme="minorEastAsia"/>
          <w:b/>
          <w:sz w:val="24"/>
        </w:rPr>
        <w:t>表</w:t>
      </w:r>
      <w:r>
        <w:rPr>
          <w:rFonts w:hint="eastAsia" w:eastAsiaTheme="minorEastAsia"/>
          <w:b/>
          <w:sz w:val="24"/>
        </w:rPr>
        <w:t>6</w:t>
      </w:r>
      <w:r>
        <w:rPr>
          <w:rFonts w:eastAsiaTheme="minorEastAsia"/>
          <w:b/>
          <w:sz w:val="24"/>
        </w:rPr>
        <w:t>.2-</w:t>
      </w:r>
      <w:r>
        <w:rPr>
          <w:rFonts w:hint="eastAsia" w:eastAsiaTheme="minorEastAsia"/>
          <w:b/>
          <w:sz w:val="24"/>
        </w:rPr>
        <w:t>3  项目渗滤液处理</w:t>
      </w:r>
      <w:r>
        <w:rPr>
          <w:rFonts w:eastAsiaTheme="minorEastAsia"/>
          <w:b/>
          <w:sz w:val="24"/>
        </w:rPr>
        <w:t>各工艺段</w:t>
      </w:r>
      <w:r>
        <w:rPr>
          <w:rFonts w:hint="eastAsia" w:eastAsiaTheme="minorEastAsia"/>
          <w:b/>
          <w:sz w:val="24"/>
        </w:rPr>
        <w:t>设计</w:t>
      </w:r>
      <w:r>
        <w:rPr>
          <w:rFonts w:eastAsiaTheme="minorEastAsia"/>
          <w:b/>
          <w:sz w:val="24"/>
        </w:rPr>
        <w:t>去除效果</w:t>
      </w:r>
    </w:p>
    <w:tbl>
      <w:tblPr>
        <w:tblStyle w:val="29"/>
        <w:tblW w:w="8522" w:type="dxa"/>
        <w:jc w:val="righ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81"/>
        <w:gridCol w:w="1200"/>
        <w:gridCol w:w="1073"/>
        <w:gridCol w:w="1073"/>
        <w:gridCol w:w="976"/>
        <w:gridCol w:w="1040"/>
        <w:gridCol w:w="1106"/>
        <w:gridCol w:w="10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blHeader/>
          <w:jc w:val="right"/>
        </w:trPr>
        <w:tc>
          <w:tcPr>
            <w:tcW w:w="981"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工艺段</w:t>
            </w: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项目</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COD</w:t>
            </w:r>
            <w:r>
              <w:rPr>
                <w:rFonts w:eastAsiaTheme="minorEastAsia"/>
                <w:szCs w:val="21"/>
                <w:vertAlign w:val="subscript"/>
              </w:rPr>
              <w:t>cr</w:t>
            </w:r>
          </w:p>
          <w:p>
            <w:pPr>
              <w:tabs>
                <w:tab w:val="left" w:pos="640"/>
              </w:tabs>
              <w:adjustRightInd w:val="0"/>
              <w:spacing w:line="240" w:lineRule="exact"/>
              <w:jc w:val="center"/>
              <w:rPr>
                <w:rFonts w:eastAsiaTheme="minorEastAsia"/>
                <w:szCs w:val="21"/>
              </w:rPr>
            </w:pPr>
            <w:r>
              <w:rPr>
                <w:rFonts w:eastAsiaTheme="minorEastAsia"/>
                <w:szCs w:val="21"/>
              </w:rPr>
              <w:t>(mg/L)</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BOD</w:t>
            </w:r>
            <w:r>
              <w:rPr>
                <w:rFonts w:eastAsiaTheme="minorEastAsia"/>
                <w:szCs w:val="21"/>
                <w:vertAlign w:val="subscript"/>
              </w:rPr>
              <w:t>5</w:t>
            </w:r>
          </w:p>
          <w:p>
            <w:pPr>
              <w:tabs>
                <w:tab w:val="left" w:pos="640"/>
              </w:tabs>
              <w:adjustRightInd w:val="0"/>
              <w:spacing w:line="240" w:lineRule="exact"/>
              <w:jc w:val="center"/>
              <w:rPr>
                <w:rFonts w:eastAsiaTheme="minorEastAsia"/>
                <w:szCs w:val="21"/>
              </w:rPr>
            </w:pPr>
            <w:r>
              <w:rPr>
                <w:rFonts w:eastAsiaTheme="minorEastAsia"/>
                <w:szCs w:val="21"/>
              </w:rPr>
              <w:t>(mg/L)</w:t>
            </w:r>
          </w:p>
        </w:tc>
        <w:tc>
          <w:tcPr>
            <w:tcW w:w="97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p>
            <w:pPr>
              <w:tabs>
                <w:tab w:val="left" w:pos="640"/>
              </w:tabs>
              <w:adjustRightInd w:val="0"/>
              <w:spacing w:line="240" w:lineRule="exact"/>
              <w:jc w:val="center"/>
              <w:rPr>
                <w:rFonts w:eastAsiaTheme="minorEastAsia"/>
                <w:szCs w:val="21"/>
              </w:rPr>
            </w:pPr>
            <w:r>
              <w:rPr>
                <w:rFonts w:eastAsiaTheme="minorEastAsia"/>
                <w:szCs w:val="21"/>
              </w:rPr>
              <w:t>(mg/L)</w:t>
            </w:r>
          </w:p>
        </w:tc>
        <w:tc>
          <w:tcPr>
            <w:tcW w:w="104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TN</w:t>
            </w:r>
          </w:p>
          <w:p>
            <w:pPr>
              <w:tabs>
                <w:tab w:val="left" w:pos="640"/>
              </w:tabs>
              <w:adjustRightInd w:val="0"/>
              <w:spacing w:line="240" w:lineRule="exact"/>
              <w:jc w:val="center"/>
              <w:rPr>
                <w:rFonts w:eastAsiaTheme="minorEastAsia"/>
                <w:szCs w:val="21"/>
              </w:rPr>
            </w:pPr>
            <w:r>
              <w:rPr>
                <w:rFonts w:eastAsiaTheme="minorEastAsia"/>
                <w:szCs w:val="21"/>
              </w:rPr>
              <w:t>(mg/L)</w:t>
            </w:r>
          </w:p>
        </w:tc>
        <w:tc>
          <w:tcPr>
            <w:tcW w:w="110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pH值</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SS</w:t>
            </w:r>
          </w:p>
          <w:p>
            <w:pPr>
              <w:tabs>
                <w:tab w:val="left" w:pos="640"/>
              </w:tabs>
              <w:adjustRightInd w:val="0"/>
              <w:spacing w:line="240" w:lineRule="exact"/>
              <w:jc w:val="center"/>
              <w:rPr>
                <w:rFonts w:eastAsiaTheme="minorEastAsia"/>
                <w:szCs w:val="21"/>
              </w:rPr>
            </w:pPr>
            <w:r>
              <w:rPr>
                <w:rFonts w:eastAsiaTheme="minorEastAsia"/>
                <w:szCs w:val="21"/>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restart"/>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砂滤+芯虑</w:t>
            </w: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进水</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≤20000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7500</w:t>
            </w:r>
          </w:p>
        </w:tc>
        <w:tc>
          <w:tcPr>
            <w:tcW w:w="97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1250</w:t>
            </w:r>
          </w:p>
        </w:tc>
        <w:tc>
          <w:tcPr>
            <w:tcW w:w="1040"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1500</w:t>
            </w:r>
          </w:p>
        </w:tc>
        <w:tc>
          <w:tcPr>
            <w:tcW w:w="110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6.0-8.0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continue"/>
            <w:tcBorders>
              <w:tl2br w:val="nil"/>
              <w:tr2bl w:val="nil"/>
            </w:tcBorders>
            <w:vAlign w:val="center"/>
          </w:tcPr>
          <w:p>
            <w:pPr>
              <w:tabs>
                <w:tab w:val="left" w:pos="640"/>
              </w:tabs>
              <w:adjustRightInd w:val="0"/>
              <w:spacing w:line="240" w:lineRule="exact"/>
              <w:jc w:val="center"/>
              <w:rPr>
                <w:rFonts w:eastAsiaTheme="minorEastAsia"/>
                <w:szCs w:val="21"/>
              </w:rPr>
            </w:pP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出水</w:t>
            </w:r>
          </w:p>
        </w:tc>
        <w:tc>
          <w:tcPr>
            <w:tcW w:w="1073" w:type="dxa"/>
            <w:tcBorders>
              <w:tl2br w:val="nil"/>
              <w:tr2bl w:val="nil"/>
            </w:tcBorders>
            <w:vAlign w:val="center"/>
          </w:tcPr>
          <w:p>
            <w:pPr>
              <w:tabs>
                <w:tab w:val="left" w:pos="640"/>
              </w:tabs>
              <w:adjustRightInd w:val="0"/>
              <w:spacing w:line="288" w:lineRule="auto"/>
              <w:ind w:firstLine="210" w:firstLineChars="100"/>
              <w:rPr>
                <w:rFonts w:eastAsiaTheme="minorEastAsia"/>
                <w:szCs w:val="21"/>
              </w:rPr>
            </w:pPr>
            <w:r>
              <w:rPr>
                <w:szCs w:val="21"/>
              </w:rPr>
              <w:t>≤20000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7500</w:t>
            </w:r>
          </w:p>
        </w:tc>
        <w:tc>
          <w:tcPr>
            <w:tcW w:w="97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1250</w:t>
            </w:r>
          </w:p>
        </w:tc>
        <w:tc>
          <w:tcPr>
            <w:tcW w:w="1040"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1500</w:t>
            </w:r>
          </w:p>
        </w:tc>
        <w:tc>
          <w:tcPr>
            <w:tcW w:w="110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6.0-8.0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continue"/>
            <w:tcBorders>
              <w:tl2br w:val="nil"/>
              <w:tr2bl w:val="nil"/>
            </w:tcBorders>
            <w:vAlign w:val="center"/>
          </w:tcPr>
          <w:p>
            <w:pPr>
              <w:tabs>
                <w:tab w:val="left" w:pos="640"/>
              </w:tabs>
              <w:adjustRightInd w:val="0"/>
              <w:spacing w:line="240" w:lineRule="exact"/>
              <w:jc w:val="center"/>
              <w:rPr>
                <w:rFonts w:eastAsiaTheme="minorEastAsia"/>
                <w:szCs w:val="21"/>
              </w:rPr>
            </w:pP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去除率</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hint="eastAsia" w:eastAsiaTheme="minorEastAsia"/>
                <w:szCs w:val="21"/>
              </w:rPr>
              <w:t>0</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hint="eastAsia" w:eastAsiaTheme="minorEastAsia"/>
                <w:szCs w:val="21"/>
              </w:rPr>
              <w:t>0</w:t>
            </w:r>
          </w:p>
        </w:tc>
        <w:tc>
          <w:tcPr>
            <w:tcW w:w="97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hint="eastAsia" w:eastAsiaTheme="minorEastAsia"/>
                <w:szCs w:val="21"/>
              </w:rPr>
              <w:t>0</w:t>
            </w:r>
          </w:p>
        </w:tc>
        <w:tc>
          <w:tcPr>
            <w:tcW w:w="104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hint="eastAsia" w:eastAsiaTheme="minorEastAsia"/>
                <w:szCs w:val="21"/>
              </w:rPr>
              <w:t>0</w:t>
            </w:r>
          </w:p>
        </w:tc>
        <w:tc>
          <w:tcPr>
            <w:tcW w:w="110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w:t>
            </w:r>
            <w:r>
              <w:rPr>
                <w:rFonts w:hint="eastAsia" w:eastAsiaTheme="minorEastAsia"/>
                <w:szCs w:val="21"/>
              </w:rPr>
              <w:t>90</w:t>
            </w:r>
            <w:r>
              <w:rPr>
                <w:rFonts w:eastAsiaTheme="minorEastAsia"/>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restart"/>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一级DTRO</w:t>
            </w: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进水</w:t>
            </w:r>
          </w:p>
        </w:tc>
        <w:tc>
          <w:tcPr>
            <w:tcW w:w="1073" w:type="dxa"/>
            <w:tcBorders>
              <w:tl2br w:val="nil"/>
              <w:tr2bl w:val="nil"/>
            </w:tcBorders>
            <w:vAlign w:val="center"/>
          </w:tcPr>
          <w:p>
            <w:pPr>
              <w:tabs>
                <w:tab w:val="left" w:pos="640"/>
              </w:tabs>
              <w:adjustRightInd w:val="0"/>
              <w:spacing w:line="288" w:lineRule="auto"/>
              <w:ind w:firstLine="210" w:firstLineChars="100"/>
              <w:rPr>
                <w:rFonts w:eastAsiaTheme="minorEastAsia"/>
                <w:szCs w:val="21"/>
              </w:rPr>
            </w:pPr>
            <w:r>
              <w:rPr>
                <w:szCs w:val="21"/>
              </w:rPr>
              <w:t>≤20000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7500</w:t>
            </w:r>
          </w:p>
        </w:tc>
        <w:tc>
          <w:tcPr>
            <w:tcW w:w="97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1250</w:t>
            </w:r>
          </w:p>
        </w:tc>
        <w:tc>
          <w:tcPr>
            <w:tcW w:w="1040"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szCs w:val="21"/>
              </w:rPr>
              <w:t>1500</w:t>
            </w:r>
          </w:p>
        </w:tc>
        <w:tc>
          <w:tcPr>
            <w:tcW w:w="110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6.0-8.0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rFonts w:hint="eastAsia" w:eastAsiaTheme="minorEastAsia"/>
                <w:szCs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continue"/>
            <w:tcBorders>
              <w:tl2br w:val="nil"/>
              <w:tr2bl w:val="nil"/>
            </w:tcBorders>
            <w:vAlign w:val="center"/>
          </w:tcPr>
          <w:p>
            <w:pPr>
              <w:tabs>
                <w:tab w:val="left" w:pos="640"/>
              </w:tabs>
              <w:adjustRightInd w:val="0"/>
              <w:spacing w:line="240" w:lineRule="exact"/>
              <w:jc w:val="center"/>
              <w:rPr>
                <w:rFonts w:eastAsiaTheme="minorEastAsia"/>
                <w:szCs w:val="21"/>
              </w:rPr>
            </w:pP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出水</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≤800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300</w:t>
            </w:r>
          </w:p>
        </w:tc>
        <w:tc>
          <w:tcPr>
            <w:tcW w:w="97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87.5</w:t>
            </w:r>
          </w:p>
        </w:tc>
        <w:tc>
          <w:tcPr>
            <w:tcW w:w="1040"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105</w:t>
            </w:r>
          </w:p>
        </w:tc>
        <w:tc>
          <w:tcPr>
            <w:tcW w:w="110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6.0-8.0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rFonts w:hint="eastAsia" w:eastAsiaTheme="minorEastAsia"/>
                <w:szCs w:val="21"/>
              </w:rPr>
              <w:t>&lt;1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continue"/>
            <w:tcBorders>
              <w:tl2br w:val="nil"/>
              <w:tr2bl w:val="nil"/>
            </w:tcBorders>
            <w:vAlign w:val="center"/>
          </w:tcPr>
          <w:p>
            <w:pPr>
              <w:tabs>
                <w:tab w:val="left" w:pos="640"/>
              </w:tabs>
              <w:adjustRightInd w:val="0"/>
              <w:spacing w:line="240" w:lineRule="exact"/>
              <w:jc w:val="center"/>
              <w:rPr>
                <w:rFonts w:eastAsiaTheme="minorEastAsia"/>
                <w:szCs w:val="21"/>
              </w:rPr>
            </w:pP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去除率</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＞96%</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＞96%</w:t>
            </w:r>
          </w:p>
        </w:tc>
        <w:tc>
          <w:tcPr>
            <w:tcW w:w="97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＞93%</w:t>
            </w:r>
          </w:p>
        </w:tc>
        <w:tc>
          <w:tcPr>
            <w:tcW w:w="104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＞93%</w:t>
            </w:r>
          </w:p>
        </w:tc>
        <w:tc>
          <w:tcPr>
            <w:tcW w:w="110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restart"/>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二级DTRO</w:t>
            </w: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进水</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≤800</w:t>
            </w:r>
          </w:p>
        </w:tc>
        <w:tc>
          <w:tcPr>
            <w:tcW w:w="1073"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300</w:t>
            </w:r>
          </w:p>
        </w:tc>
        <w:tc>
          <w:tcPr>
            <w:tcW w:w="97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87.5</w:t>
            </w:r>
          </w:p>
        </w:tc>
        <w:tc>
          <w:tcPr>
            <w:tcW w:w="1040"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w:t>
            </w:r>
            <w:r>
              <w:rPr>
                <w:rFonts w:hint="eastAsia" w:eastAsiaTheme="minorEastAsia"/>
                <w:szCs w:val="21"/>
              </w:rPr>
              <w:t>105</w:t>
            </w:r>
          </w:p>
        </w:tc>
        <w:tc>
          <w:tcPr>
            <w:tcW w:w="1106" w:type="dxa"/>
            <w:tcBorders>
              <w:tl2br w:val="nil"/>
              <w:tr2bl w:val="nil"/>
            </w:tcBorders>
            <w:vAlign w:val="center"/>
          </w:tcPr>
          <w:p>
            <w:pPr>
              <w:tabs>
                <w:tab w:val="left" w:pos="640"/>
              </w:tabs>
              <w:adjustRightInd w:val="0"/>
              <w:spacing w:line="288" w:lineRule="auto"/>
              <w:jc w:val="center"/>
              <w:rPr>
                <w:rFonts w:eastAsiaTheme="minorEastAsia"/>
                <w:szCs w:val="21"/>
              </w:rPr>
            </w:pPr>
            <w:r>
              <w:rPr>
                <w:szCs w:val="21"/>
              </w:rPr>
              <w:t>6.0-8.0</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hint="eastAsia" w:eastAsiaTheme="minorEastAsia"/>
                <w:szCs w:val="21"/>
              </w:rPr>
              <w:t>&lt;1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continue"/>
            <w:tcBorders>
              <w:tl2br w:val="nil"/>
              <w:tr2bl w:val="nil"/>
            </w:tcBorders>
            <w:vAlign w:val="center"/>
          </w:tcPr>
          <w:p>
            <w:pPr>
              <w:tabs>
                <w:tab w:val="left" w:pos="640"/>
              </w:tabs>
              <w:adjustRightInd w:val="0"/>
              <w:spacing w:line="240" w:lineRule="exact"/>
              <w:jc w:val="center"/>
              <w:rPr>
                <w:rFonts w:eastAsiaTheme="minorEastAsia"/>
                <w:szCs w:val="21"/>
              </w:rPr>
            </w:pP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出水</w:t>
            </w:r>
          </w:p>
        </w:tc>
        <w:tc>
          <w:tcPr>
            <w:tcW w:w="1073" w:type="dxa"/>
            <w:tcBorders>
              <w:tl2br w:val="nil"/>
              <w:tr2bl w:val="nil"/>
            </w:tcBorders>
            <w:vAlign w:val="center"/>
          </w:tcPr>
          <w:p>
            <w:pPr>
              <w:tabs>
                <w:tab w:val="left" w:pos="640"/>
              </w:tabs>
              <w:adjustRightInd w:val="0"/>
              <w:spacing w:line="288" w:lineRule="auto"/>
              <w:jc w:val="center"/>
              <w:rPr>
                <w:rFonts w:eastAsiaTheme="minorEastAsia"/>
                <w:color w:val="FF0000"/>
                <w:szCs w:val="21"/>
              </w:rPr>
            </w:pPr>
            <w:r>
              <w:rPr>
                <w:szCs w:val="21"/>
              </w:rPr>
              <w:t>≤40</w:t>
            </w:r>
          </w:p>
        </w:tc>
        <w:tc>
          <w:tcPr>
            <w:tcW w:w="1073" w:type="dxa"/>
            <w:tcBorders>
              <w:tl2br w:val="nil"/>
              <w:tr2bl w:val="nil"/>
            </w:tcBorders>
            <w:vAlign w:val="center"/>
          </w:tcPr>
          <w:p>
            <w:pPr>
              <w:tabs>
                <w:tab w:val="left" w:pos="640"/>
              </w:tabs>
              <w:adjustRightInd w:val="0"/>
              <w:spacing w:line="288" w:lineRule="auto"/>
              <w:jc w:val="center"/>
              <w:rPr>
                <w:rFonts w:eastAsiaTheme="minorEastAsia"/>
                <w:color w:val="FF0000"/>
                <w:szCs w:val="21"/>
              </w:rPr>
            </w:pPr>
            <w:r>
              <w:rPr>
                <w:szCs w:val="21"/>
              </w:rPr>
              <w:t>≤</w:t>
            </w:r>
            <w:r>
              <w:rPr>
                <w:rFonts w:hint="eastAsia" w:eastAsiaTheme="minorEastAsia"/>
                <w:szCs w:val="21"/>
              </w:rPr>
              <w:t>15</w:t>
            </w:r>
          </w:p>
        </w:tc>
        <w:tc>
          <w:tcPr>
            <w:tcW w:w="976" w:type="dxa"/>
            <w:tcBorders>
              <w:tl2br w:val="nil"/>
              <w:tr2bl w:val="nil"/>
            </w:tcBorders>
            <w:vAlign w:val="center"/>
          </w:tcPr>
          <w:p>
            <w:pPr>
              <w:tabs>
                <w:tab w:val="left" w:pos="640"/>
              </w:tabs>
              <w:adjustRightInd w:val="0"/>
              <w:spacing w:line="288" w:lineRule="auto"/>
              <w:jc w:val="center"/>
              <w:rPr>
                <w:rFonts w:eastAsiaTheme="minorEastAsia"/>
                <w:color w:val="FF0000"/>
                <w:szCs w:val="21"/>
              </w:rPr>
            </w:pPr>
            <w:r>
              <w:rPr>
                <w:szCs w:val="21"/>
              </w:rPr>
              <w:t>≤</w:t>
            </w:r>
            <w:r>
              <w:rPr>
                <w:rFonts w:hint="eastAsia" w:eastAsiaTheme="minorEastAsia"/>
                <w:szCs w:val="21"/>
              </w:rPr>
              <w:t>8.75</w:t>
            </w:r>
          </w:p>
        </w:tc>
        <w:tc>
          <w:tcPr>
            <w:tcW w:w="1040" w:type="dxa"/>
            <w:tcBorders>
              <w:tl2br w:val="nil"/>
              <w:tr2bl w:val="nil"/>
            </w:tcBorders>
            <w:vAlign w:val="center"/>
          </w:tcPr>
          <w:p>
            <w:pPr>
              <w:tabs>
                <w:tab w:val="left" w:pos="640"/>
              </w:tabs>
              <w:adjustRightInd w:val="0"/>
              <w:spacing w:line="288" w:lineRule="auto"/>
              <w:jc w:val="center"/>
              <w:rPr>
                <w:rFonts w:eastAsiaTheme="minorEastAsia"/>
                <w:color w:val="FF0000"/>
                <w:szCs w:val="21"/>
              </w:rPr>
            </w:pPr>
            <w:r>
              <w:rPr>
                <w:szCs w:val="21"/>
              </w:rPr>
              <w:t>≤</w:t>
            </w:r>
            <w:r>
              <w:rPr>
                <w:rFonts w:hint="eastAsia" w:eastAsiaTheme="minorEastAsia"/>
                <w:szCs w:val="21"/>
              </w:rPr>
              <w:t>10.5</w:t>
            </w:r>
          </w:p>
        </w:tc>
        <w:tc>
          <w:tcPr>
            <w:tcW w:w="1106" w:type="dxa"/>
            <w:tcBorders>
              <w:tl2br w:val="nil"/>
              <w:tr2bl w:val="nil"/>
            </w:tcBorders>
            <w:vAlign w:val="center"/>
          </w:tcPr>
          <w:p>
            <w:pPr>
              <w:tabs>
                <w:tab w:val="left" w:pos="640"/>
              </w:tabs>
              <w:adjustRightInd w:val="0"/>
              <w:spacing w:line="288" w:lineRule="auto"/>
              <w:jc w:val="center"/>
              <w:rPr>
                <w:rFonts w:eastAsiaTheme="minorEastAsia"/>
                <w:color w:val="FF0000"/>
                <w:szCs w:val="21"/>
              </w:rPr>
            </w:pPr>
            <w:r>
              <w:rPr>
                <w:szCs w:val="21"/>
              </w:rPr>
              <w:t>6.0-8.0</w:t>
            </w:r>
          </w:p>
        </w:tc>
        <w:tc>
          <w:tcPr>
            <w:tcW w:w="1073" w:type="dxa"/>
            <w:tcBorders>
              <w:tl2br w:val="nil"/>
              <w:tr2bl w:val="nil"/>
            </w:tcBorders>
            <w:vAlign w:val="center"/>
          </w:tcPr>
          <w:p>
            <w:pPr>
              <w:tabs>
                <w:tab w:val="left" w:pos="640"/>
              </w:tabs>
              <w:adjustRightInd w:val="0"/>
              <w:spacing w:line="240" w:lineRule="exact"/>
              <w:jc w:val="center"/>
              <w:rPr>
                <w:rFonts w:eastAsiaTheme="minorEastAsia"/>
                <w:color w:val="FF0000"/>
                <w:szCs w:val="21"/>
              </w:rPr>
            </w:pPr>
            <w:r>
              <w:rPr>
                <w:rFonts w:hint="eastAsia" w:eastAsiaTheme="minorEastAsia"/>
                <w:szCs w:val="21"/>
              </w:rPr>
              <w:t>&lt;1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right"/>
        </w:trPr>
        <w:tc>
          <w:tcPr>
            <w:tcW w:w="981" w:type="dxa"/>
            <w:vMerge w:val="continue"/>
            <w:tcBorders>
              <w:tl2br w:val="nil"/>
              <w:tr2bl w:val="nil"/>
            </w:tcBorders>
            <w:vAlign w:val="center"/>
          </w:tcPr>
          <w:p>
            <w:pPr>
              <w:tabs>
                <w:tab w:val="left" w:pos="640"/>
              </w:tabs>
              <w:adjustRightInd w:val="0"/>
              <w:spacing w:line="240" w:lineRule="exact"/>
              <w:jc w:val="center"/>
              <w:rPr>
                <w:rFonts w:eastAsiaTheme="minorEastAsia"/>
                <w:szCs w:val="21"/>
              </w:rPr>
            </w:pPr>
          </w:p>
        </w:tc>
        <w:tc>
          <w:tcPr>
            <w:tcW w:w="120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去除率</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＞95%</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＞95%</w:t>
            </w:r>
          </w:p>
        </w:tc>
        <w:tc>
          <w:tcPr>
            <w:tcW w:w="97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＞90%</w:t>
            </w:r>
          </w:p>
        </w:tc>
        <w:tc>
          <w:tcPr>
            <w:tcW w:w="1040"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＞90%</w:t>
            </w:r>
          </w:p>
        </w:tc>
        <w:tc>
          <w:tcPr>
            <w:tcW w:w="1106"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w:t>
            </w:r>
          </w:p>
        </w:tc>
        <w:tc>
          <w:tcPr>
            <w:tcW w:w="1073" w:type="dxa"/>
            <w:tcBorders>
              <w:tl2br w:val="nil"/>
              <w:tr2bl w:val="nil"/>
            </w:tcBorders>
            <w:vAlign w:val="center"/>
          </w:tcPr>
          <w:p>
            <w:pPr>
              <w:tabs>
                <w:tab w:val="left" w:pos="640"/>
              </w:tabs>
              <w:adjustRightInd w:val="0"/>
              <w:spacing w:line="240" w:lineRule="exact"/>
              <w:jc w:val="center"/>
              <w:rPr>
                <w:rFonts w:eastAsiaTheme="minorEastAsia"/>
                <w:szCs w:val="21"/>
              </w:rPr>
            </w:pPr>
            <w:r>
              <w:rPr>
                <w:rFonts w:eastAsiaTheme="minorEastAsia"/>
                <w:szCs w:val="21"/>
              </w:rPr>
              <w:t>＞99%</w:t>
            </w:r>
          </w:p>
        </w:tc>
      </w:tr>
    </w:tbl>
    <w:p>
      <w:pPr>
        <w:pStyle w:val="38"/>
        <w:spacing w:line="480" w:lineRule="exact"/>
        <w:ind w:firstLine="480" w:firstLineChars="200"/>
        <w:rPr>
          <w:rFonts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zh-CN"/>
        </w:rPr>
        <w:t>另外，</w:t>
      </w:r>
      <w:r>
        <w:rPr>
          <w:rFonts w:ascii="Times New Roman" w:hAnsi="Times New Roman" w:eastAsia="宋体" w:cs="Times New Roman"/>
          <w:b w:val="0"/>
          <w:bCs w:val="0"/>
          <w:color w:val="auto"/>
          <w:sz w:val="24"/>
        </w:rPr>
        <w:t>2022年9月</w:t>
      </w:r>
      <w:r>
        <w:rPr>
          <w:rFonts w:hint="eastAsia" w:ascii="Times New Roman" w:hAnsi="Times New Roman" w:eastAsia="宋体" w:cs="Times New Roman"/>
          <w:b w:val="0"/>
          <w:bCs w:val="0"/>
          <w:color w:val="auto"/>
          <w:sz w:val="24"/>
        </w:rPr>
        <w:t>6</w:t>
      </w:r>
      <w:r>
        <w:rPr>
          <w:rFonts w:ascii="Times New Roman" w:hAnsi="Times New Roman" w:eastAsia="宋体" w:cs="Times New Roman"/>
          <w:b w:val="0"/>
          <w:bCs w:val="0"/>
          <w:color w:val="auto"/>
          <w:sz w:val="24"/>
        </w:rPr>
        <w:t>日、</w:t>
      </w:r>
      <w:r>
        <w:rPr>
          <w:rFonts w:hint="eastAsia" w:ascii="Times New Roman" w:hAnsi="Times New Roman" w:eastAsia="宋体" w:cs="Times New Roman"/>
          <w:b w:val="0"/>
          <w:bCs w:val="0"/>
          <w:color w:val="auto"/>
          <w:sz w:val="24"/>
        </w:rPr>
        <w:t>7</w:t>
      </w:r>
      <w:r>
        <w:rPr>
          <w:rFonts w:ascii="Times New Roman" w:hAnsi="Times New Roman" w:eastAsia="宋体" w:cs="Times New Roman"/>
          <w:b w:val="0"/>
          <w:bCs w:val="0"/>
          <w:color w:val="auto"/>
          <w:sz w:val="24"/>
        </w:rPr>
        <w:t>日，监测单位对</w:t>
      </w:r>
      <w:r>
        <w:rPr>
          <w:rFonts w:hint="eastAsia" w:ascii="Times New Roman" w:hAnsi="Times New Roman" w:eastAsia="宋体" w:cs="Times New Roman"/>
          <w:b w:val="0"/>
          <w:bCs w:val="0"/>
          <w:color w:val="auto"/>
          <w:sz w:val="24"/>
        </w:rPr>
        <w:t>本项目</w:t>
      </w:r>
      <w:r>
        <w:rPr>
          <w:rFonts w:ascii="Times New Roman" w:hAnsi="Times New Roman" w:eastAsia="宋体" w:cs="Times New Roman"/>
          <w:b w:val="0"/>
          <w:bCs w:val="0"/>
          <w:color w:val="auto"/>
          <w:sz w:val="24"/>
        </w:rPr>
        <w:t>渗滤液处理设施进、出口水质进行了检测，根据检测结果，出水水质满足《生活垃圾填埋场污染控制标准》(GB16889-2008)和《城市污水再生利用城市杂用水水质》(GB/T18920­2020)中城市绿化、道路清扫的标准要求</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具体详见表</w:t>
      </w:r>
      <w:r>
        <w:rPr>
          <w:rFonts w:hint="eastAsia" w:ascii="Times New Roman" w:hAnsi="Times New Roman" w:eastAsia="宋体" w:cs="Times New Roman"/>
          <w:b w:val="0"/>
          <w:bCs w:val="0"/>
          <w:color w:val="auto"/>
          <w:sz w:val="24"/>
        </w:rPr>
        <w:t>3.4-5）</w:t>
      </w:r>
      <w:r>
        <w:rPr>
          <w:rFonts w:hint="eastAsia" w:eastAsia="宋体" w:cs="Times New Roman"/>
          <w:b w:val="0"/>
          <w:bCs w:val="0"/>
          <w:color w:val="auto"/>
          <w:sz w:val="24"/>
        </w:rPr>
        <w:t>，本项目水污染处理工艺较为可行。</w:t>
      </w:r>
    </w:p>
    <w:p>
      <w:pPr>
        <w:spacing w:line="480" w:lineRule="exact"/>
        <w:ind w:firstLine="482" w:firstLineChars="200"/>
        <w:rPr>
          <w:b/>
          <w:bCs/>
          <w:sz w:val="24"/>
        </w:rPr>
      </w:pPr>
      <w:r>
        <w:rPr>
          <w:b/>
          <w:bCs/>
          <w:sz w:val="24"/>
        </w:rPr>
        <w:t>3、</w:t>
      </w:r>
      <w:r>
        <w:rPr>
          <w:b/>
          <w:bCs/>
          <w:sz w:val="24"/>
          <w:lang w:val="zh-CN"/>
        </w:rPr>
        <w:t>渗滤液调节池</w:t>
      </w:r>
      <w:r>
        <w:rPr>
          <w:rFonts w:hint="eastAsia"/>
          <w:b/>
          <w:bCs/>
          <w:sz w:val="24"/>
          <w:lang w:val="zh-CN"/>
        </w:rPr>
        <w:t>容积规模</w:t>
      </w:r>
    </w:p>
    <w:p>
      <w:pPr>
        <w:spacing w:line="480" w:lineRule="exact"/>
        <w:ind w:firstLine="480" w:firstLineChars="200"/>
        <w:rPr>
          <w:sz w:val="24"/>
        </w:rPr>
      </w:pPr>
      <w:r>
        <w:rPr>
          <w:rFonts w:hint="eastAsia"/>
          <w:sz w:val="24"/>
        </w:rPr>
        <w:t>项目现有1座渗滤液调节池，容积为640m</w:t>
      </w:r>
      <w:r>
        <w:rPr>
          <w:rFonts w:hint="eastAsia"/>
          <w:sz w:val="24"/>
          <w:vertAlign w:val="superscript"/>
        </w:rPr>
        <w:t>3</w:t>
      </w:r>
      <w:r>
        <w:rPr>
          <w:rFonts w:hint="eastAsia"/>
          <w:sz w:val="24"/>
        </w:rPr>
        <w:t>，参照《生活垃圾卫生填埋处理技术规范》(GB50869-2013)附录C计算方法，经计算，项目渗滤液调节池容积规模应不小于1800m</w:t>
      </w:r>
      <w:r>
        <w:rPr>
          <w:rFonts w:hint="eastAsia"/>
          <w:sz w:val="24"/>
          <w:vertAlign w:val="superscript"/>
        </w:rPr>
        <w:t>3</w:t>
      </w:r>
      <w:r>
        <w:rPr>
          <w:rFonts w:hint="eastAsia"/>
          <w:sz w:val="24"/>
        </w:rPr>
        <w:t>，因此，评价要求项目单位应通过扩容或增设等保证场地渗滤液调节池容积满足上述要求，同时还应根据降雨、季节变化等情况保持渗滤液处理设施正常运行，确保调节池渗滤液不发生外溢。</w:t>
      </w:r>
    </w:p>
    <w:p>
      <w:pPr>
        <w:pStyle w:val="6"/>
        <w:spacing w:line="480" w:lineRule="exact"/>
      </w:pPr>
      <w:r>
        <w:t>6</w:t>
      </w:r>
      <w:r>
        <w:rPr>
          <w:lang w:val="zh-CN"/>
        </w:rPr>
        <w:t>.</w:t>
      </w:r>
      <w:r>
        <w:t>2</w:t>
      </w:r>
      <w:r>
        <w:rPr>
          <w:lang w:val="zh-CN"/>
        </w:rPr>
        <w:t>.</w:t>
      </w:r>
      <w:r>
        <w:rPr>
          <w:rFonts w:hint="eastAsia"/>
        </w:rPr>
        <w:t>3</w:t>
      </w:r>
      <w:r>
        <w:rPr>
          <w:rFonts w:hint="eastAsia"/>
          <w:lang w:val="zh-CN"/>
        </w:rPr>
        <w:t>地下水污染防治措施</w:t>
      </w:r>
    </w:p>
    <w:p>
      <w:pPr>
        <w:spacing w:line="480" w:lineRule="exact"/>
        <w:ind w:firstLine="480" w:firstLineChars="200"/>
        <w:jc w:val="left"/>
        <w:rPr>
          <w:sz w:val="24"/>
        </w:rPr>
      </w:pPr>
      <w:r>
        <w:rPr>
          <w:sz w:val="24"/>
        </w:rPr>
        <w:t>本项目地下水污染防治措施按照“源头控制、末端防治、污染监控、应急响应”相结合的原则，从污染物的产生、入渗、扩散、应急响应进行控制。</w:t>
      </w:r>
    </w:p>
    <w:p>
      <w:pPr>
        <w:widowControl/>
        <w:spacing w:line="480" w:lineRule="exact"/>
        <w:ind w:firstLine="482" w:firstLineChars="200"/>
        <w:jc w:val="left"/>
        <w:rPr>
          <w:b/>
          <w:bCs/>
          <w:sz w:val="24"/>
        </w:rPr>
      </w:pPr>
      <w:r>
        <w:rPr>
          <w:b/>
          <w:bCs/>
          <w:sz w:val="24"/>
        </w:rPr>
        <w:t>（1）源头控制</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加强进场废物的管理，除环卫部门收集、转运的生活垃圾外，其他废物进场必须满足《生活垃圾填埋场污染控制标准》(GB16889-2008)第6条中“填埋废物的入场要求”的相关规定</w:t>
      </w:r>
      <w:r>
        <w:rPr>
          <w:sz w:val="24"/>
        </w:rPr>
        <w:t>。</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运行过程填埋作业应分区、分单元进行，不运行作业面应及时覆盖，不得同时进行多作业面填埋作业或者不分区全场敞开式作业，中间覆盖应形成一定的坡度，每天填埋作业结束后，应对作业面进行覆盖，雨季等特殊气象条件下应加强对作业面的覆盖，填埋作业应采取雨污分流措施，场后堆体表面应按要求敷设封场排水沟，尽量减少渗滤液的产生和下渗。</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加强渗滤液输送管线及相应阀门、管件等导流系统部件的巡视检查，避免渗滤液输送管道因腐蚀等发生破裂和跑、冒、滴、漏</w:t>
      </w:r>
      <w:r>
        <w:rPr>
          <w:sz w:val="24"/>
        </w:rPr>
        <w:t>。</w:t>
      </w:r>
    </w:p>
    <w:p>
      <w:pPr>
        <w:widowControl/>
        <w:spacing w:line="480" w:lineRule="exact"/>
        <w:ind w:firstLine="482" w:firstLineChars="200"/>
        <w:jc w:val="left"/>
        <w:rPr>
          <w:b/>
          <w:bCs/>
          <w:sz w:val="24"/>
        </w:rPr>
      </w:pPr>
      <w:r>
        <w:rPr>
          <w:b/>
          <w:bCs/>
          <w:sz w:val="24"/>
        </w:rPr>
        <w:t>（</w:t>
      </w:r>
      <w:r>
        <w:rPr>
          <w:rFonts w:hint="eastAsia"/>
          <w:b/>
          <w:bCs/>
          <w:sz w:val="24"/>
        </w:rPr>
        <w:t>2</w:t>
      </w:r>
      <w:r>
        <w:rPr>
          <w:b/>
          <w:bCs/>
          <w:sz w:val="24"/>
        </w:rPr>
        <w:t>）</w:t>
      </w:r>
      <w:r>
        <w:rPr>
          <w:rFonts w:hint="eastAsia"/>
          <w:b/>
          <w:bCs/>
          <w:sz w:val="24"/>
        </w:rPr>
        <w:t>场地防渗和渗滤液收集处理</w:t>
      </w:r>
    </w:p>
    <w:p>
      <w:pPr>
        <w:autoSpaceDE w:val="0"/>
        <w:autoSpaceDN w:val="0"/>
        <w:adjustRightInd w:val="0"/>
        <w:spacing w:line="480" w:lineRule="exact"/>
        <w:ind w:firstLine="480" w:firstLineChars="200"/>
        <w:jc w:val="left"/>
        <w:rPr>
          <w:sz w:val="24"/>
          <w:szCs w:val="28"/>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库区防渗：</w:t>
      </w:r>
      <w:r>
        <w:rPr>
          <w:sz w:val="24"/>
        </w:rPr>
        <w:t>包括场底防渗和边坡防渗</w:t>
      </w:r>
      <w:r>
        <w:rPr>
          <w:rFonts w:hint="eastAsia"/>
          <w:sz w:val="24"/>
        </w:rPr>
        <w:t>，其中场底防渗结构由下至上依次为300mm厚压实粘土+5000g/m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无纺土工布；边坡防渗结构由下至上依次为300mm厚压实粘土+5000g/m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无纺土工布+300mm厚袋装土缓冲保护层</w:t>
      </w:r>
      <w:r>
        <w:rPr>
          <w:sz w:val="24"/>
          <w:szCs w:val="28"/>
        </w:rPr>
        <w:t>。</w:t>
      </w:r>
    </w:p>
    <w:p>
      <w:pPr>
        <w:spacing w:line="480" w:lineRule="exact"/>
        <w:ind w:firstLine="480" w:firstLineChars="200"/>
        <w:jc w:val="left"/>
        <w:rPr>
          <w:sz w:val="24"/>
        </w:rPr>
      </w:pPr>
      <w:r>
        <w:rPr>
          <w:rFonts w:hint="eastAsia"/>
          <w:sz w:val="24"/>
        </w:rPr>
        <w:t>对照《生活垃圾卫生填埋场防渗系统工程技术标准》（GB/T51403-2021）中的相关要求，本项目防渗层敷设较为合理。</w:t>
      </w:r>
    </w:p>
    <w:p>
      <w:pPr>
        <w:autoSpaceDE w:val="0"/>
        <w:autoSpaceDN w:val="0"/>
        <w:adjustRightInd w:val="0"/>
        <w:spacing w:line="500" w:lineRule="exact"/>
        <w:jc w:val="center"/>
        <w:rPr>
          <w:b/>
          <w:bCs/>
          <w:sz w:val="24"/>
        </w:rPr>
      </w:pPr>
      <w:r>
        <w:rPr>
          <w:b/>
          <w:bCs/>
          <w:sz w:val="24"/>
        </w:rPr>
        <w:t>表</w:t>
      </w:r>
      <w:r>
        <w:rPr>
          <w:rFonts w:hint="eastAsia"/>
          <w:b/>
          <w:bCs/>
          <w:sz w:val="24"/>
        </w:rPr>
        <w:t>6</w:t>
      </w:r>
      <w:r>
        <w:rPr>
          <w:b/>
          <w:bCs/>
          <w:sz w:val="24"/>
        </w:rPr>
        <w:t>.2-</w:t>
      </w:r>
      <w:r>
        <w:rPr>
          <w:rFonts w:hint="eastAsia"/>
          <w:b/>
          <w:bCs/>
          <w:sz w:val="24"/>
        </w:rPr>
        <w:t>4本项目与</w:t>
      </w:r>
      <w:r>
        <w:rPr>
          <w:b/>
          <w:bCs/>
          <w:sz w:val="24"/>
        </w:rPr>
        <w:t>GB/T51403-2021</w:t>
      </w:r>
      <w:r>
        <w:rPr>
          <w:rFonts w:hint="eastAsia"/>
          <w:b/>
          <w:bCs/>
          <w:sz w:val="24"/>
        </w:rPr>
        <w:t>符合性分析</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67"/>
        <w:gridCol w:w="5125"/>
        <w:gridCol w:w="26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1" w:hRule="atLeast"/>
          <w:jc w:val="center"/>
        </w:trPr>
        <w:tc>
          <w:tcPr>
            <w:tcW w:w="450"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序号</w:t>
            </w:r>
          </w:p>
        </w:tc>
        <w:tc>
          <w:tcPr>
            <w:tcW w:w="3007"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b/>
                <w:color w:val="auto"/>
                <w:szCs w:val="21"/>
              </w:rPr>
              <w:t>GB/T51403-2021</w:t>
            </w:r>
            <w:r>
              <w:rPr>
                <w:rFonts w:hint="eastAsia"/>
                <w:b/>
                <w:color w:val="auto"/>
                <w:szCs w:val="21"/>
              </w:rPr>
              <w:t>相关</w:t>
            </w:r>
            <w:r>
              <w:rPr>
                <w:rFonts w:hint="eastAsia" w:asciiTheme="minorEastAsia" w:hAnsiTheme="minorEastAsia" w:eastAsiaTheme="minorEastAsia" w:cstheme="minorEastAsia"/>
                <w:b/>
                <w:szCs w:val="21"/>
              </w:rPr>
              <w:t>要求</w:t>
            </w:r>
          </w:p>
        </w:tc>
        <w:tc>
          <w:tcPr>
            <w:tcW w:w="1541" w:type="pct"/>
            <w:tcBorders>
              <w:tl2br w:val="nil"/>
              <w:tr2bl w:val="nil"/>
            </w:tcBorders>
            <w:vAlign w:val="center"/>
          </w:tcPr>
          <w:p>
            <w:pPr>
              <w:pStyle w:val="3"/>
              <w:spacing w:line="26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本项目情况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450"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1</w:t>
            </w:r>
          </w:p>
        </w:tc>
        <w:tc>
          <w:tcPr>
            <w:tcW w:w="3007" w:type="pct"/>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4.4.3 复合防渗层应具有一定的厚度。高密度聚乙烯土工膜厚度不应小于1.5mm，当复合防渗层中采用膨润土防水毯代替压实黏土层时，膨润土防水毯渗透系数不应小于5</w:t>
            </w:r>
            <w:r>
              <w:rPr>
                <w:rFonts w:ascii="Arial" w:hAnsi="Arial" w:cs="Arial"/>
                <w:bCs w:val="0"/>
                <w:szCs w:val="21"/>
              </w:rPr>
              <w:t>×</w:t>
            </w:r>
            <w:r>
              <w:rPr>
                <w:rFonts w:hint="eastAsia"/>
                <w:bCs w:val="0"/>
                <w:szCs w:val="21"/>
              </w:rPr>
              <w:t>10</w:t>
            </w:r>
            <w:r>
              <w:rPr>
                <w:rFonts w:hint="eastAsia"/>
                <w:bCs w:val="0"/>
                <w:szCs w:val="21"/>
                <w:vertAlign w:val="superscript"/>
              </w:rPr>
              <w:t>-9</w:t>
            </w:r>
            <w:r>
              <w:rPr>
                <w:rFonts w:hint="eastAsia"/>
                <w:bCs w:val="0"/>
                <w:szCs w:val="21"/>
              </w:rPr>
              <w:t>cm/s，规格不应小于4800g/m</w:t>
            </w:r>
            <w:r>
              <w:rPr>
                <w:rFonts w:hint="eastAsia"/>
                <w:bCs w:val="0"/>
                <w:szCs w:val="21"/>
                <w:vertAlign w:val="superscript"/>
              </w:rPr>
              <w:t>2</w:t>
            </w:r>
            <w:r>
              <w:rPr>
                <w:rFonts w:hint="eastAsia"/>
                <w:bCs w:val="0"/>
                <w:szCs w:val="21"/>
              </w:rPr>
              <w:t>，压实黏土层的厚度不应小于0.30m。</w:t>
            </w:r>
          </w:p>
        </w:tc>
        <w:tc>
          <w:tcPr>
            <w:tcW w:w="1541" w:type="pct"/>
            <w:vMerge w:val="restart"/>
            <w:tcBorders>
              <w:tl2br w:val="nil"/>
              <w:tr2bl w:val="nil"/>
            </w:tcBorders>
            <w:vAlign w:val="center"/>
          </w:tcPr>
          <w:p>
            <w:pPr>
              <w:pStyle w:val="3"/>
              <w:spacing w:line="260" w:lineRule="exact"/>
              <w:rPr>
                <w:rFonts w:eastAsiaTheme="minorEastAsia"/>
                <w:bCs w:val="0"/>
                <w:szCs w:val="21"/>
              </w:rPr>
            </w:pPr>
            <w:r>
              <w:rPr>
                <w:rFonts w:hAnsiTheme="minorEastAsia" w:eastAsiaTheme="minorEastAsia"/>
                <w:bCs w:val="0"/>
                <w:szCs w:val="21"/>
              </w:rPr>
              <w:t>场底和边坡均采用复合防渗层，防渗结构由下至上均为</w:t>
            </w:r>
            <w:r>
              <w:rPr>
                <w:rFonts w:eastAsiaTheme="minorEastAsia"/>
                <w:bCs w:val="0"/>
                <w:szCs w:val="21"/>
              </w:rPr>
              <w:t>300mm</w:t>
            </w:r>
            <w:r>
              <w:rPr>
                <w:rFonts w:hAnsiTheme="minorEastAsia" w:eastAsiaTheme="minorEastAsia"/>
                <w:bCs w:val="0"/>
                <w:szCs w:val="21"/>
              </w:rPr>
              <w:t>厚压实粘土</w:t>
            </w:r>
            <w:r>
              <w:rPr>
                <w:rFonts w:eastAsiaTheme="minorEastAsia"/>
                <w:bCs w:val="0"/>
                <w:szCs w:val="21"/>
              </w:rPr>
              <w:t>+5000g/m</w:t>
            </w:r>
            <w:r>
              <w:rPr>
                <w:rFonts w:eastAsiaTheme="minorEastAsia"/>
                <w:bCs w:val="0"/>
                <w:szCs w:val="21"/>
                <w:vertAlign w:val="superscript"/>
              </w:rPr>
              <w:t>2</w:t>
            </w:r>
            <w:r>
              <w:rPr>
                <w:rFonts w:hAnsiTheme="minorEastAsia" w:eastAsiaTheme="minorEastAsia"/>
                <w:bCs w:val="0"/>
                <w:szCs w:val="21"/>
              </w:rPr>
              <w:t>钠基膨润土</w:t>
            </w:r>
            <w:r>
              <w:rPr>
                <w:rFonts w:eastAsiaTheme="minorEastAsia"/>
                <w:bCs w:val="0"/>
                <w:szCs w:val="21"/>
              </w:rPr>
              <w:t>+2.0mm</w:t>
            </w:r>
            <w:r>
              <w:rPr>
                <w:rFonts w:hAnsiTheme="minorEastAsia" w:eastAsiaTheme="minorEastAsia"/>
                <w:bCs w:val="0"/>
                <w:szCs w:val="21"/>
              </w:rPr>
              <w:t>厚</w:t>
            </w:r>
            <w:r>
              <w:rPr>
                <w:rFonts w:eastAsiaTheme="minorEastAsia"/>
                <w:bCs w:val="0"/>
                <w:szCs w:val="21"/>
              </w:rPr>
              <w:t>HDPE</w:t>
            </w:r>
            <w:r>
              <w:rPr>
                <w:rFonts w:hAnsiTheme="minorEastAsia" w:eastAsiaTheme="minorEastAsia"/>
                <w:bCs w:val="0"/>
                <w:szCs w:val="21"/>
              </w:rPr>
              <w:t>土工膜</w:t>
            </w:r>
            <w:r>
              <w:rPr>
                <w:rFonts w:eastAsiaTheme="minorEastAsia"/>
                <w:bCs w:val="0"/>
                <w:szCs w:val="21"/>
              </w:rPr>
              <w:t>+600g/m</w:t>
            </w:r>
            <w:r>
              <w:rPr>
                <w:rFonts w:eastAsiaTheme="minorEastAsia"/>
                <w:bCs w:val="0"/>
                <w:szCs w:val="21"/>
                <w:vertAlign w:val="superscript"/>
              </w:rPr>
              <w:t>2</w:t>
            </w:r>
            <w:r>
              <w:rPr>
                <w:rFonts w:hAnsiTheme="minorEastAsia" w:eastAsiaTheme="minorEastAsia"/>
                <w:bCs w:val="0"/>
                <w:szCs w:val="21"/>
              </w:rPr>
              <w:t>无纺土工布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450"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2</w:t>
            </w:r>
          </w:p>
        </w:tc>
        <w:tc>
          <w:tcPr>
            <w:tcW w:w="3007" w:type="pct"/>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4.4.4 高密度聚乙烯土工膜上应采用非织造土工布作为保护层，规格不应小于</w:t>
            </w:r>
            <w:r>
              <w:rPr>
                <w:rFonts w:hint="eastAsia"/>
                <w:bCs w:val="0"/>
                <w:szCs w:val="21"/>
              </w:rPr>
              <w:t>600g/m</w:t>
            </w:r>
            <w:r>
              <w:rPr>
                <w:rFonts w:hint="eastAsia"/>
                <w:bCs w:val="0"/>
                <w:szCs w:val="21"/>
                <w:vertAlign w:val="superscript"/>
              </w:rPr>
              <w:t>2</w:t>
            </w:r>
            <w:r>
              <w:rPr>
                <w:rFonts w:hint="eastAsia"/>
                <w:bCs w:val="0"/>
                <w:szCs w:val="21"/>
              </w:rPr>
              <w:t>。</w:t>
            </w:r>
          </w:p>
        </w:tc>
        <w:tc>
          <w:tcPr>
            <w:tcW w:w="1541" w:type="pct"/>
            <w:vMerge w:val="continue"/>
            <w:tcBorders>
              <w:tl2br w:val="nil"/>
              <w:tr2bl w:val="nil"/>
            </w:tcBorders>
            <w:vAlign w:val="center"/>
          </w:tcPr>
          <w:p>
            <w:pPr>
              <w:pStyle w:val="3"/>
              <w:spacing w:line="260" w:lineRule="exact"/>
              <w:rPr>
                <w:rFonts w:asciiTheme="minorEastAsia" w:hAnsiTheme="minorEastAsia" w:eastAsiaTheme="minorEastAsia" w:cstheme="minorEastAsia"/>
                <w:bCs w:val="0"/>
                <w:color w:val="FF000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1" w:hRule="atLeast"/>
          <w:jc w:val="center"/>
        </w:trPr>
        <w:tc>
          <w:tcPr>
            <w:tcW w:w="450" w:type="pct"/>
            <w:tcBorders>
              <w:tl2br w:val="nil"/>
              <w:tr2bl w:val="nil"/>
            </w:tcBorders>
            <w:vAlign w:val="center"/>
          </w:tcPr>
          <w:p>
            <w:pPr>
              <w:pStyle w:val="3"/>
              <w:spacing w:line="260" w:lineRule="exac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3</w:t>
            </w:r>
          </w:p>
        </w:tc>
        <w:tc>
          <w:tcPr>
            <w:tcW w:w="3007" w:type="pct"/>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r>
              <w:rPr>
                <w:rFonts w:hint="eastAsia" w:asciiTheme="minorEastAsia" w:hAnsiTheme="minorEastAsia" w:eastAsiaTheme="minorEastAsia" w:cstheme="minorEastAsia"/>
                <w:szCs w:val="21"/>
              </w:rPr>
              <w:t xml:space="preserve">4.4.5 </w:t>
            </w:r>
            <w:r>
              <w:rPr>
                <w:rFonts w:hint="eastAsia" w:asciiTheme="minorEastAsia" w:hAnsiTheme="minorEastAsia" w:eastAsiaTheme="minorEastAsia" w:cstheme="minorEastAsia"/>
                <w:bCs w:val="0"/>
                <w:szCs w:val="21"/>
              </w:rPr>
              <w:t>高密度聚乙烯+膨润土防水毯复合防渗层下方应设置压实黏土保护层，渗透系数不应小于1.0</w:t>
            </w:r>
            <w:r>
              <w:rPr>
                <w:rFonts w:ascii="Arial" w:hAnsi="Arial" w:cs="Arial"/>
                <w:bCs w:val="0"/>
                <w:szCs w:val="21"/>
              </w:rPr>
              <w:t>×</w:t>
            </w:r>
            <w:r>
              <w:rPr>
                <w:rFonts w:hint="eastAsia"/>
                <w:bCs w:val="0"/>
                <w:szCs w:val="21"/>
              </w:rPr>
              <w:t>10</w:t>
            </w:r>
            <w:r>
              <w:rPr>
                <w:rFonts w:hint="eastAsia"/>
                <w:bCs w:val="0"/>
                <w:szCs w:val="21"/>
                <w:vertAlign w:val="superscript"/>
              </w:rPr>
              <w:t>-5</w:t>
            </w:r>
            <w:r>
              <w:rPr>
                <w:rFonts w:hint="eastAsia"/>
                <w:bCs w:val="0"/>
                <w:szCs w:val="21"/>
              </w:rPr>
              <w:t>cm/s，厚度不应小于0.30m。</w:t>
            </w:r>
          </w:p>
        </w:tc>
        <w:tc>
          <w:tcPr>
            <w:tcW w:w="1541" w:type="pct"/>
            <w:vMerge w:val="continue"/>
            <w:tcBorders>
              <w:tl2br w:val="nil"/>
              <w:tr2bl w:val="nil"/>
            </w:tcBorders>
            <w:vAlign w:val="center"/>
          </w:tcPr>
          <w:p>
            <w:pPr>
              <w:pStyle w:val="3"/>
              <w:spacing w:line="260" w:lineRule="exact"/>
              <w:jc w:val="left"/>
              <w:rPr>
                <w:rFonts w:asciiTheme="minorEastAsia" w:hAnsiTheme="minorEastAsia" w:eastAsiaTheme="minorEastAsia" w:cstheme="minorEastAsia"/>
                <w:bCs w:val="0"/>
                <w:szCs w:val="21"/>
              </w:rPr>
            </w:pPr>
          </w:p>
        </w:tc>
      </w:tr>
    </w:tbl>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渗滤液调节池</w:t>
      </w:r>
      <w:r>
        <w:rPr>
          <w:rFonts w:hint="eastAsia"/>
          <w:sz w:val="24"/>
        </w:rPr>
        <w:t>及提升井</w:t>
      </w:r>
      <w:r>
        <w:rPr>
          <w:sz w:val="24"/>
        </w:rPr>
        <w:t>防渗</w:t>
      </w:r>
      <w:r>
        <w:rPr>
          <w:rFonts w:hint="eastAsia"/>
          <w:sz w:val="24"/>
        </w:rPr>
        <w:t>：调节池和提升井均为埋地钢混结构。</w:t>
      </w:r>
    </w:p>
    <w:p>
      <w:pPr>
        <w:spacing w:line="480" w:lineRule="exact"/>
        <w:ind w:firstLine="480" w:firstLineChars="200"/>
        <w:jc w:val="left"/>
        <w:rPr>
          <w:b/>
          <w:bCs/>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终场覆盖</w:t>
      </w:r>
      <w:r>
        <w:rPr>
          <w:rFonts w:hint="eastAsia"/>
          <w:sz w:val="24"/>
        </w:rPr>
        <w:t>：场地终场覆盖层由上至下依次为：100cm厚表层土层+排水层+防渗层（2.0mm厚HDPE复合衬层）+膜下保护层（30cm厚粘土层）+排气层（20～40mm河卵石）。</w:t>
      </w:r>
      <w:r>
        <w:rPr>
          <w:rFonts w:hint="eastAsia"/>
          <w:sz w:val="24"/>
        </w:rPr>
        <w:br w:type="textWrapping"/>
      </w:r>
      <w:r>
        <w:rPr>
          <w:rFonts w:hint="eastAsia"/>
          <w:sz w:val="24"/>
        </w:rPr>
        <w:t xml:space="preserve">    </w:t>
      </w: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渗滤液收集处理：</w:t>
      </w:r>
    </w:p>
    <w:p>
      <w:pPr>
        <w:spacing w:line="480" w:lineRule="exact"/>
        <w:ind w:firstLine="482" w:firstLineChars="200"/>
        <w:jc w:val="left"/>
        <w:rPr>
          <w:sz w:val="24"/>
        </w:rPr>
      </w:pPr>
      <w:r>
        <w:rPr>
          <w:rFonts w:hint="eastAsia"/>
          <w:b/>
          <w:bCs/>
          <w:sz w:val="24"/>
        </w:rPr>
        <w:t>渗滤液收集导排</w:t>
      </w:r>
      <w:r>
        <w:rPr>
          <w:rFonts w:hint="eastAsia"/>
          <w:sz w:val="24"/>
        </w:rPr>
        <w:t>：库区场底防渗层上方设水平导流盲沟和导流层。导流盲沟包括主盲沟和支盲沟，主盲沟1条，长约200m，设于库区中央，南北走向，坡向北侧，渗滤液提升井，穿越围合坝底部后接坝前渗滤液提升井，断面尺寸为倒梯形，上底宽3m，下底宽1m，深0.5m，沟内铺设300mmHDPE穿孔花管；支盲沟呈树枝状横向分布于主盲沟两侧并坡向主盲沟，多条，长度共约730m，断面尺寸为倒梯形，上底宽2.5m，下底宽1m，深0.5m，沟内铺设200mmHDPE穿孔花管，上述主盲沟和支盲沟内四周均敷设200g/m</w:t>
      </w:r>
      <w:r>
        <w:rPr>
          <w:rFonts w:hint="eastAsia"/>
          <w:sz w:val="24"/>
          <w:vertAlign w:val="superscript"/>
        </w:rPr>
        <w:t>2</w:t>
      </w:r>
      <w:r>
        <w:rPr>
          <w:rFonts w:hint="eastAsia"/>
          <w:sz w:val="24"/>
        </w:rPr>
        <w:t>土工覆盖膜，沟内HDPE穿孔管外均填充直径50-100mm碎石作为过滤层，填充碎石粒径由上至下逐渐加大。</w:t>
      </w:r>
      <w:r>
        <w:rPr>
          <w:sz w:val="24"/>
        </w:rPr>
        <w:t>盲沟上方设</w:t>
      </w:r>
      <w:r>
        <w:rPr>
          <w:rFonts w:hint="eastAsia"/>
          <w:sz w:val="24"/>
        </w:rPr>
        <w:t>有</w:t>
      </w:r>
      <w:r>
        <w:rPr>
          <w:sz w:val="24"/>
        </w:rPr>
        <w:t>导流层，导流层厚度约400mm</w:t>
      </w:r>
      <w:r>
        <w:rPr>
          <w:rFonts w:hint="eastAsia"/>
          <w:sz w:val="24"/>
        </w:rPr>
        <w:t>，结构</w:t>
      </w:r>
      <w:r>
        <w:rPr>
          <w:sz w:val="24"/>
        </w:rPr>
        <w:t>从下至上</w:t>
      </w:r>
      <w:r>
        <w:rPr>
          <w:rFonts w:hint="eastAsia"/>
          <w:sz w:val="24"/>
        </w:rPr>
        <w:t>依次</w:t>
      </w:r>
      <w:r>
        <w:rPr>
          <w:sz w:val="24"/>
        </w:rPr>
        <w:t>为100mm厚粗砂+300mm厚碎石。</w:t>
      </w:r>
    </w:p>
    <w:p>
      <w:pPr>
        <w:pStyle w:val="2"/>
        <w:spacing w:line="480" w:lineRule="exact"/>
        <w:ind w:firstLine="480" w:firstLineChars="200"/>
      </w:pPr>
      <w:r>
        <w:t>另外，除上述水平收集外，场内导气石笼井还兼做渗滤液的垂直收集。</w:t>
      </w:r>
    </w:p>
    <w:p>
      <w:pPr>
        <w:spacing w:line="480" w:lineRule="exact"/>
        <w:ind w:firstLine="482" w:firstLineChars="200"/>
        <w:jc w:val="left"/>
        <w:rPr>
          <w:sz w:val="24"/>
        </w:rPr>
      </w:pPr>
      <w:r>
        <w:rPr>
          <w:rFonts w:hint="eastAsia"/>
          <w:b/>
          <w:bCs/>
          <w:sz w:val="24"/>
        </w:rPr>
        <w:t>渗滤液处理：</w:t>
      </w:r>
      <w:r>
        <w:rPr>
          <w:rFonts w:hint="eastAsia"/>
          <w:sz w:val="24"/>
        </w:rPr>
        <w:t>库区垃圾渗滤液经盲沟导排后自流进入北侧坝前提升井，先被泵入渗滤液调节池，然后进入渗滤液处理车间进行处理，另外，场内管理区少量职工生活废水和垃圾运输车辆洗车废水经收集后均进入渗滤液调节池随垃圾渗滤液一起处理。本项目渗滤液平均产生量约20.24m</w:t>
      </w:r>
      <w:r>
        <w:rPr>
          <w:rFonts w:hint="eastAsia"/>
          <w:sz w:val="24"/>
          <w:vertAlign w:val="superscript"/>
        </w:rPr>
        <w:t>3</w:t>
      </w:r>
      <w:r>
        <w:rPr>
          <w:rFonts w:hint="eastAsia"/>
          <w:sz w:val="24"/>
        </w:rPr>
        <w:t>/d，生活废水排放量约0.88m</w:t>
      </w:r>
      <w:r>
        <w:rPr>
          <w:rFonts w:hint="eastAsia"/>
          <w:sz w:val="24"/>
          <w:vertAlign w:val="superscript"/>
        </w:rPr>
        <w:t>3</w:t>
      </w:r>
      <w:r>
        <w:rPr>
          <w:rFonts w:hint="eastAsia"/>
          <w:sz w:val="24"/>
        </w:rPr>
        <w:t>/d，洗车废水排放量约0.68m</w:t>
      </w:r>
      <w:r>
        <w:rPr>
          <w:rFonts w:hint="eastAsia"/>
          <w:sz w:val="24"/>
          <w:vertAlign w:val="superscript"/>
        </w:rPr>
        <w:t>3</w:t>
      </w:r>
      <w:r>
        <w:rPr>
          <w:rFonts w:hint="eastAsia"/>
          <w:sz w:val="24"/>
        </w:rPr>
        <w:t>/d，项目渗滤液处理车间设计处理能力40m</w:t>
      </w:r>
      <w:r>
        <w:rPr>
          <w:rFonts w:hint="eastAsia"/>
          <w:sz w:val="24"/>
          <w:vertAlign w:val="superscript"/>
        </w:rPr>
        <w:t>3</w:t>
      </w:r>
      <w:r>
        <w:rPr>
          <w:rFonts w:hint="eastAsia"/>
          <w:sz w:val="24"/>
        </w:rPr>
        <w:t>/d，</w:t>
      </w:r>
      <w:r>
        <w:rPr>
          <w:rFonts w:hint="eastAsia"/>
          <w:sz w:val="24"/>
          <w:lang w:val="zh-CN"/>
        </w:rPr>
        <w:t>采用“预处理+两级DTRO反渗透”的处理工艺，处理过程中产生的反渗透浓水进入浓缩液池，由吸污车定期回喷填埋库区垃圾堆体，处理后的清水进入清水池，水质可以满足《生活垃圾填埋场污染控制标准》(GB16889-2008)和《城市污水再生利用城市杂用水水质》(GB/T18920­2020)中城市绿化、道路清扫的标准要求，全部回用于项目场地、县城城市绿化和道路清扫用水，不外排。</w:t>
      </w:r>
    </w:p>
    <w:p>
      <w:pPr>
        <w:spacing w:line="480" w:lineRule="exact"/>
        <w:ind w:firstLine="482" w:firstLineChars="200"/>
        <w:jc w:val="left"/>
        <w:rPr>
          <w:b/>
          <w:bCs/>
          <w:sz w:val="24"/>
        </w:rPr>
      </w:pPr>
      <w:r>
        <w:rPr>
          <w:b/>
          <w:bCs/>
          <w:sz w:val="24"/>
        </w:rPr>
        <w:t>（</w:t>
      </w:r>
      <w:r>
        <w:rPr>
          <w:rFonts w:hint="eastAsia"/>
          <w:b/>
          <w:bCs/>
          <w:sz w:val="24"/>
        </w:rPr>
        <w:t>3</w:t>
      </w:r>
      <w:r>
        <w:rPr>
          <w:b/>
          <w:bCs/>
          <w:sz w:val="24"/>
        </w:rPr>
        <w:t>）地下水跟踪监测</w:t>
      </w:r>
    </w:p>
    <w:p>
      <w:pPr>
        <w:spacing w:line="480" w:lineRule="exact"/>
        <w:ind w:firstLine="480" w:firstLineChars="200"/>
        <w:rPr>
          <w:sz w:val="24"/>
        </w:rPr>
      </w:pPr>
      <w:r>
        <w:rPr>
          <w:rFonts w:hint="eastAsia"/>
          <w:sz w:val="24"/>
        </w:rPr>
        <w:t>根据</w:t>
      </w:r>
      <w:r>
        <w:rPr>
          <w:sz w:val="24"/>
        </w:rPr>
        <w:t>《生活垃圾填埋场污染控制标准》(GB16889-2008)</w:t>
      </w:r>
      <w:r>
        <w:rPr>
          <w:rFonts w:hint="eastAsia"/>
          <w:sz w:val="24"/>
        </w:rPr>
        <w:t>等相关要求</w:t>
      </w:r>
      <w:r>
        <w:rPr>
          <w:sz w:val="24"/>
        </w:rPr>
        <w:t>，项目</w:t>
      </w:r>
      <w:r>
        <w:rPr>
          <w:rFonts w:hint="eastAsia"/>
          <w:sz w:val="24"/>
        </w:rPr>
        <w:t>地下水跟踪</w:t>
      </w:r>
      <w:r>
        <w:rPr>
          <w:sz w:val="24"/>
        </w:rPr>
        <w:t>监测内容</w:t>
      </w:r>
      <w:r>
        <w:rPr>
          <w:rFonts w:hint="eastAsia"/>
          <w:sz w:val="24"/>
        </w:rPr>
        <w:t>如下</w:t>
      </w:r>
      <w:r>
        <w:rPr>
          <w:sz w:val="24"/>
        </w:rPr>
        <w:t>。</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监测点布设：场地东侧即地下水流向上游30~50m处设置1眼本底井，场地南、北侧即垂直地下水流行两侧30~50m处各设置1眼污染扩散观察井，场地西侧即地下水流向下游30m、50m处分别设置1眼污染监视井，共计5眼（其中4眼现状已设，在场地西侧即地下水流向下游50m处要求补设1眼）。</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监测项目</w:t>
      </w:r>
      <w:r>
        <w:rPr>
          <w:rFonts w:hint="eastAsia" w:ascii="Calibri" w:hAnsi="宋体"/>
          <w:sz w:val="24"/>
        </w:rPr>
        <w:t>：</w:t>
      </w:r>
      <w:r>
        <w:rPr>
          <w:sz w:val="24"/>
        </w:rPr>
        <w:t>地下水导则中规定的八大离子和21项基本水质因子</w:t>
      </w:r>
      <w:r>
        <w:rPr>
          <w:rFonts w:hint="eastAsia"/>
          <w:sz w:val="24"/>
        </w:rPr>
        <w:t>，即</w:t>
      </w:r>
      <w:r>
        <w:rPr>
          <w:color w:val="000000"/>
          <w:sz w:val="24"/>
        </w:rPr>
        <w:t>K</w:t>
      </w:r>
      <w:r>
        <w:rPr>
          <w:color w:val="000000"/>
          <w:sz w:val="24"/>
          <w:vertAlign w:val="superscript"/>
        </w:rPr>
        <w:t>＋</w:t>
      </w:r>
      <w:r>
        <w:rPr>
          <w:color w:val="000000"/>
          <w:sz w:val="24"/>
        </w:rPr>
        <w:t>、Na</w:t>
      </w:r>
      <w:r>
        <w:rPr>
          <w:color w:val="000000"/>
          <w:sz w:val="24"/>
          <w:vertAlign w:val="superscript"/>
        </w:rPr>
        <w:t>＋</w:t>
      </w:r>
      <w:r>
        <w:rPr>
          <w:color w:val="000000"/>
          <w:sz w:val="24"/>
        </w:rPr>
        <w:t>、Ca</w:t>
      </w:r>
      <w:r>
        <w:rPr>
          <w:color w:val="000000"/>
          <w:sz w:val="24"/>
          <w:vertAlign w:val="superscript"/>
        </w:rPr>
        <w:t>2＋</w:t>
      </w:r>
      <w:r>
        <w:rPr>
          <w:color w:val="000000"/>
          <w:sz w:val="24"/>
        </w:rPr>
        <w:t>、Mg</w:t>
      </w:r>
      <w:r>
        <w:rPr>
          <w:color w:val="000000"/>
          <w:sz w:val="24"/>
          <w:vertAlign w:val="superscript"/>
        </w:rPr>
        <w:t>2＋</w:t>
      </w:r>
      <w:r>
        <w:rPr>
          <w:color w:val="000000"/>
          <w:sz w:val="24"/>
        </w:rPr>
        <w:t>、CO</w:t>
      </w:r>
      <w:r>
        <w:rPr>
          <w:color w:val="000000"/>
          <w:sz w:val="24"/>
          <w:vertAlign w:val="subscript"/>
        </w:rPr>
        <w:t>3</w:t>
      </w:r>
      <w:r>
        <w:rPr>
          <w:color w:val="000000"/>
          <w:sz w:val="24"/>
          <w:vertAlign w:val="superscript"/>
        </w:rPr>
        <w:t>2－</w:t>
      </w:r>
      <w:r>
        <w:rPr>
          <w:color w:val="000000"/>
          <w:sz w:val="24"/>
        </w:rPr>
        <w:t>、HCO</w:t>
      </w:r>
      <w:r>
        <w:rPr>
          <w:color w:val="000000"/>
          <w:sz w:val="24"/>
          <w:vertAlign w:val="subscript"/>
        </w:rPr>
        <w:t>3</w:t>
      </w:r>
      <w:r>
        <w:rPr>
          <w:color w:val="000000"/>
          <w:sz w:val="24"/>
          <w:vertAlign w:val="superscript"/>
        </w:rPr>
        <w:t>－</w:t>
      </w:r>
      <w:r>
        <w:rPr>
          <w:color w:val="000000"/>
          <w:sz w:val="24"/>
        </w:rPr>
        <w:t>、Cl</w:t>
      </w:r>
      <w:r>
        <w:rPr>
          <w:color w:val="000000"/>
          <w:sz w:val="24"/>
          <w:vertAlign w:val="superscript"/>
        </w:rPr>
        <w:t>－</w:t>
      </w:r>
      <w:r>
        <w:rPr>
          <w:color w:val="000000"/>
          <w:sz w:val="24"/>
        </w:rPr>
        <w:t>、SO</w:t>
      </w:r>
      <w:r>
        <w:rPr>
          <w:color w:val="000000"/>
          <w:sz w:val="24"/>
          <w:vertAlign w:val="subscript"/>
        </w:rPr>
        <w:t>4</w:t>
      </w:r>
      <w:r>
        <w:rPr>
          <w:color w:val="000000"/>
          <w:sz w:val="24"/>
          <w:vertAlign w:val="superscript"/>
        </w:rPr>
        <w:t>2－</w:t>
      </w:r>
      <w:r>
        <w:rPr>
          <w:rFonts w:hint="eastAsia"/>
          <w:sz w:val="24"/>
        </w:rPr>
        <w:t>和PH</w:t>
      </w:r>
      <w:r>
        <w:rPr>
          <w:rFonts w:hint="eastAsia" w:cstheme="minorEastAsia"/>
          <w:color w:val="000000"/>
          <w:sz w:val="24"/>
        </w:rPr>
        <w:t>值、氨氮、硝酸盐、亚硝酸盐、挥发性酚类、氰化物、砷、汞、铬（六价）、总硬度、铅、氟、镉、铁、锰、溶解性总固体、高锰酸盐指数、硫酸盐、氯化物、总大肠菌群、细菌总数等</w:t>
      </w:r>
      <w:r>
        <w:rPr>
          <w:sz w:val="24"/>
        </w:rPr>
        <w:t>。</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监测时间和频次：</w:t>
      </w:r>
    </w:p>
    <w:p>
      <w:pPr>
        <w:spacing w:line="480" w:lineRule="exact"/>
        <w:ind w:firstLine="480" w:firstLineChars="200"/>
        <w:rPr>
          <w:sz w:val="24"/>
        </w:rPr>
      </w:pPr>
      <w:r>
        <w:rPr>
          <w:sz w:val="24"/>
        </w:rPr>
        <w:t>在生活垃圾填埋场投入使用之时即对地下水进行持续监测</w:t>
      </w:r>
      <w:r>
        <w:rPr>
          <w:rFonts w:hint="eastAsia"/>
          <w:sz w:val="24"/>
        </w:rPr>
        <w:t>，</w:t>
      </w:r>
      <w:r>
        <w:rPr>
          <w:sz w:val="24"/>
        </w:rPr>
        <w:t>直至封场后填埋场产生的渗滤液中水污染物质量浓度连续两年</w:t>
      </w:r>
      <w:r>
        <w:rPr>
          <w:rFonts w:hint="eastAsia"/>
          <w:sz w:val="24"/>
        </w:rPr>
        <w:t>低于</w:t>
      </w:r>
      <w:r>
        <w:rPr>
          <w:sz w:val="24"/>
        </w:rPr>
        <w:t>GB16889-2008表</w:t>
      </w:r>
      <w:r>
        <w:rPr>
          <w:rFonts w:hint="eastAsia"/>
          <w:sz w:val="24"/>
        </w:rPr>
        <w:t>2中的</w:t>
      </w:r>
      <w:r>
        <w:rPr>
          <w:sz w:val="24"/>
        </w:rPr>
        <w:t>限值时为止</w:t>
      </w:r>
      <w:r>
        <w:rPr>
          <w:rFonts w:hint="eastAsia"/>
          <w:sz w:val="24"/>
        </w:rPr>
        <w:t>，期间</w:t>
      </w:r>
      <w:r>
        <w:rPr>
          <w:sz w:val="24"/>
        </w:rPr>
        <w:t>污染扩散井和污染监视井的水质监测频率不低于1次/2周，本底井的水质监测频率不低于1次/每月。</w:t>
      </w:r>
    </w:p>
    <w:p>
      <w:pPr>
        <w:spacing w:line="480" w:lineRule="exact"/>
        <w:ind w:firstLine="480" w:firstLineChars="200"/>
        <w:rPr>
          <w:rFonts w:ascii="Calibri" w:hAnsi="宋体"/>
          <w:sz w:val="24"/>
        </w:rPr>
      </w:pPr>
      <w:r>
        <w:rPr>
          <w:rFonts w:hint="eastAsia" w:ascii="Calibri" w:hAnsi="宋体"/>
          <w:sz w:val="24"/>
        </w:rPr>
        <w:t>本项目应严格落实地下水跟踪监测工作，建立完善的监测制度，设置专职人员进行水环境监测工作，加强地下水水质的长期动态监测，做好</w:t>
      </w:r>
      <w:r>
        <w:rPr>
          <w:bCs/>
          <w:sz w:val="24"/>
        </w:rPr>
        <w:t>监测数据</w:t>
      </w:r>
      <w:r>
        <w:rPr>
          <w:rFonts w:hint="eastAsia"/>
          <w:bCs/>
          <w:sz w:val="24"/>
        </w:rPr>
        <w:t>的反馈，做到</w:t>
      </w:r>
      <w:r>
        <w:rPr>
          <w:rFonts w:hint="eastAsia" w:ascii="Calibri" w:hAnsi="宋体"/>
          <w:sz w:val="24"/>
        </w:rPr>
        <w:t>及时发现污染、及时控制。</w:t>
      </w:r>
    </w:p>
    <w:p>
      <w:pPr>
        <w:spacing w:line="480" w:lineRule="exact"/>
        <w:ind w:left="420" w:leftChars="200"/>
        <w:jc w:val="left"/>
        <w:rPr>
          <w:b/>
          <w:bCs/>
          <w:sz w:val="24"/>
        </w:rPr>
      </w:pPr>
      <w:r>
        <w:rPr>
          <w:b/>
          <w:bCs/>
          <w:sz w:val="24"/>
        </w:rPr>
        <w:t>（</w:t>
      </w:r>
      <w:r>
        <w:rPr>
          <w:rFonts w:hint="eastAsia"/>
          <w:b/>
          <w:bCs/>
          <w:sz w:val="24"/>
        </w:rPr>
        <w:t>4</w:t>
      </w:r>
      <w:r>
        <w:rPr>
          <w:b/>
          <w:bCs/>
          <w:sz w:val="24"/>
        </w:rPr>
        <w:t>）应急响应</w:t>
      </w:r>
    </w:p>
    <w:p>
      <w:pPr>
        <w:spacing w:line="480" w:lineRule="exact"/>
        <w:ind w:firstLine="480" w:firstLineChars="200"/>
        <w:jc w:val="left"/>
        <w:rPr>
          <w:bCs/>
          <w:sz w:val="24"/>
        </w:rPr>
      </w:pPr>
      <w:r>
        <w:rPr>
          <w:rFonts w:hint="eastAsia"/>
          <w:bCs/>
          <w:sz w:val="24"/>
        </w:rPr>
        <w:t>一旦发现发现地下水监测数据出现异常或渗滤液泄露等事故时，应立即停止填埋场运行，第一时间启动应急预案，开展地下水污染应急治理工作。另外，</w:t>
      </w:r>
      <w:r>
        <w:rPr>
          <w:rFonts w:hint="eastAsia"/>
          <w:sz w:val="24"/>
        </w:rPr>
        <w:t>渗滤液调节池可考虑作为渗滤液处理站事故或检修期间等渗滤液的临时集蓄池。</w:t>
      </w:r>
    </w:p>
    <w:p>
      <w:pPr>
        <w:pStyle w:val="6"/>
        <w:spacing w:line="480" w:lineRule="exact"/>
      </w:pPr>
      <w:bookmarkStart w:id="166" w:name="_Toc2801"/>
      <w:r>
        <w:t>6.2.</w:t>
      </w:r>
      <w:r>
        <w:rPr>
          <w:rFonts w:hint="eastAsia"/>
        </w:rPr>
        <w:t>4</w:t>
      </w:r>
      <w:bookmarkEnd w:id="166"/>
      <w:r>
        <w:rPr>
          <w:rFonts w:hint="eastAsia"/>
        </w:rPr>
        <w:t>噪声防治措施</w:t>
      </w:r>
    </w:p>
    <w:p>
      <w:pPr>
        <w:spacing w:line="480" w:lineRule="exact"/>
        <w:ind w:firstLine="482" w:firstLineChars="200"/>
        <w:rPr>
          <w:b/>
          <w:bCs/>
          <w:sz w:val="24"/>
        </w:rPr>
      </w:pPr>
      <w:r>
        <w:rPr>
          <w:rFonts w:hint="eastAsia"/>
          <w:b/>
          <w:bCs/>
          <w:sz w:val="24"/>
        </w:rPr>
        <w:t>1、场地噪声防治</w:t>
      </w:r>
    </w:p>
    <w:p>
      <w:pPr>
        <w:spacing w:line="480" w:lineRule="exact"/>
        <w:ind w:firstLine="480" w:firstLineChars="200"/>
        <w:rPr>
          <w:sz w:val="24"/>
        </w:rPr>
      </w:pPr>
      <w:r>
        <w:rPr>
          <w:rFonts w:hint="eastAsia"/>
          <w:sz w:val="24"/>
        </w:rPr>
        <w:t>项目场内噪声源主要为填埋作业机械、渗滤液处理站水泵、填埋气抽气机房风机等，噪声源强数量及高噪声源强相对较少且多为间歇运行，主要采取以下降噪措施：</w:t>
      </w:r>
      <w:r>
        <w:rPr>
          <w:sz w:val="24"/>
        </w:rPr>
        <w:t>加强机械、车辆管理，制定操作规程，合理安排填埋作业时间</w:t>
      </w:r>
      <w:r>
        <w:rPr>
          <w:rFonts w:hint="eastAsia"/>
          <w:sz w:val="24"/>
        </w:rPr>
        <w:t>；</w:t>
      </w:r>
      <w:r>
        <w:rPr>
          <w:sz w:val="24"/>
        </w:rPr>
        <w:t>各水泵、风机均进行基础减震，布置在密闭车间内，风机安装柔性接头</w:t>
      </w:r>
      <w:r>
        <w:rPr>
          <w:rFonts w:hint="eastAsia"/>
          <w:sz w:val="24"/>
        </w:rPr>
        <w:t>；</w:t>
      </w:r>
      <w:r>
        <w:rPr>
          <w:sz w:val="24"/>
        </w:rPr>
        <w:t>加强场地及周边绿化，形成隔离带</w:t>
      </w:r>
      <w:r>
        <w:rPr>
          <w:rFonts w:hint="eastAsia"/>
          <w:sz w:val="24"/>
        </w:rPr>
        <w:t>等。</w:t>
      </w:r>
    </w:p>
    <w:p>
      <w:pPr>
        <w:spacing w:line="480" w:lineRule="exact"/>
        <w:ind w:firstLine="480" w:firstLineChars="200"/>
        <w:jc w:val="left"/>
        <w:rPr>
          <w:sz w:val="24"/>
        </w:rPr>
      </w:pPr>
      <w:r>
        <w:rPr>
          <w:rFonts w:hint="eastAsia"/>
          <w:sz w:val="24"/>
        </w:rPr>
        <w:t>2022年9月，监测单位对项目场界噪声进行了现场监测，由监测结果可知，项目场界噪声均可满足《工业企业厂界环境噪声排放标准》（GB12348-2008）中2类标准限值要求，满足达标排放，项目场地降噪措施较为可行。</w:t>
      </w:r>
    </w:p>
    <w:p>
      <w:pPr>
        <w:spacing w:line="480" w:lineRule="exact"/>
        <w:ind w:firstLine="482" w:firstLineChars="200"/>
        <w:rPr>
          <w:b/>
          <w:bCs/>
          <w:sz w:val="24"/>
        </w:rPr>
      </w:pPr>
      <w:r>
        <w:rPr>
          <w:rFonts w:hint="eastAsia"/>
          <w:b/>
          <w:bCs/>
          <w:sz w:val="24"/>
        </w:rPr>
        <w:t>2、交通运输噪声防治</w:t>
      </w:r>
    </w:p>
    <w:p>
      <w:pPr>
        <w:spacing w:line="480" w:lineRule="exact"/>
        <w:ind w:firstLine="480" w:firstLineChars="200"/>
        <w:jc w:val="left"/>
        <w:rPr>
          <w:sz w:val="24"/>
        </w:rPr>
      </w:pPr>
      <w:r>
        <w:rPr>
          <w:rFonts w:hint="eastAsia"/>
          <w:sz w:val="24"/>
        </w:rPr>
        <w:t>项目入场生活垃圾采用厢式压缩车进行运输，单车运输量约10～15t，运输车次平均约10车次/天，运输路线主要为“县城西城路—省道李东线（S325）—进场道路”，其中进场道路段长约0.65km，两侧无居民村庄等敏感点分布，省道李东线行驶距离约4.8km，两侧分布有北皇村、辛村村等村庄敏感点，省道李东线车流量较大，本项目厢式压缩车噪声源强相对较小，运输车次及频次相对均较少，非连续噪声源，正常情况下，运输时间均集中在白天8小时工作时间内，对道路沿线居民村庄及临街住户影响较小。</w:t>
      </w:r>
    </w:p>
    <w:p>
      <w:pPr>
        <w:pStyle w:val="6"/>
        <w:spacing w:line="480" w:lineRule="exact"/>
      </w:pPr>
      <w:bookmarkStart w:id="167" w:name="_Toc23544"/>
      <w:r>
        <w:t>6.2.</w:t>
      </w:r>
      <w:r>
        <w:rPr>
          <w:rFonts w:hint="eastAsia"/>
        </w:rPr>
        <w:t>5</w:t>
      </w:r>
      <w:r>
        <w:t xml:space="preserve"> 固体废物</w:t>
      </w:r>
      <w:bookmarkEnd w:id="167"/>
      <w:r>
        <w:rPr>
          <w:rFonts w:hint="eastAsia"/>
        </w:rPr>
        <w:t>处置措施</w:t>
      </w:r>
    </w:p>
    <w:p>
      <w:pPr>
        <w:spacing w:line="480" w:lineRule="exact"/>
        <w:ind w:firstLine="480" w:firstLineChars="200"/>
        <w:rPr>
          <w:sz w:val="24"/>
        </w:rPr>
      </w:pPr>
      <w:r>
        <w:rPr>
          <w:rFonts w:hint="eastAsia"/>
          <w:sz w:val="24"/>
        </w:rPr>
        <w:t>项目运营产生的固废主要为渗滤液处理车间废水处理过程产生的部分过滤渣、少量职工生活垃圾和化粪池粪渣。其中过滤渣和生活垃圾数量较少，性质较为简单，均送至场内库区进行填埋处置；化粪池由县城环卫部门定期清掏，妥善处置后用于农田施肥。</w:t>
      </w:r>
    </w:p>
    <w:p>
      <w:pPr>
        <w:pStyle w:val="6"/>
        <w:spacing w:line="480" w:lineRule="exact"/>
      </w:pPr>
      <w:r>
        <w:t>6.2.</w:t>
      </w:r>
      <w:r>
        <w:rPr>
          <w:rFonts w:hint="eastAsia"/>
        </w:rPr>
        <w:t>6生态环境防治措施</w:t>
      </w:r>
    </w:p>
    <w:p>
      <w:pPr>
        <w:spacing w:line="480" w:lineRule="exact"/>
        <w:ind w:firstLine="496" w:firstLineChars="200"/>
        <w:jc w:val="left"/>
        <w:rPr>
          <w:spacing w:val="4"/>
          <w:sz w:val="24"/>
          <w:lang w:val="zh-CN"/>
        </w:rPr>
      </w:pPr>
      <w:r>
        <w:rPr>
          <w:rFonts w:hint="eastAsia"/>
          <w:spacing w:val="4"/>
          <w:sz w:val="24"/>
          <w:lang w:val="zh-CN"/>
        </w:rPr>
        <w:t>项目场地填埋结束后应进行封场工程和生态恢复，并根据区域气候、植被分布、植物特性等自然条件及经济状况确定封场后场地植被恢复方案，评价主要提出以下生态恢复措施建议：</w:t>
      </w:r>
    </w:p>
    <w:p>
      <w:pPr>
        <w:spacing w:line="480" w:lineRule="exact"/>
        <w:ind w:firstLine="480" w:firstLineChars="200"/>
        <w:jc w:val="left"/>
        <w:rPr>
          <w:sz w:val="24"/>
        </w:rPr>
      </w:pPr>
      <w:r>
        <w:rPr>
          <w:rFonts w:hint="eastAsia"/>
          <w:sz w:val="24"/>
        </w:rPr>
        <w:t>1、结合区域气候、植被分布、植物特性等自然条件及经济状况制定本项目封场后土地复垦总体规划和场地植被恢复方案，提出实施的具体要求。</w:t>
      </w:r>
    </w:p>
    <w:p>
      <w:pPr>
        <w:spacing w:line="480" w:lineRule="exact"/>
        <w:ind w:firstLine="480" w:firstLineChars="200"/>
        <w:jc w:val="left"/>
        <w:rPr>
          <w:sz w:val="24"/>
        </w:rPr>
      </w:pPr>
      <w:r>
        <w:rPr>
          <w:rFonts w:hint="eastAsia"/>
          <w:sz w:val="24"/>
        </w:rPr>
        <w:t>2、垃圾填埋场封场初期由于沉降不均与沉陷，需对垃圾堆体进行维护稳定，避免垃圾流失并美化环境。</w:t>
      </w:r>
    </w:p>
    <w:p>
      <w:pPr>
        <w:spacing w:line="480" w:lineRule="exact"/>
        <w:ind w:firstLine="480" w:firstLineChars="200"/>
        <w:jc w:val="left"/>
        <w:rPr>
          <w:sz w:val="24"/>
        </w:rPr>
      </w:pPr>
      <w:r>
        <w:rPr>
          <w:rFonts w:hint="eastAsia"/>
          <w:sz w:val="24"/>
        </w:rPr>
        <w:t>3、填埋场终场植被恢复应采区分区边填埋边恢复的方针，植物配置宜与周围景观和封场后土地利用规划相协调，遵循先绿后好的原则，先种植宜生存的草本植物，通过植物根系对土壤进行改善，为灌木、乔木的生长创造条件，待草本群落较稳定时，种植灌木和乔木，逐渐引入生态效应和观赏性更高的植物类群，提高场地的多样性和系统稳定性。垃圾填埋场生长环境恶劣，终场后垃圾堆体中不断放散出填埋气且堆体的温度较高，植被种类宜选择抗逆性强又耐干旱、耐贫瘠、易管护的类型。另外，场地植被恢复应防止植物根系对封场土工膜的损害。</w:t>
      </w:r>
    </w:p>
    <w:p>
      <w:pPr>
        <w:spacing w:line="480" w:lineRule="exact"/>
        <w:ind w:firstLine="480" w:firstLineChars="200"/>
        <w:jc w:val="left"/>
        <w:rPr>
          <w:sz w:val="24"/>
        </w:rPr>
      </w:pPr>
      <w:r>
        <w:rPr>
          <w:rFonts w:hint="eastAsia"/>
          <w:sz w:val="24"/>
        </w:rPr>
        <w:t>4、临时堆土场土方进行科学合理调配，避免长期堆存，场地覆土结束后，及时对堆土场地进行生态绿化恢复。</w:t>
      </w:r>
    </w:p>
    <w:p>
      <w:pPr>
        <w:pStyle w:val="6"/>
        <w:spacing w:line="480" w:lineRule="exact"/>
      </w:pPr>
      <w:r>
        <w:t>6.2.</w:t>
      </w:r>
      <w:r>
        <w:rPr>
          <w:rFonts w:hint="eastAsia"/>
        </w:rPr>
        <w:t>7土壤环境</w:t>
      </w:r>
      <w:r>
        <w:rPr>
          <w:rFonts w:hint="eastAsia"/>
          <w:lang w:val="zh-CN"/>
        </w:rPr>
        <w:t>污染防治措施</w:t>
      </w:r>
    </w:p>
    <w:p>
      <w:pPr>
        <w:spacing w:line="480" w:lineRule="exact"/>
        <w:ind w:firstLine="480" w:firstLineChars="200"/>
        <w:jc w:val="left"/>
        <w:rPr>
          <w:sz w:val="24"/>
        </w:rPr>
      </w:pPr>
      <w:r>
        <w:rPr>
          <w:rFonts w:hint="eastAsia"/>
          <w:sz w:val="24"/>
        </w:rPr>
        <w:t>本项目土壤环境污染主要为非正常工况下，场地防渗膜发生破裂后，库区垃圾渗滤液可能出现垂直下渗对土壤环境产生的影响，项目以“源头控制、过程防控、跟踪监测”为原则，主要提出以下措施：</w:t>
      </w:r>
    </w:p>
    <w:p>
      <w:pPr>
        <w:spacing w:line="480" w:lineRule="exact"/>
        <w:ind w:left="630"/>
        <w:rPr>
          <w:b/>
          <w:bCs/>
          <w:sz w:val="24"/>
        </w:rPr>
      </w:pPr>
      <w:r>
        <w:rPr>
          <w:b/>
          <w:bCs/>
          <w:sz w:val="24"/>
        </w:rPr>
        <w:t>（</w:t>
      </w:r>
      <w:r>
        <w:rPr>
          <w:rFonts w:hint="eastAsia"/>
          <w:b/>
          <w:bCs/>
          <w:sz w:val="24"/>
        </w:rPr>
        <w:t>1</w:t>
      </w:r>
      <w:r>
        <w:rPr>
          <w:b/>
          <w:bCs/>
          <w:sz w:val="24"/>
        </w:rPr>
        <w:t>）源头控制</w:t>
      </w:r>
    </w:p>
    <w:p>
      <w:pPr>
        <w:spacing w:line="480" w:lineRule="exact"/>
        <w:ind w:firstLine="480" w:firstLineChars="200"/>
        <w:rPr>
          <w:sz w:val="24"/>
        </w:rPr>
      </w:pPr>
      <w:r>
        <w:rPr>
          <w:rFonts w:hint="eastAsia"/>
          <w:sz w:val="24"/>
        </w:rPr>
        <w:t>加强进场废物的管理，除环卫部门收集、转运的生活垃圾外，其他废物进场必须满足《生活垃圾填埋场污染控制标准》(GB16889-2008)第6条中“填埋废物的入场要求”的相关规定；严格按要求落实库区、渗滤液调节池及渗滤液提升井、渗滤液处理车间等的防渗措施，水平导流盲沟、导流层、</w:t>
      </w:r>
      <w:r>
        <w:rPr>
          <w:sz w:val="24"/>
        </w:rPr>
        <w:t>导气石笼井</w:t>
      </w:r>
      <w:r>
        <w:rPr>
          <w:rFonts w:hint="eastAsia"/>
          <w:sz w:val="24"/>
        </w:rPr>
        <w:t>等渗滤液收集导排设施的建设，库区、场地、封场排水沟等各项雨水导排工程等，运营过程中加强防渗、渗滤液导排、渗滤液处理等设施系统的保养维护。</w:t>
      </w:r>
    </w:p>
    <w:p>
      <w:pPr>
        <w:spacing w:line="480" w:lineRule="exact"/>
        <w:ind w:firstLine="482" w:firstLineChars="200"/>
        <w:rPr>
          <w:b/>
          <w:bCs/>
          <w:sz w:val="24"/>
        </w:rPr>
      </w:pPr>
      <w:r>
        <w:rPr>
          <w:b/>
          <w:bCs/>
          <w:sz w:val="24"/>
        </w:rPr>
        <w:t>（</w:t>
      </w:r>
      <w:r>
        <w:rPr>
          <w:rFonts w:hint="eastAsia"/>
          <w:b/>
          <w:bCs/>
          <w:sz w:val="24"/>
        </w:rPr>
        <w:t>2</w:t>
      </w:r>
      <w:r>
        <w:rPr>
          <w:b/>
          <w:bCs/>
          <w:sz w:val="24"/>
        </w:rPr>
        <w:t>）过程防控</w:t>
      </w:r>
    </w:p>
    <w:p>
      <w:pPr>
        <w:spacing w:line="480" w:lineRule="exact"/>
        <w:ind w:firstLine="480" w:firstLineChars="200"/>
        <w:rPr>
          <w:sz w:val="24"/>
        </w:rPr>
      </w:pPr>
      <w:r>
        <w:rPr>
          <w:rFonts w:hint="eastAsia"/>
          <w:sz w:val="24"/>
        </w:rPr>
        <w:t>规范填埋作业，根据《生活垃圾卫生填埋处理技术规范》（GB50869-2013），严格落实分层摊铺、分层碾压、分单元逐日覆土的作业方式，做好日覆盖、中间覆盖和终场覆盖，特别是雨季的覆盖工作；严格按要求作好渗滤液的收集处理，保证经处理后的</w:t>
      </w:r>
      <w:r>
        <w:rPr>
          <w:rFonts w:hint="eastAsia"/>
          <w:sz w:val="24"/>
          <w:lang w:val="zh-CN"/>
        </w:rPr>
        <w:t>水质满足《生活垃圾填埋场污染控制标准》(GB16889-2008)和《城市污水再生利用城市杂用水水质》(GB/T18920­2020)中城市绿化、道路清扫的标准要求，全部回用于项目场地、县城城市绿化和道路清扫用水，不外排。</w:t>
      </w:r>
    </w:p>
    <w:p>
      <w:pPr>
        <w:spacing w:line="480" w:lineRule="exact"/>
        <w:ind w:left="420" w:leftChars="200"/>
        <w:rPr>
          <w:b/>
          <w:bCs/>
          <w:sz w:val="24"/>
        </w:rPr>
      </w:pPr>
      <w:r>
        <w:rPr>
          <w:b/>
          <w:bCs/>
          <w:sz w:val="24"/>
        </w:rPr>
        <w:t>（</w:t>
      </w:r>
      <w:r>
        <w:rPr>
          <w:rFonts w:hint="eastAsia"/>
          <w:b/>
          <w:bCs/>
          <w:sz w:val="24"/>
        </w:rPr>
        <w:t>3</w:t>
      </w:r>
      <w:r>
        <w:rPr>
          <w:b/>
          <w:bCs/>
          <w:sz w:val="24"/>
        </w:rPr>
        <w:t>）跟踪监测</w:t>
      </w:r>
    </w:p>
    <w:p>
      <w:pPr>
        <w:spacing w:line="480" w:lineRule="exact"/>
        <w:ind w:firstLine="480" w:firstLineChars="200"/>
        <w:rPr>
          <w:sz w:val="24"/>
        </w:rPr>
      </w:pPr>
      <w:r>
        <w:rPr>
          <w:sz w:val="24"/>
        </w:rPr>
        <w:t>制定跟踪监测计划，</w:t>
      </w:r>
      <w:r>
        <w:rPr>
          <w:rFonts w:hint="eastAsia"/>
          <w:sz w:val="24"/>
        </w:rPr>
        <w:t>在场外西北侧下游约50~100m的农田处设1个土壤跟踪监测点，</w:t>
      </w:r>
      <w:r>
        <w:rPr>
          <w:sz w:val="24"/>
        </w:rPr>
        <w:t>监测因子</w:t>
      </w:r>
      <w:r>
        <w:rPr>
          <w:rFonts w:hint="eastAsia"/>
          <w:sz w:val="24"/>
        </w:rPr>
        <w:t>包括</w:t>
      </w:r>
      <w:r>
        <w:rPr>
          <w:sz w:val="24"/>
        </w:rPr>
        <w:t>PH、镉、汞、砷、铅、铬、铜、镍、锌共9项，标准执行《土壤环境质量农用地土壤污染风险管控标准（试行）》（GB/15618-2018）中规定的筛选值，监测频率</w:t>
      </w:r>
      <w:r>
        <w:rPr>
          <w:rFonts w:hint="eastAsia"/>
          <w:sz w:val="24"/>
        </w:rPr>
        <w:t>均</w:t>
      </w:r>
      <w:r>
        <w:rPr>
          <w:sz w:val="24"/>
        </w:rPr>
        <w:t>为1次/</w:t>
      </w:r>
      <w:r>
        <w:rPr>
          <w:rFonts w:hint="eastAsia"/>
          <w:sz w:val="24"/>
        </w:rPr>
        <w:t>5</w:t>
      </w:r>
      <w:r>
        <w:rPr>
          <w:sz w:val="24"/>
        </w:rPr>
        <w:t>年。</w:t>
      </w:r>
    </w:p>
    <w:p>
      <w:pPr>
        <w:pStyle w:val="6"/>
        <w:spacing w:line="480" w:lineRule="exact"/>
      </w:pPr>
      <w:r>
        <w:t>6.2.</w:t>
      </w:r>
      <w:r>
        <w:rPr>
          <w:rFonts w:hint="eastAsia"/>
        </w:rPr>
        <w:t>8环境风险防范措施</w:t>
      </w:r>
    </w:p>
    <w:p>
      <w:pPr>
        <w:spacing w:line="480" w:lineRule="exact"/>
        <w:ind w:firstLine="480" w:firstLineChars="200"/>
        <w:jc w:val="left"/>
        <w:rPr>
          <w:sz w:val="24"/>
        </w:rPr>
      </w:pPr>
      <w:r>
        <w:rPr>
          <w:sz w:val="24"/>
          <w:lang w:val="zh-CN"/>
        </w:rPr>
        <w:t>项目环境风险主要为垃圾填埋气火灾爆炸、渗滤液系统事故泄露及垃圾堆体沉降滑坡等，</w:t>
      </w:r>
      <w:r>
        <w:rPr>
          <w:rFonts w:hint="eastAsia"/>
          <w:sz w:val="24"/>
        </w:rPr>
        <w:t>项目主要采取以下环境风险防范措施：</w:t>
      </w:r>
    </w:p>
    <w:p>
      <w:pPr>
        <w:autoSpaceDE w:val="0"/>
        <w:autoSpaceDN w:val="0"/>
        <w:adjustRightInd w:val="0"/>
        <w:spacing w:line="480" w:lineRule="exact"/>
        <w:ind w:firstLine="482" w:firstLineChars="200"/>
        <w:rPr>
          <w:b/>
          <w:bCs/>
          <w:kern w:val="24"/>
          <w:sz w:val="24"/>
        </w:rPr>
      </w:pPr>
      <w:r>
        <w:rPr>
          <w:rFonts w:hint="eastAsia"/>
          <w:b/>
          <w:bCs/>
          <w:kern w:val="24"/>
          <w:sz w:val="24"/>
        </w:rPr>
        <w:t>1、填埋气火灾爆炸：</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1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①</w:t>
      </w:r>
      <w:r>
        <w:rPr>
          <w:rFonts w:ascii="Times New Roman" w:hAnsi="Times New Roman" w:eastAsia="宋体"/>
          <w:b w:val="0"/>
          <w:bCs w:val="0"/>
          <w:sz w:val="24"/>
        </w:rPr>
        <w:fldChar w:fldCharType="end"/>
      </w:r>
      <w:r>
        <w:rPr>
          <w:rFonts w:hint="eastAsia" w:ascii="Times New Roman" w:hAnsi="Times New Roman" w:eastAsia="宋体"/>
          <w:b w:val="0"/>
          <w:bCs w:val="0"/>
          <w:sz w:val="24"/>
        </w:rPr>
        <w:t>制定填埋场消防规章制度，由专人负责检查落实，并按要求配备消防设施。</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2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②</w:t>
      </w:r>
      <w:r>
        <w:rPr>
          <w:rFonts w:ascii="Times New Roman" w:hAnsi="Times New Roman" w:eastAsia="宋体"/>
          <w:b w:val="0"/>
          <w:bCs w:val="0"/>
          <w:sz w:val="24"/>
        </w:rPr>
        <w:fldChar w:fldCharType="end"/>
      </w:r>
      <w:r>
        <w:rPr>
          <w:rFonts w:hint="eastAsia" w:ascii="Times New Roman" w:hAnsi="Times New Roman" w:eastAsia="宋体"/>
          <w:b w:val="0"/>
          <w:bCs w:val="0"/>
          <w:sz w:val="24"/>
        </w:rPr>
        <w:t>在甲烷易积聚的地方安装填埋气体监测及安全报警装置，根据现行国家标准《生活垃圾填埋场污染控制标准》（GB16889-2008）等相关标准要求，对填埋库区、填埋气体排放口的甲烷浓度进行自动监测。</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3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③</w:t>
      </w:r>
      <w:r>
        <w:rPr>
          <w:rFonts w:ascii="Times New Roman" w:hAnsi="Times New Roman" w:eastAsia="宋体"/>
          <w:b w:val="0"/>
          <w:bCs w:val="0"/>
          <w:sz w:val="24"/>
        </w:rPr>
        <w:fldChar w:fldCharType="end"/>
      </w:r>
      <w:r>
        <w:rPr>
          <w:rFonts w:hint="eastAsia" w:ascii="Times New Roman" w:hAnsi="Times New Roman" w:eastAsia="宋体"/>
          <w:b w:val="0"/>
          <w:bCs w:val="0"/>
          <w:sz w:val="24"/>
        </w:rPr>
        <w:t>对填埋场的全体工作人员（包括临时参观人员）进行安全常识教育，定期举行消防演练，尽量减少无关人员的进出，填埋区进场口及其他醒目位置设置禁止携带火源和易燃易爆物品的防火防爆标识，对携带有火源或易燃易爆物质的进场人员或车辆进行严格限制和检查；场区内严禁吸烟和明火作业。每天上班前必须有专人检查垃圾场周围空气是否达到警戒浓度，如果达到警戒浓度应马上通知全体人员撤离垃圾场，并采取相应安全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4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④</w:t>
      </w:r>
      <w:r>
        <w:rPr>
          <w:rFonts w:ascii="Times New Roman" w:hAnsi="Times New Roman" w:eastAsia="宋体"/>
          <w:b w:val="0"/>
          <w:bCs w:val="0"/>
          <w:sz w:val="24"/>
        </w:rPr>
        <w:fldChar w:fldCharType="end"/>
      </w:r>
      <w:r>
        <w:rPr>
          <w:rFonts w:hint="eastAsia" w:ascii="Times New Roman" w:hAnsi="Times New Roman" w:eastAsia="宋体"/>
          <w:b w:val="0"/>
          <w:bCs w:val="0"/>
          <w:sz w:val="24"/>
        </w:rPr>
        <w:t>填埋场运营设备、电气装置满足防火防爆的要求，对场区内的防火防 爆设备定期进行安全检测，检测内容、时间、人员应有记录保存。</w:t>
      </w:r>
    </w:p>
    <w:p>
      <w:pPr>
        <w:pStyle w:val="38"/>
        <w:spacing w:line="480" w:lineRule="exact"/>
        <w:ind w:firstLine="480" w:firstLineChars="200"/>
        <w:rPr>
          <w:rFonts w:asciiTheme="minorEastAsia" w:hAnsiTheme="minorEastAsia" w:eastAsiaTheme="minorEastAsia" w:cstheme="minorEastAsia"/>
          <w:b w:val="0"/>
          <w:bCs w:val="0"/>
          <w:sz w:val="24"/>
        </w:rPr>
      </w:pPr>
      <w:r>
        <w:rPr>
          <w:rFonts w:hint="eastAsia"/>
          <w:b w:val="0"/>
          <w:bCs w:val="0"/>
          <w:sz w:val="24"/>
        </w:rPr>
        <w:fldChar w:fldCharType="begin"/>
      </w:r>
      <w:r>
        <w:rPr>
          <w:rFonts w:hint="eastAsia"/>
          <w:b w:val="0"/>
          <w:bCs w:val="0"/>
          <w:sz w:val="24"/>
        </w:rPr>
        <w:instrText xml:space="preserve"> = 5 \* GB3 \* MERGEFORMAT </w:instrText>
      </w:r>
      <w:r>
        <w:rPr>
          <w:rFonts w:hint="eastAsia"/>
          <w:b w:val="0"/>
          <w:bCs w:val="0"/>
          <w:sz w:val="24"/>
        </w:rPr>
        <w:fldChar w:fldCharType="separate"/>
      </w:r>
      <w:r>
        <w:rPr>
          <w:b w:val="0"/>
          <w:bCs w:val="0"/>
          <w:sz w:val="24"/>
        </w:rPr>
        <w:t>⑤</w:t>
      </w:r>
      <w:r>
        <w:rPr>
          <w:rFonts w:hint="eastAsia"/>
          <w:b w:val="0"/>
          <w:bCs w:val="0"/>
          <w:sz w:val="24"/>
        </w:rPr>
        <w:fldChar w:fldCharType="end"/>
      </w:r>
      <w:r>
        <w:rPr>
          <w:rFonts w:hint="eastAsia" w:asciiTheme="minorEastAsia" w:hAnsiTheme="minorEastAsia" w:eastAsiaTheme="minorEastAsia" w:cstheme="minorEastAsia"/>
          <w:b w:val="0"/>
          <w:bCs w:val="0"/>
          <w:sz w:val="24"/>
        </w:rPr>
        <w:t>建立健全场地垃圾填埋气导排、收集、处理系统，并保障设备设施正常有效运行。</w:t>
      </w:r>
    </w:p>
    <w:p>
      <w:pPr>
        <w:spacing w:line="480" w:lineRule="exact"/>
        <w:ind w:firstLine="482" w:firstLineChars="200"/>
        <w:rPr>
          <w:b/>
          <w:bCs/>
          <w:sz w:val="24"/>
        </w:rPr>
      </w:pPr>
      <w:r>
        <w:rPr>
          <w:rFonts w:hint="eastAsia"/>
          <w:b/>
          <w:bCs/>
          <w:sz w:val="24"/>
        </w:rPr>
        <w:t>2、渗滤液系统事故泄露：</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1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①</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严格按《生活垃圾填埋场污染控制标准》(GB16889-2008)</w:t>
      </w:r>
      <w:r>
        <w:rPr>
          <w:rFonts w:hint="eastAsia" w:ascii="Times New Roman" w:hAnsi="Times New Roman" w:eastAsia="宋体" w:cs="Times New Roman"/>
          <w:b w:val="0"/>
          <w:bCs w:val="0"/>
          <w:color w:val="auto"/>
          <w:sz w:val="24"/>
        </w:rPr>
        <w:t>要求进行防渗层完整性监测和</w:t>
      </w:r>
      <w:r>
        <w:rPr>
          <w:rFonts w:ascii="Times New Roman" w:hAnsi="Times New Roman" w:eastAsia="宋体" w:cs="Times New Roman"/>
          <w:b w:val="0"/>
          <w:bCs w:val="0"/>
          <w:color w:val="auto"/>
          <w:sz w:val="24"/>
        </w:rPr>
        <w:t>污染扩散井</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污染监视井</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本底井的</w:t>
      </w:r>
      <w:r>
        <w:rPr>
          <w:rFonts w:hint="eastAsia" w:ascii="Times New Roman" w:hAnsi="Times New Roman" w:eastAsia="宋体" w:cs="Times New Roman"/>
          <w:b w:val="0"/>
          <w:bCs w:val="0"/>
          <w:color w:val="auto"/>
          <w:sz w:val="24"/>
        </w:rPr>
        <w:t>地下水</w:t>
      </w:r>
      <w:r>
        <w:rPr>
          <w:rFonts w:ascii="Times New Roman" w:hAnsi="Times New Roman" w:eastAsia="宋体" w:cs="Times New Roman"/>
          <w:b w:val="0"/>
          <w:bCs w:val="0"/>
          <w:color w:val="auto"/>
          <w:sz w:val="24"/>
        </w:rPr>
        <w:t>水质监测</w:t>
      </w:r>
      <w:r>
        <w:rPr>
          <w:rFonts w:hint="eastAsia" w:ascii="Times New Roman" w:hAnsi="Times New Roman" w:eastAsia="宋体" w:cs="Times New Roman"/>
          <w:b w:val="0"/>
          <w:bCs w:val="0"/>
          <w:color w:val="auto"/>
          <w:sz w:val="24"/>
        </w:rPr>
        <w:t>，发现防渗衬层发生渗漏或地下水质有被污染迹象时，应及时查找原因，发现渗漏位置并采取补救措施，防止污染进一步扩散。做到早发现、早补救。</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2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②</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场地运营过程中，要防止因尖状物刺穿、机械损坏、冻结冻裂、基础防渗膜外露、化学腐蚀等原因造成的防渗层渗漏，</w:t>
      </w:r>
      <w:r>
        <w:rPr>
          <w:rFonts w:hint="eastAsia" w:ascii="Times New Roman" w:hAnsi="Times New Roman" w:eastAsia="宋体" w:cs="Times New Roman"/>
          <w:b w:val="0"/>
          <w:bCs w:val="0"/>
          <w:color w:val="auto"/>
          <w:sz w:val="24"/>
        </w:rPr>
        <w:t>应</w:t>
      </w:r>
      <w:r>
        <w:rPr>
          <w:rFonts w:ascii="Times New Roman" w:hAnsi="Times New Roman" w:eastAsia="宋体" w:cs="Times New Roman"/>
          <w:b w:val="0"/>
          <w:bCs w:val="0"/>
          <w:color w:val="auto"/>
          <w:sz w:val="24"/>
        </w:rPr>
        <w:t>注意监测渗滤液的产生量，当发生原因不明的渗滤液数量骤减的情况，应首先考虑防渗层是否断裂。一旦发生防渗层断裂，应尽快查明断裂发生的位置，确定能否采取补救措施，如更换人工防渗衬层、疏通导排系统等，并判断断裂处作业单元至整个填埋场继续使用的可能性，同时对处理场下游方向的土壤和地下水进行监测，确定可能产生的污染影响。</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3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③</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在保证填埋工艺质量的前提下，经常清洗渗滤液收集和排放管道使其保持通畅。</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4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④</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确保雨水和渗滤液分流</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每年汛期之前，</w:t>
      </w:r>
      <w:r>
        <w:rPr>
          <w:rFonts w:hint="eastAsia" w:ascii="Times New Roman" w:hAnsi="Times New Roman" w:eastAsia="宋体" w:cs="Times New Roman"/>
          <w:b w:val="0"/>
          <w:bCs w:val="0"/>
          <w:color w:val="auto"/>
          <w:sz w:val="24"/>
        </w:rPr>
        <w:t>对场地</w:t>
      </w:r>
      <w:r>
        <w:rPr>
          <w:rFonts w:ascii="Times New Roman" w:hAnsi="Times New Roman" w:eastAsia="宋体" w:cs="Times New Roman"/>
          <w:b w:val="0"/>
          <w:bCs w:val="0"/>
          <w:color w:val="auto"/>
          <w:sz w:val="24"/>
        </w:rPr>
        <w:t>雨水排水沟</w:t>
      </w:r>
      <w:r>
        <w:rPr>
          <w:rFonts w:hint="eastAsia" w:ascii="Times New Roman" w:hAnsi="Times New Roman" w:eastAsia="宋体" w:cs="Times New Roman"/>
          <w:b w:val="0"/>
          <w:bCs w:val="0"/>
          <w:color w:val="auto"/>
          <w:sz w:val="24"/>
        </w:rPr>
        <w:t>进行</w:t>
      </w:r>
      <w:r>
        <w:rPr>
          <w:rFonts w:ascii="Times New Roman" w:hAnsi="Times New Roman" w:eastAsia="宋体" w:cs="Times New Roman"/>
          <w:b w:val="0"/>
          <w:bCs w:val="0"/>
          <w:color w:val="auto"/>
          <w:sz w:val="24"/>
        </w:rPr>
        <w:t>整修，加强雨水外排能力，确保其畅通无阻。</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5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⑤</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在有大雨、暴雨预报时，</w:t>
      </w:r>
      <w:r>
        <w:rPr>
          <w:rFonts w:hint="eastAsia" w:ascii="Times New Roman" w:hAnsi="Times New Roman" w:eastAsia="宋体" w:cs="Times New Roman"/>
          <w:b w:val="0"/>
          <w:bCs w:val="0"/>
          <w:color w:val="auto"/>
          <w:sz w:val="24"/>
        </w:rPr>
        <w:t>及时调节渗滤液收集池余量，并做好</w:t>
      </w:r>
      <w:r>
        <w:rPr>
          <w:rFonts w:ascii="Times New Roman" w:hAnsi="Times New Roman" w:eastAsia="宋体" w:cs="Times New Roman"/>
          <w:b w:val="0"/>
          <w:bCs w:val="0"/>
          <w:color w:val="auto"/>
          <w:sz w:val="24"/>
        </w:rPr>
        <w:t>垃圾填埋作业面</w:t>
      </w:r>
      <w:r>
        <w:rPr>
          <w:rFonts w:hint="eastAsia" w:ascii="Times New Roman" w:hAnsi="Times New Roman" w:eastAsia="宋体" w:cs="Times New Roman"/>
          <w:b w:val="0"/>
          <w:bCs w:val="0"/>
          <w:color w:val="auto"/>
          <w:sz w:val="24"/>
        </w:rPr>
        <w:t>的覆盖。</w:t>
      </w:r>
    </w:p>
    <w:p>
      <w:pPr>
        <w:spacing w:line="480" w:lineRule="exact"/>
        <w:ind w:firstLine="482" w:firstLineChars="200"/>
        <w:rPr>
          <w:b/>
          <w:bCs/>
          <w:sz w:val="24"/>
        </w:rPr>
      </w:pPr>
      <w:r>
        <w:rPr>
          <w:rFonts w:hint="eastAsia"/>
          <w:b/>
          <w:bCs/>
          <w:sz w:val="24"/>
        </w:rPr>
        <w:t>3、垃圾堆体沉降滑坡：</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1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①</w:t>
      </w:r>
      <w:r>
        <w:rPr>
          <w:rFonts w:ascii="Times New Roman" w:hAnsi="Times New Roman" w:eastAsia="宋体" w:cs="Times New Roman"/>
          <w:b w:val="0"/>
          <w:bCs w:val="0"/>
          <w:color w:val="auto"/>
          <w:sz w:val="24"/>
        </w:rPr>
        <w:fldChar w:fldCharType="end"/>
      </w:r>
      <w:r>
        <w:rPr>
          <w:rFonts w:hint="eastAsia" w:ascii="Times New Roman" w:hAnsi="Times New Roman" w:eastAsia="宋体" w:cs="Times New Roman"/>
          <w:b w:val="0"/>
          <w:bCs w:val="0"/>
          <w:color w:val="auto"/>
          <w:sz w:val="24"/>
          <w:lang w:val="zh-CN"/>
        </w:rPr>
        <w:t>科学填埋作业，严格落实分区、分单元，从下至上分层填埋的作业方式，及时进行摊平压实并满足压实密度要求。</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2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②</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控制堆体的坡度，确保填埋堆体的稳定性。</w:t>
      </w:r>
      <w:r>
        <w:rPr>
          <w:rFonts w:ascii="Times New Roman" w:hAnsi="Times New Roman" w:eastAsia="宋体" w:cs="Times New Roman"/>
          <w:b w:val="0"/>
          <w:bCs w:val="0"/>
          <w:color w:val="auto"/>
          <w:sz w:val="24"/>
          <w:lang w:val="zh-CN"/>
        </w:rPr>
        <w:t>填埋高度与</w:t>
      </w:r>
      <w:r>
        <w:rPr>
          <w:rFonts w:hint="eastAsia" w:ascii="Times New Roman" w:hAnsi="Times New Roman" w:eastAsia="宋体" w:cs="Times New Roman"/>
          <w:b w:val="0"/>
          <w:bCs w:val="0"/>
          <w:color w:val="auto"/>
          <w:sz w:val="24"/>
          <w:lang w:val="zh-CN"/>
        </w:rPr>
        <w:t>围合坝</w:t>
      </w:r>
      <w:r>
        <w:rPr>
          <w:rFonts w:ascii="Times New Roman" w:hAnsi="Times New Roman" w:eastAsia="宋体" w:cs="Times New Roman"/>
          <w:b w:val="0"/>
          <w:bCs w:val="0"/>
          <w:color w:val="auto"/>
          <w:sz w:val="24"/>
          <w:lang w:val="zh-CN"/>
        </w:rPr>
        <w:t>持平后，</w:t>
      </w:r>
      <w:r>
        <w:rPr>
          <w:rFonts w:hint="eastAsia" w:ascii="Times New Roman" w:hAnsi="Times New Roman" w:eastAsia="宋体" w:cs="Times New Roman"/>
          <w:b w:val="0"/>
          <w:bCs w:val="0"/>
          <w:color w:val="auto"/>
          <w:sz w:val="24"/>
          <w:lang w:val="zh-CN"/>
        </w:rPr>
        <w:t>按设计要求进行</w:t>
      </w:r>
      <w:r>
        <w:rPr>
          <w:rFonts w:ascii="Times New Roman" w:hAnsi="Times New Roman" w:eastAsia="宋体" w:cs="Times New Roman"/>
          <w:b w:val="0"/>
          <w:bCs w:val="0"/>
          <w:color w:val="auto"/>
          <w:sz w:val="24"/>
          <w:lang w:val="zh-CN"/>
        </w:rPr>
        <w:t>后退起坡，直至封场高程</w:t>
      </w:r>
      <w:r>
        <w:rPr>
          <w:rFonts w:hint="eastAsia" w:ascii="Times New Roman" w:hAnsi="Times New Roman" w:eastAsia="宋体" w:cs="Times New Roman"/>
          <w:b w:val="0"/>
          <w:bCs w:val="0"/>
          <w:color w:val="auto"/>
          <w:sz w:val="24"/>
          <w:lang w:val="zh-CN"/>
        </w:rPr>
        <w:t>，并采取</w:t>
      </w:r>
      <w:r>
        <w:rPr>
          <w:rFonts w:ascii="Times New Roman" w:hAnsi="Times New Roman" w:eastAsia="宋体" w:cs="Times New Roman"/>
          <w:b w:val="0"/>
          <w:bCs w:val="0"/>
          <w:color w:val="auto"/>
          <w:sz w:val="24"/>
          <w:lang w:val="zh-CN"/>
        </w:rPr>
        <w:t>边坡排水</w:t>
      </w:r>
      <w:r>
        <w:rPr>
          <w:rFonts w:hint="eastAsia" w:ascii="Times New Roman" w:hAnsi="Times New Roman" w:eastAsia="宋体" w:cs="Times New Roman"/>
          <w:b w:val="0"/>
          <w:bCs w:val="0"/>
          <w:color w:val="auto"/>
          <w:sz w:val="24"/>
          <w:lang w:val="zh-CN"/>
        </w:rPr>
        <w:t>、</w:t>
      </w:r>
      <w:r>
        <w:rPr>
          <w:rFonts w:ascii="Times New Roman" w:hAnsi="Times New Roman" w:eastAsia="宋体" w:cs="Times New Roman"/>
          <w:b w:val="0"/>
          <w:bCs w:val="0"/>
          <w:color w:val="auto"/>
          <w:sz w:val="24"/>
          <w:lang w:val="zh-CN"/>
        </w:rPr>
        <w:t>移植草皮护坡</w:t>
      </w:r>
      <w:r>
        <w:rPr>
          <w:rFonts w:hint="eastAsia" w:ascii="Times New Roman" w:hAnsi="Times New Roman" w:eastAsia="宋体" w:cs="Times New Roman"/>
          <w:b w:val="0"/>
          <w:bCs w:val="0"/>
          <w:color w:val="auto"/>
          <w:sz w:val="24"/>
          <w:lang w:val="zh-CN"/>
        </w:rPr>
        <w:t>等措施。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3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③</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lang w:val="zh-CN"/>
        </w:rPr>
        <w:t>在垃圾堆体上部设沉降观测点，定期进行相对标高、相对角度观测，以随时掌垃圾堆体沉降情况</w:t>
      </w:r>
      <w:r>
        <w:rPr>
          <w:rFonts w:hint="eastAsia" w:ascii="Times New Roman" w:hAnsi="Times New Roman" w:eastAsia="宋体" w:cs="Times New Roman"/>
          <w:b w:val="0"/>
          <w:bCs w:val="0"/>
          <w:color w:val="auto"/>
          <w:sz w:val="24"/>
          <w:lang w:val="zh-CN"/>
        </w:rPr>
        <w:t>，</w:t>
      </w:r>
      <w:r>
        <w:rPr>
          <w:rFonts w:ascii="Times New Roman" w:hAnsi="Times New Roman" w:eastAsia="宋体" w:cs="Times New Roman"/>
          <w:b w:val="0"/>
          <w:bCs w:val="0"/>
          <w:color w:val="auto"/>
          <w:sz w:val="24"/>
          <w:lang w:val="zh-CN"/>
        </w:rPr>
        <w:t>发现堆体</w:t>
      </w:r>
      <w:r>
        <w:rPr>
          <w:rFonts w:hint="eastAsia" w:ascii="Times New Roman" w:hAnsi="Times New Roman" w:eastAsia="宋体" w:cs="Times New Roman"/>
          <w:b w:val="0"/>
          <w:bCs w:val="0"/>
          <w:color w:val="auto"/>
          <w:sz w:val="24"/>
          <w:lang w:val="zh-CN"/>
        </w:rPr>
        <w:t>因</w:t>
      </w:r>
      <w:r>
        <w:rPr>
          <w:rFonts w:ascii="Times New Roman" w:hAnsi="Times New Roman" w:eastAsia="宋体" w:cs="Times New Roman"/>
          <w:b w:val="0"/>
          <w:bCs w:val="0"/>
          <w:color w:val="auto"/>
          <w:sz w:val="24"/>
          <w:lang w:val="zh-CN"/>
        </w:rPr>
        <w:t>垃圾分解造成的不均匀沉降形成裂隙</w:t>
      </w:r>
      <w:r>
        <w:rPr>
          <w:rFonts w:hint="eastAsia" w:ascii="Times New Roman" w:hAnsi="Times New Roman" w:eastAsia="宋体" w:cs="Times New Roman"/>
          <w:b w:val="0"/>
          <w:bCs w:val="0"/>
          <w:color w:val="auto"/>
          <w:sz w:val="24"/>
          <w:lang w:val="zh-CN"/>
        </w:rPr>
        <w:t>时，</w:t>
      </w:r>
      <w:r>
        <w:rPr>
          <w:rFonts w:ascii="Times New Roman" w:hAnsi="Times New Roman" w:eastAsia="宋体" w:cs="Times New Roman"/>
          <w:b w:val="0"/>
          <w:bCs w:val="0"/>
          <w:color w:val="auto"/>
          <w:sz w:val="24"/>
          <w:lang w:val="zh-CN"/>
        </w:rPr>
        <w:t>及时</w:t>
      </w:r>
      <w:r>
        <w:rPr>
          <w:rFonts w:hint="eastAsia" w:ascii="Times New Roman" w:hAnsi="Times New Roman" w:eastAsia="宋体" w:cs="Times New Roman"/>
          <w:b w:val="0"/>
          <w:bCs w:val="0"/>
          <w:color w:val="auto"/>
          <w:sz w:val="24"/>
          <w:lang w:val="zh-CN"/>
        </w:rPr>
        <w:t>进行</w:t>
      </w:r>
      <w:r>
        <w:rPr>
          <w:rFonts w:ascii="Times New Roman" w:hAnsi="Times New Roman" w:eastAsia="宋体" w:cs="Times New Roman"/>
          <w:b w:val="0"/>
          <w:bCs w:val="0"/>
          <w:color w:val="auto"/>
          <w:sz w:val="24"/>
          <w:lang w:val="zh-CN"/>
        </w:rPr>
        <w:t>填充密实</w:t>
      </w:r>
      <w:r>
        <w:rPr>
          <w:rFonts w:hint="eastAsia" w:ascii="Times New Roman" w:hAnsi="Times New Roman" w:eastAsia="宋体" w:cs="Times New Roman"/>
          <w:b w:val="0"/>
          <w:bCs w:val="0"/>
          <w:color w:val="auto"/>
          <w:sz w:val="24"/>
          <w:lang w:val="zh-CN"/>
        </w:rPr>
        <w:t>等。</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4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④</w:t>
      </w:r>
      <w:r>
        <w:rPr>
          <w:rFonts w:ascii="Times New Roman" w:hAnsi="Times New Roman" w:eastAsia="宋体" w:cs="Times New Roman"/>
          <w:b w:val="0"/>
          <w:bCs w:val="0"/>
          <w:color w:val="auto"/>
          <w:sz w:val="24"/>
        </w:rPr>
        <w:fldChar w:fldCharType="end"/>
      </w:r>
      <w:r>
        <w:rPr>
          <w:rFonts w:hint="eastAsia" w:ascii="Times New Roman" w:hAnsi="Times New Roman" w:eastAsia="宋体" w:cs="Times New Roman"/>
          <w:b w:val="0"/>
          <w:bCs w:val="0"/>
          <w:color w:val="auto"/>
          <w:sz w:val="24"/>
          <w:lang w:val="zh-CN"/>
        </w:rPr>
        <w:t>及时做好填埋作业面的覆盖，减少进入垃圾层的降雨量，避免垃圾层因雨水过多而失稳。</w:t>
      </w:r>
    </w:p>
    <w:p>
      <w:pPr>
        <w:spacing w:line="480" w:lineRule="exact"/>
        <w:ind w:firstLine="482" w:firstLineChars="200"/>
        <w:rPr>
          <w:rFonts w:eastAsiaTheme="minorEastAsia"/>
          <w:b/>
          <w:bCs/>
          <w:sz w:val="24"/>
        </w:rPr>
      </w:pPr>
      <w:r>
        <w:rPr>
          <w:rFonts w:hint="eastAsia"/>
          <w:b/>
          <w:bCs/>
          <w:sz w:val="24"/>
        </w:rPr>
        <w:t>4</w:t>
      </w:r>
      <w:r>
        <w:rPr>
          <w:rFonts w:eastAsiaTheme="minorEastAsia"/>
          <w:b/>
          <w:bCs/>
          <w:sz w:val="24"/>
        </w:rPr>
        <w:t>、环境风险突发事故应急预案</w:t>
      </w:r>
    </w:p>
    <w:p>
      <w:pPr>
        <w:autoSpaceDE w:val="0"/>
        <w:autoSpaceDN w:val="0"/>
        <w:adjustRightInd w:val="0"/>
        <w:spacing w:line="480" w:lineRule="exact"/>
        <w:ind w:firstLine="480" w:firstLineChars="200"/>
        <w:textAlignment w:val="baseline"/>
        <w:rPr>
          <w:rFonts w:ascii="宋体" w:hAnsi="宋体"/>
          <w:kern w:val="24"/>
          <w:sz w:val="24"/>
        </w:rPr>
      </w:pPr>
      <w:r>
        <w:rPr>
          <w:rFonts w:hint="eastAsia"/>
          <w:sz w:val="24"/>
        </w:rPr>
        <w:t>评价要求项目单位应针对本项目环境风险，制定有效的风险事故应急预案，加强事故防范力度和处理能力。</w:t>
      </w:r>
    </w:p>
    <w:p>
      <w:pPr>
        <w:tabs>
          <w:tab w:val="left" w:pos="280"/>
          <w:tab w:val="left" w:pos="1290"/>
        </w:tabs>
        <w:adjustRightInd w:val="0"/>
        <w:snapToGrid w:val="0"/>
        <w:spacing w:line="480" w:lineRule="exact"/>
        <w:ind w:firstLine="480" w:firstLineChars="200"/>
        <w:rPr>
          <w:sz w:val="24"/>
        </w:rPr>
      </w:pPr>
      <w:r>
        <w:rPr>
          <w:rFonts w:hint="eastAsia" w:ascii="宋体" w:hAnsi="宋体"/>
          <w:kern w:val="24"/>
          <w:sz w:val="24"/>
        </w:rPr>
        <w:t>采取以上措施后，</w:t>
      </w:r>
      <w:r>
        <w:rPr>
          <w:rFonts w:hint="eastAsia"/>
          <w:sz w:val="24"/>
        </w:rPr>
        <w:t>可有效降低事故发生的几率，项目风险事故的环境影响也可控制在可防控范围内。</w:t>
      </w:r>
    </w:p>
    <w:p>
      <w:pPr>
        <w:pStyle w:val="5"/>
        <w:spacing w:beforeLines="0" w:after="120"/>
        <w:rPr>
          <w:rFonts w:eastAsia="宋体"/>
          <w:b/>
          <w:bCs w:val="0"/>
          <w:color w:val="auto"/>
          <w:szCs w:val="30"/>
        </w:rPr>
      </w:pPr>
      <w:bookmarkStart w:id="168" w:name="_Toc1067075457"/>
      <w:r>
        <w:rPr>
          <w:rFonts w:eastAsia="宋体"/>
          <w:b/>
          <w:bCs w:val="0"/>
          <w:color w:val="auto"/>
          <w:szCs w:val="30"/>
        </w:rPr>
        <w:t>6.</w:t>
      </w:r>
      <w:r>
        <w:rPr>
          <w:rFonts w:hint="eastAsia" w:eastAsia="宋体"/>
          <w:b/>
          <w:bCs w:val="0"/>
          <w:color w:val="auto"/>
          <w:szCs w:val="30"/>
        </w:rPr>
        <w:t>3封场后环境影响</w:t>
      </w:r>
      <w:r>
        <w:rPr>
          <w:rFonts w:eastAsia="宋体"/>
          <w:b/>
          <w:bCs w:val="0"/>
          <w:color w:val="auto"/>
          <w:szCs w:val="30"/>
        </w:rPr>
        <w:t>防治措施</w:t>
      </w:r>
      <w:bookmarkEnd w:id="168"/>
    </w:p>
    <w:p>
      <w:pPr>
        <w:spacing w:line="480" w:lineRule="exact"/>
        <w:ind w:firstLine="480" w:firstLineChars="200"/>
        <w:jc w:val="left"/>
        <w:rPr>
          <w:sz w:val="24"/>
        </w:rPr>
      </w:pPr>
      <w:r>
        <w:rPr>
          <w:rFonts w:hint="eastAsia"/>
          <w:sz w:val="24"/>
        </w:rPr>
        <w:t>项目场地生活垃圾填埋达到设计标高和设计容量时，必须按要求进行垃圾堆体整形、终场覆盖、堆体表面敷设排水沟等封场处理，终场覆盖各层应具有排气、防渗、排水、绿化土层等功能。封场处理作用主要为减少大气降雨进入填埋区内，提高表面排水能力，从而减少渗滤液的产量及减少腐蚀，防止沉降。</w:t>
      </w:r>
    </w:p>
    <w:p>
      <w:pPr>
        <w:spacing w:line="480" w:lineRule="exact"/>
        <w:ind w:firstLine="480" w:firstLineChars="200"/>
        <w:jc w:val="left"/>
        <w:rPr>
          <w:sz w:val="24"/>
        </w:rPr>
      </w:pPr>
      <w:r>
        <w:rPr>
          <w:rFonts w:hint="eastAsia"/>
          <w:sz w:val="24"/>
        </w:rPr>
        <w:t>1、封场后应对垃圾堆体进行平整整形，按设计要求控制堆体的坡度，确保填埋堆体的稳定性。</w:t>
      </w:r>
    </w:p>
    <w:p>
      <w:pPr>
        <w:spacing w:line="480" w:lineRule="exact"/>
        <w:ind w:firstLine="480" w:firstLineChars="200"/>
        <w:jc w:val="left"/>
        <w:rPr>
          <w:sz w:val="24"/>
        </w:rPr>
      </w:pPr>
      <w:r>
        <w:rPr>
          <w:rFonts w:hint="eastAsia"/>
          <w:sz w:val="24"/>
        </w:rPr>
        <w:t>2、根据设计，封场覆盖层由上至下应依次包括：100cm厚表层土层+排水层+防渗层（2.0mm厚HDPE复合衬层）+膜下保护层（30cm厚粘土层）+排气层（20～40mm河卵石）。</w:t>
      </w:r>
      <w:r>
        <w:rPr>
          <w:rFonts w:hint="eastAsia"/>
          <w:sz w:val="24"/>
        </w:rPr>
        <w:br w:type="textWrapping"/>
      </w:r>
      <w:r>
        <w:rPr>
          <w:rFonts w:hint="eastAsia"/>
          <w:sz w:val="24"/>
        </w:rPr>
        <w:t xml:space="preserve">    3、继续进行渗滤液和填埋气的收集、处理，做好最终覆盖层的完整性和有效性维护。</w:t>
      </w:r>
    </w:p>
    <w:p>
      <w:pPr>
        <w:spacing w:line="480" w:lineRule="exact"/>
        <w:ind w:firstLine="480" w:firstLineChars="200"/>
        <w:jc w:val="left"/>
        <w:rPr>
          <w:sz w:val="24"/>
        </w:rPr>
      </w:pPr>
      <w:r>
        <w:rPr>
          <w:rFonts w:hint="eastAsia"/>
          <w:sz w:val="24"/>
        </w:rPr>
        <w:t>4、继续进行地下水水质的跟踪监测，直至封场后填埋场产生的渗滤液中水污染物质量浓度连续两年低于GB16889-2008表2中的限值时为止。</w:t>
      </w:r>
    </w:p>
    <w:p>
      <w:pPr>
        <w:spacing w:line="480" w:lineRule="exact"/>
        <w:ind w:firstLine="480" w:firstLineChars="200"/>
        <w:jc w:val="left"/>
        <w:rPr>
          <w:sz w:val="24"/>
        </w:rPr>
      </w:pPr>
      <w:r>
        <w:rPr>
          <w:rFonts w:hint="eastAsia"/>
          <w:sz w:val="24"/>
        </w:rPr>
        <w:t>5、</w:t>
      </w:r>
      <w:r>
        <w:rPr>
          <w:rFonts w:hint="eastAsia"/>
          <w:spacing w:val="4"/>
          <w:sz w:val="24"/>
          <w:lang w:val="zh-CN"/>
        </w:rPr>
        <w:t>及时进行封场生态恢复，根据区域气候、植被分布、植物特性等自然条件及经济状况确定封场后场地植被恢复方案</w:t>
      </w:r>
      <w:r>
        <w:rPr>
          <w:rFonts w:hint="eastAsia"/>
          <w:sz w:val="24"/>
        </w:rPr>
        <w:t>。</w:t>
      </w:r>
    </w:p>
    <w:p>
      <w:pPr>
        <w:pStyle w:val="5"/>
        <w:spacing w:beforeLines="0" w:after="120"/>
        <w:rPr>
          <w:rFonts w:eastAsia="宋体"/>
          <w:b/>
          <w:bCs w:val="0"/>
          <w:color w:val="auto"/>
          <w:szCs w:val="30"/>
        </w:rPr>
      </w:pPr>
      <w:bookmarkStart w:id="169" w:name="_Toc29906"/>
      <w:bookmarkStart w:id="170" w:name="_Toc798621541"/>
      <w:r>
        <w:rPr>
          <w:rFonts w:eastAsia="宋体"/>
          <w:b/>
          <w:bCs w:val="0"/>
          <w:color w:val="auto"/>
          <w:szCs w:val="30"/>
        </w:rPr>
        <w:t>6.</w:t>
      </w:r>
      <w:r>
        <w:rPr>
          <w:rFonts w:hint="eastAsia" w:eastAsia="宋体"/>
          <w:b/>
          <w:bCs w:val="0"/>
          <w:color w:val="auto"/>
          <w:szCs w:val="30"/>
        </w:rPr>
        <w:t>4主要</w:t>
      </w:r>
      <w:r>
        <w:rPr>
          <w:rFonts w:eastAsia="宋体"/>
          <w:b/>
          <w:bCs w:val="0"/>
          <w:color w:val="auto"/>
          <w:szCs w:val="30"/>
        </w:rPr>
        <w:t>环保措施汇总</w:t>
      </w:r>
      <w:r>
        <w:rPr>
          <w:rFonts w:hint="eastAsia" w:eastAsia="宋体"/>
          <w:b/>
          <w:bCs w:val="0"/>
          <w:color w:val="auto"/>
          <w:szCs w:val="30"/>
        </w:rPr>
        <w:t>及</w:t>
      </w:r>
      <w:r>
        <w:rPr>
          <w:rFonts w:eastAsia="宋体"/>
          <w:b/>
          <w:bCs w:val="0"/>
          <w:color w:val="auto"/>
          <w:szCs w:val="30"/>
        </w:rPr>
        <w:t>投资概算</w:t>
      </w:r>
      <w:bookmarkEnd w:id="169"/>
      <w:bookmarkEnd w:id="170"/>
    </w:p>
    <w:p>
      <w:pPr>
        <w:pStyle w:val="10"/>
        <w:spacing w:line="480" w:lineRule="exact"/>
        <w:ind w:firstLine="480"/>
        <w:rPr>
          <w:sz w:val="24"/>
          <w:szCs w:val="24"/>
        </w:rPr>
      </w:pPr>
      <w:r>
        <w:rPr>
          <w:rFonts w:hint="eastAsia"/>
          <w:sz w:val="24"/>
          <w:szCs w:val="24"/>
        </w:rPr>
        <w:t>项目为生活垃圾处置工程，本身属于环保项目，其环保投资概算主要为治理渗滤液、填埋气等二次污染所采取的措施，项目工程总投资估算2638.82万元，环保投资约1586.5万元，比例约为60.12%。具体详见下表。</w:t>
      </w:r>
    </w:p>
    <w:p>
      <w:pPr>
        <w:pStyle w:val="10"/>
      </w:pPr>
    </w:p>
    <w:p>
      <w:pPr>
        <w:pStyle w:val="10"/>
        <w:sectPr>
          <w:headerReference r:id="rId19" w:type="default"/>
          <w:pgSz w:w="11906" w:h="16838"/>
          <w:pgMar w:top="1440" w:right="1800" w:bottom="1440" w:left="1800" w:header="851" w:footer="992" w:gutter="0"/>
          <w:cols w:space="720" w:num="1"/>
          <w:docGrid w:type="lines" w:linePitch="312" w:charSpace="0"/>
        </w:sectPr>
      </w:pPr>
    </w:p>
    <w:p>
      <w:pPr>
        <w:spacing w:line="480" w:lineRule="exact"/>
        <w:jc w:val="center"/>
        <w:rPr>
          <w:rFonts w:eastAsiaTheme="minorEastAsia"/>
          <w:b/>
          <w:sz w:val="24"/>
        </w:rPr>
      </w:pPr>
      <w:r>
        <w:rPr>
          <w:rFonts w:eastAsiaTheme="minorEastAsia"/>
          <w:b/>
          <w:sz w:val="24"/>
        </w:rPr>
        <w:t>表</w:t>
      </w:r>
      <w:r>
        <w:rPr>
          <w:rFonts w:hint="eastAsia" w:eastAsiaTheme="minorEastAsia"/>
          <w:b/>
          <w:sz w:val="24"/>
        </w:rPr>
        <w:t>6.4-1项目主要环保投资估算表</w:t>
      </w:r>
    </w:p>
    <w:tbl>
      <w:tblPr>
        <w:tblStyle w:val="29"/>
        <w:tblW w:w="50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22"/>
        <w:gridCol w:w="593"/>
        <w:gridCol w:w="914"/>
        <w:gridCol w:w="1302"/>
        <w:gridCol w:w="9924"/>
        <w:gridCol w:w="10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9" w:type="pct"/>
            <w:tcBorders>
              <w:tl2br w:val="nil"/>
              <w:tr2bl w:val="nil"/>
            </w:tcBorders>
            <w:vAlign w:val="center"/>
          </w:tcPr>
          <w:p>
            <w:pPr>
              <w:pStyle w:val="3"/>
              <w:spacing w:line="240" w:lineRule="exact"/>
              <w:ind w:firstLine="15"/>
              <w:rPr>
                <w:rFonts w:eastAsiaTheme="minorEastAsia"/>
                <w:b/>
                <w:szCs w:val="21"/>
              </w:rPr>
            </w:pPr>
            <w:r>
              <w:rPr>
                <w:rFonts w:eastAsiaTheme="minorEastAsia"/>
                <w:b/>
                <w:szCs w:val="21"/>
              </w:rPr>
              <w:t>序</w:t>
            </w:r>
          </w:p>
          <w:p>
            <w:pPr>
              <w:pStyle w:val="3"/>
              <w:spacing w:line="240" w:lineRule="exact"/>
              <w:ind w:firstLine="15"/>
              <w:rPr>
                <w:rFonts w:eastAsiaTheme="minorEastAsia"/>
                <w:b/>
                <w:szCs w:val="21"/>
              </w:rPr>
            </w:pPr>
            <w:r>
              <w:rPr>
                <w:rFonts w:eastAsiaTheme="minorEastAsia"/>
                <w:b/>
                <w:szCs w:val="21"/>
              </w:rPr>
              <w:t>号</w:t>
            </w:r>
          </w:p>
        </w:tc>
        <w:tc>
          <w:tcPr>
            <w:tcW w:w="209" w:type="pct"/>
            <w:tcBorders>
              <w:tl2br w:val="nil"/>
              <w:tr2bl w:val="nil"/>
            </w:tcBorders>
            <w:vAlign w:val="center"/>
          </w:tcPr>
          <w:p>
            <w:pPr>
              <w:pStyle w:val="3"/>
              <w:spacing w:line="240" w:lineRule="exact"/>
              <w:ind w:firstLine="15"/>
              <w:rPr>
                <w:rFonts w:eastAsiaTheme="minorEastAsia"/>
                <w:b/>
                <w:szCs w:val="21"/>
              </w:rPr>
            </w:pPr>
            <w:r>
              <w:rPr>
                <w:rFonts w:hint="eastAsia" w:eastAsiaTheme="minorEastAsia"/>
                <w:b/>
                <w:szCs w:val="21"/>
              </w:rPr>
              <w:t>时段</w:t>
            </w:r>
          </w:p>
        </w:tc>
        <w:tc>
          <w:tcPr>
            <w:tcW w:w="322" w:type="pct"/>
            <w:tcBorders>
              <w:tl2br w:val="nil"/>
              <w:tr2bl w:val="nil"/>
            </w:tcBorders>
            <w:vAlign w:val="center"/>
          </w:tcPr>
          <w:p>
            <w:pPr>
              <w:pStyle w:val="3"/>
              <w:spacing w:line="240" w:lineRule="exact"/>
              <w:ind w:firstLine="15"/>
              <w:rPr>
                <w:rFonts w:eastAsiaTheme="minorEastAsia"/>
                <w:b/>
                <w:szCs w:val="21"/>
              </w:rPr>
            </w:pPr>
            <w:r>
              <w:rPr>
                <w:rFonts w:hint="eastAsia" w:eastAsiaTheme="minorEastAsia"/>
                <w:b/>
                <w:szCs w:val="21"/>
              </w:rPr>
              <w:t>环境要素</w:t>
            </w:r>
          </w:p>
        </w:tc>
        <w:tc>
          <w:tcPr>
            <w:tcW w:w="459" w:type="pct"/>
            <w:tcBorders>
              <w:tl2br w:val="nil"/>
              <w:tr2bl w:val="nil"/>
            </w:tcBorders>
            <w:vAlign w:val="center"/>
          </w:tcPr>
          <w:p>
            <w:pPr>
              <w:pStyle w:val="3"/>
              <w:spacing w:line="240" w:lineRule="exact"/>
              <w:ind w:firstLine="15"/>
              <w:rPr>
                <w:rFonts w:eastAsiaTheme="minorEastAsia"/>
                <w:b/>
                <w:szCs w:val="21"/>
              </w:rPr>
            </w:pPr>
            <w:r>
              <w:rPr>
                <w:rFonts w:hint="eastAsia" w:eastAsiaTheme="minorEastAsia"/>
                <w:b/>
                <w:szCs w:val="21"/>
              </w:rPr>
              <w:t>治理环节</w:t>
            </w:r>
          </w:p>
        </w:tc>
        <w:tc>
          <w:tcPr>
            <w:tcW w:w="3498" w:type="pct"/>
            <w:tcBorders>
              <w:tl2br w:val="nil"/>
              <w:tr2bl w:val="nil"/>
            </w:tcBorders>
            <w:vAlign w:val="center"/>
          </w:tcPr>
          <w:p>
            <w:pPr>
              <w:pStyle w:val="3"/>
              <w:spacing w:line="240" w:lineRule="exact"/>
              <w:ind w:firstLine="15"/>
              <w:rPr>
                <w:rFonts w:eastAsiaTheme="minorEastAsia"/>
                <w:b/>
                <w:szCs w:val="21"/>
              </w:rPr>
            </w:pPr>
            <w:r>
              <w:rPr>
                <w:rFonts w:hint="eastAsia"/>
                <w:b/>
                <w:szCs w:val="21"/>
              </w:rPr>
              <w:t>主要环保投资</w:t>
            </w:r>
          </w:p>
        </w:tc>
        <w:tc>
          <w:tcPr>
            <w:tcW w:w="363" w:type="pct"/>
            <w:tcBorders>
              <w:tl2br w:val="nil"/>
              <w:tr2bl w:val="nil"/>
            </w:tcBorders>
            <w:vAlign w:val="center"/>
          </w:tcPr>
          <w:p>
            <w:pPr>
              <w:pStyle w:val="3"/>
              <w:spacing w:line="240" w:lineRule="exact"/>
              <w:ind w:firstLine="15"/>
              <w:rPr>
                <w:rFonts w:eastAsiaTheme="minorEastAsia"/>
                <w:b/>
                <w:kern w:val="2"/>
                <w:szCs w:val="21"/>
              </w:rPr>
            </w:pPr>
            <w:r>
              <w:rPr>
                <w:rFonts w:eastAsiaTheme="minorEastAsia"/>
                <w:b/>
                <w:kern w:val="2"/>
                <w:szCs w:val="21"/>
              </w:rPr>
              <w:t>费用</w:t>
            </w:r>
          </w:p>
          <w:p>
            <w:pPr>
              <w:pStyle w:val="3"/>
              <w:spacing w:line="240" w:lineRule="exact"/>
              <w:ind w:firstLine="15"/>
              <w:rPr>
                <w:rFonts w:eastAsiaTheme="minorEastAsia"/>
                <w:b/>
                <w:kern w:val="2"/>
                <w:szCs w:val="21"/>
              </w:rPr>
            </w:pPr>
            <w:r>
              <w:rPr>
                <w:rFonts w:eastAsiaTheme="minorEastAsia"/>
                <w:b/>
                <w:kern w:val="2"/>
                <w:szCs w:val="21"/>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6" w:hRule="exact"/>
          <w:jc w:val="center"/>
        </w:trPr>
        <w:tc>
          <w:tcPr>
            <w:tcW w:w="149" w:type="pct"/>
            <w:tcBorders>
              <w:tl2br w:val="nil"/>
              <w:tr2bl w:val="nil"/>
            </w:tcBorders>
            <w:vAlign w:val="center"/>
          </w:tcPr>
          <w:p>
            <w:pPr>
              <w:pStyle w:val="3"/>
              <w:spacing w:line="280" w:lineRule="exact"/>
              <w:ind w:firstLine="15"/>
              <w:rPr>
                <w:rFonts w:eastAsiaTheme="minorEastAsia"/>
                <w:szCs w:val="21"/>
              </w:rPr>
            </w:pPr>
            <w:r>
              <w:rPr>
                <w:rFonts w:hint="eastAsia" w:eastAsiaTheme="minorEastAsia"/>
                <w:szCs w:val="21"/>
              </w:rPr>
              <w:t>1</w:t>
            </w:r>
          </w:p>
        </w:tc>
        <w:tc>
          <w:tcPr>
            <w:tcW w:w="209" w:type="pct"/>
            <w:tcBorders>
              <w:tl2br w:val="nil"/>
              <w:tr2bl w:val="nil"/>
            </w:tcBorders>
            <w:vAlign w:val="center"/>
          </w:tcPr>
          <w:p>
            <w:pPr>
              <w:pStyle w:val="3"/>
              <w:spacing w:line="280" w:lineRule="exact"/>
              <w:ind w:firstLine="15"/>
              <w:rPr>
                <w:rFonts w:eastAsiaTheme="minorEastAsia"/>
                <w:b/>
                <w:bCs w:val="0"/>
                <w:szCs w:val="21"/>
              </w:rPr>
            </w:pPr>
            <w:r>
              <w:rPr>
                <w:rFonts w:hint="eastAsia" w:eastAsiaTheme="minorEastAsia"/>
                <w:b/>
                <w:bCs w:val="0"/>
                <w:szCs w:val="21"/>
              </w:rPr>
              <w:t>施工期</w:t>
            </w:r>
          </w:p>
        </w:tc>
        <w:tc>
          <w:tcPr>
            <w:tcW w:w="322" w:type="pct"/>
            <w:tcBorders>
              <w:tl2br w:val="nil"/>
              <w:tr2bl w:val="nil"/>
            </w:tcBorders>
            <w:vAlign w:val="center"/>
          </w:tcPr>
          <w:p>
            <w:pPr>
              <w:pStyle w:val="3"/>
              <w:spacing w:line="280" w:lineRule="exact"/>
              <w:ind w:firstLine="15"/>
              <w:rPr>
                <w:rFonts w:eastAsiaTheme="minorEastAsia"/>
                <w:b/>
                <w:bCs w:val="0"/>
                <w:szCs w:val="21"/>
              </w:rPr>
            </w:pPr>
            <w:r>
              <w:rPr>
                <w:rFonts w:hint="eastAsia" w:eastAsiaTheme="minorEastAsia"/>
                <w:b/>
                <w:bCs w:val="0"/>
                <w:szCs w:val="21"/>
              </w:rPr>
              <w:t>/</w:t>
            </w:r>
          </w:p>
        </w:tc>
        <w:tc>
          <w:tcPr>
            <w:tcW w:w="459" w:type="pct"/>
            <w:tcBorders>
              <w:tl2br w:val="nil"/>
              <w:tr2bl w:val="nil"/>
            </w:tcBorders>
            <w:vAlign w:val="center"/>
          </w:tcPr>
          <w:p>
            <w:pPr>
              <w:pStyle w:val="54"/>
              <w:spacing w:line="280" w:lineRule="exact"/>
              <w:ind w:left="63" w:leftChars="30" w:right="63" w:rightChars="30" w:firstLine="17"/>
              <w:rPr>
                <w:rFonts w:eastAsiaTheme="minorEastAsia"/>
              </w:rPr>
            </w:pPr>
            <w:r>
              <w:rPr>
                <w:rFonts w:hint="eastAsia"/>
              </w:rPr>
              <w:t>遗留弃土堆</w:t>
            </w:r>
          </w:p>
        </w:tc>
        <w:tc>
          <w:tcPr>
            <w:tcW w:w="3498" w:type="pct"/>
            <w:tcBorders>
              <w:tl2br w:val="nil"/>
              <w:tr2bl w:val="nil"/>
            </w:tcBorders>
            <w:vAlign w:val="center"/>
          </w:tcPr>
          <w:p>
            <w:pPr>
              <w:pStyle w:val="54"/>
              <w:spacing w:line="280" w:lineRule="exact"/>
              <w:ind w:left="105" w:leftChars="50" w:right="105" w:rightChars="50" w:firstLine="17"/>
              <w:jc w:val="left"/>
              <w:rPr>
                <w:rFonts w:eastAsiaTheme="minorEastAsia"/>
              </w:rPr>
            </w:pPr>
            <w:r>
              <w:rPr>
                <w:rFonts w:hint="eastAsia"/>
              </w:rPr>
              <w:t>土堆应按要求进行整形，对边坡及坡脚进行防护，周边设临时截排水沟，土堆表面进行覆盖或播撒草籽等。</w:t>
            </w:r>
          </w:p>
        </w:tc>
        <w:tc>
          <w:tcPr>
            <w:tcW w:w="363" w:type="pct"/>
            <w:tcBorders>
              <w:tl2br w:val="nil"/>
              <w:tr2bl w:val="nil"/>
            </w:tcBorders>
            <w:vAlign w:val="center"/>
          </w:tcPr>
          <w:p>
            <w:pPr>
              <w:pStyle w:val="3"/>
              <w:spacing w:line="280" w:lineRule="exact"/>
              <w:ind w:firstLine="15"/>
              <w:rPr>
                <w:rFonts w:eastAsiaTheme="minorEastAsia"/>
                <w:szCs w:val="21"/>
              </w:rPr>
            </w:pPr>
            <w:r>
              <w:rPr>
                <w:rFonts w:hint="eastAsia" w:eastAsiaTheme="minorEastAsia"/>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9" w:hRule="exact"/>
          <w:jc w:val="center"/>
        </w:trPr>
        <w:tc>
          <w:tcPr>
            <w:tcW w:w="149" w:type="pct"/>
            <w:vMerge w:val="restart"/>
            <w:tcBorders>
              <w:tl2br w:val="nil"/>
              <w:tr2bl w:val="nil"/>
            </w:tcBorders>
            <w:vAlign w:val="center"/>
          </w:tcPr>
          <w:p>
            <w:pPr>
              <w:pStyle w:val="3"/>
              <w:spacing w:line="280" w:lineRule="exact"/>
              <w:ind w:firstLine="15"/>
              <w:rPr>
                <w:rFonts w:eastAsiaTheme="minorEastAsia"/>
                <w:szCs w:val="21"/>
              </w:rPr>
            </w:pPr>
            <w:r>
              <w:rPr>
                <w:rFonts w:eastAsiaTheme="minorEastAsia"/>
                <w:szCs w:val="21"/>
              </w:rPr>
              <w:t>2</w:t>
            </w:r>
          </w:p>
        </w:tc>
        <w:tc>
          <w:tcPr>
            <w:tcW w:w="209" w:type="pct"/>
            <w:vMerge w:val="restart"/>
            <w:tcBorders>
              <w:tl2br w:val="nil"/>
              <w:tr2bl w:val="nil"/>
            </w:tcBorders>
            <w:vAlign w:val="center"/>
          </w:tcPr>
          <w:p>
            <w:pPr>
              <w:pStyle w:val="3"/>
              <w:spacing w:line="280" w:lineRule="exact"/>
              <w:ind w:firstLine="15"/>
              <w:rPr>
                <w:rFonts w:eastAsiaTheme="minorEastAsia"/>
                <w:b/>
                <w:bCs w:val="0"/>
                <w:szCs w:val="21"/>
              </w:rPr>
            </w:pPr>
            <w:r>
              <w:rPr>
                <w:rFonts w:hint="eastAsia" w:eastAsiaTheme="minorEastAsia"/>
                <w:b/>
                <w:bCs w:val="0"/>
                <w:szCs w:val="21"/>
              </w:rPr>
              <w:t>运营期</w:t>
            </w:r>
          </w:p>
        </w:tc>
        <w:tc>
          <w:tcPr>
            <w:tcW w:w="322" w:type="pct"/>
            <w:tcBorders>
              <w:tl2br w:val="nil"/>
              <w:tr2bl w:val="nil"/>
            </w:tcBorders>
            <w:vAlign w:val="center"/>
          </w:tcPr>
          <w:p>
            <w:pPr>
              <w:widowControl/>
              <w:spacing w:line="280" w:lineRule="exact"/>
              <w:ind w:firstLine="15"/>
              <w:jc w:val="center"/>
              <w:rPr>
                <w:rFonts w:eastAsiaTheme="minorEastAsia"/>
                <w:b/>
                <w:szCs w:val="21"/>
              </w:rPr>
            </w:pPr>
            <w:r>
              <w:rPr>
                <w:rFonts w:hint="eastAsia" w:eastAsiaTheme="minorEastAsia"/>
                <w:b/>
                <w:szCs w:val="21"/>
              </w:rPr>
              <w:t>大气</w:t>
            </w:r>
          </w:p>
        </w:tc>
        <w:tc>
          <w:tcPr>
            <w:tcW w:w="459" w:type="pct"/>
            <w:tcBorders>
              <w:tl2br w:val="nil"/>
              <w:tr2bl w:val="nil"/>
            </w:tcBorders>
            <w:vAlign w:val="center"/>
          </w:tcPr>
          <w:p>
            <w:pPr>
              <w:pStyle w:val="3"/>
              <w:spacing w:line="280" w:lineRule="exact"/>
              <w:ind w:left="63" w:leftChars="30" w:right="63" w:rightChars="30" w:firstLine="17"/>
              <w:rPr>
                <w:rFonts w:eastAsiaTheme="minorEastAsia"/>
                <w:kern w:val="2"/>
                <w:szCs w:val="21"/>
              </w:rPr>
            </w:pPr>
            <w:r>
              <w:rPr>
                <w:rFonts w:hint="eastAsia" w:eastAsiaTheme="minorEastAsia"/>
                <w:kern w:val="2"/>
                <w:szCs w:val="21"/>
              </w:rPr>
              <w:t>填埋气及</w:t>
            </w:r>
          </w:p>
          <w:p>
            <w:pPr>
              <w:pStyle w:val="3"/>
              <w:spacing w:line="280" w:lineRule="exact"/>
              <w:ind w:right="63" w:rightChars="30"/>
              <w:jc w:val="both"/>
              <w:rPr>
                <w:rFonts w:eastAsiaTheme="minorEastAsia"/>
                <w:kern w:val="2"/>
                <w:szCs w:val="21"/>
              </w:rPr>
            </w:pPr>
            <w:r>
              <w:rPr>
                <w:rFonts w:hint="eastAsia" w:eastAsiaTheme="minorEastAsia"/>
                <w:kern w:val="2"/>
                <w:szCs w:val="21"/>
              </w:rPr>
              <w:t>恶臭、粉尘、</w:t>
            </w:r>
          </w:p>
          <w:p>
            <w:pPr>
              <w:pStyle w:val="3"/>
              <w:spacing w:line="280" w:lineRule="exact"/>
              <w:ind w:left="63" w:leftChars="30" w:right="63" w:rightChars="30" w:firstLine="17"/>
              <w:rPr>
                <w:rFonts w:eastAsiaTheme="minorEastAsia"/>
                <w:kern w:val="2"/>
                <w:szCs w:val="21"/>
              </w:rPr>
            </w:pPr>
            <w:r>
              <w:rPr>
                <w:rFonts w:hint="eastAsia" w:eastAsiaTheme="minorEastAsia"/>
                <w:kern w:val="2"/>
                <w:szCs w:val="21"/>
              </w:rPr>
              <w:t>蚊蝇滋扰等</w:t>
            </w:r>
          </w:p>
        </w:tc>
        <w:tc>
          <w:tcPr>
            <w:tcW w:w="3498" w:type="pct"/>
            <w:tcBorders>
              <w:tl2br w:val="nil"/>
              <w:tr2bl w:val="nil"/>
            </w:tcBorders>
            <w:vAlign w:val="center"/>
          </w:tcPr>
          <w:p>
            <w:pPr>
              <w:pStyle w:val="3"/>
              <w:spacing w:line="280" w:lineRule="exact"/>
              <w:ind w:left="105" w:leftChars="50" w:right="105" w:rightChars="50" w:firstLine="17"/>
              <w:jc w:val="left"/>
              <w:rPr>
                <w:rFonts w:eastAsiaTheme="minorEastAsia"/>
                <w:szCs w:val="21"/>
              </w:rPr>
            </w:pPr>
            <w:r>
              <w:rPr>
                <w:rFonts w:hint="eastAsia"/>
                <w:szCs w:val="21"/>
              </w:rPr>
              <w:t>1、填埋气导排收集处理设施：主要包括25座导气石笼井、水平导气管、1座抽气机房、1套火炬式燃烧器；2、库区周围设5套气体报警装置；3、1辆喷药车随时进行喷药灭杀；4、作业时设移动防尘网，场地四周设防飞网（685m铁丝围墙），场区出入口配套建设洗车平台，1辆洒水车，场地及道路洒水抑尘等。</w:t>
            </w:r>
          </w:p>
        </w:tc>
        <w:tc>
          <w:tcPr>
            <w:tcW w:w="363" w:type="pct"/>
            <w:tcBorders>
              <w:tl2br w:val="nil"/>
              <w:tr2bl w:val="nil"/>
            </w:tcBorders>
            <w:vAlign w:val="center"/>
          </w:tcPr>
          <w:p>
            <w:pPr>
              <w:pStyle w:val="3"/>
              <w:spacing w:line="280" w:lineRule="exact"/>
              <w:ind w:firstLine="15"/>
              <w:rPr>
                <w:rFonts w:eastAsiaTheme="minorEastAsia"/>
                <w:szCs w:val="21"/>
              </w:rPr>
            </w:pPr>
            <w:r>
              <w:rPr>
                <w:rFonts w:hint="eastAsia" w:eastAsiaTheme="minorEastAsia"/>
                <w:szCs w:val="21"/>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22" w:hRule="exact"/>
          <w:jc w:val="center"/>
        </w:trPr>
        <w:tc>
          <w:tcPr>
            <w:tcW w:w="149" w:type="pct"/>
            <w:vMerge w:val="continue"/>
            <w:tcBorders>
              <w:tl2br w:val="nil"/>
              <w:tr2bl w:val="nil"/>
            </w:tcBorders>
            <w:vAlign w:val="center"/>
          </w:tcPr>
          <w:p>
            <w:pPr>
              <w:pStyle w:val="3"/>
              <w:spacing w:line="280" w:lineRule="exact"/>
              <w:ind w:firstLine="15"/>
              <w:rPr>
                <w:rFonts w:eastAsiaTheme="minorEastAsia"/>
                <w:szCs w:val="21"/>
              </w:rPr>
            </w:pPr>
          </w:p>
        </w:tc>
        <w:tc>
          <w:tcPr>
            <w:tcW w:w="209" w:type="pct"/>
            <w:vMerge w:val="continue"/>
            <w:tcBorders>
              <w:tl2br w:val="nil"/>
              <w:tr2bl w:val="nil"/>
            </w:tcBorders>
            <w:vAlign w:val="center"/>
          </w:tcPr>
          <w:p>
            <w:pPr>
              <w:pStyle w:val="3"/>
              <w:spacing w:line="280" w:lineRule="exact"/>
              <w:ind w:firstLine="15"/>
              <w:rPr>
                <w:rFonts w:eastAsiaTheme="minorEastAsia"/>
                <w:szCs w:val="21"/>
              </w:rPr>
            </w:pPr>
          </w:p>
        </w:tc>
        <w:tc>
          <w:tcPr>
            <w:tcW w:w="322" w:type="pct"/>
            <w:tcBorders>
              <w:tl2br w:val="nil"/>
              <w:tr2bl w:val="nil"/>
            </w:tcBorders>
            <w:vAlign w:val="center"/>
          </w:tcPr>
          <w:p>
            <w:pPr>
              <w:widowControl/>
              <w:spacing w:line="280" w:lineRule="exact"/>
              <w:ind w:firstLine="15"/>
              <w:jc w:val="center"/>
              <w:rPr>
                <w:rFonts w:eastAsiaTheme="minorEastAsia"/>
                <w:szCs w:val="21"/>
              </w:rPr>
            </w:pPr>
            <w:r>
              <w:rPr>
                <w:rFonts w:hint="eastAsia" w:eastAsiaTheme="minorEastAsia"/>
                <w:b/>
                <w:szCs w:val="21"/>
              </w:rPr>
              <w:t>水环境</w:t>
            </w:r>
          </w:p>
        </w:tc>
        <w:tc>
          <w:tcPr>
            <w:tcW w:w="459" w:type="pct"/>
            <w:tcBorders>
              <w:tl2br w:val="nil"/>
              <w:tr2bl w:val="nil"/>
            </w:tcBorders>
            <w:vAlign w:val="center"/>
          </w:tcPr>
          <w:p>
            <w:pPr>
              <w:spacing w:line="240" w:lineRule="exact"/>
              <w:jc w:val="center"/>
              <w:rPr>
                <w:rFonts w:eastAsiaTheme="minorEastAsia"/>
                <w:bCs/>
                <w:szCs w:val="21"/>
                <w:lang w:val="zh-CN"/>
              </w:rPr>
            </w:pPr>
            <w:r>
              <w:rPr>
                <w:rFonts w:hint="eastAsia" w:eastAsiaTheme="minorEastAsia"/>
                <w:bCs/>
                <w:szCs w:val="21"/>
                <w:lang w:val="zh-CN"/>
              </w:rPr>
              <w:t>垃圾渗滤液</w:t>
            </w:r>
          </w:p>
        </w:tc>
        <w:tc>
          <w:tcPr>
            <w:tcW w:w="3498" w:type="pct"/>
            <w:tcBorders>
              <w:tl2br w:val="nil"/>
              <w:tr2bl w:val="nil"/>
            </w:tcBorders>
            <w:vAlign w:val="center"/>
          </w:tcPr>
          <w:p>
            <w:pPr>
              <w:pStyle w:val="3"/>
              <w:spacing w:line="300" w:lineRule="exact"/>
              <w:ind w:left="105" w:leftChars="50" w:right="105" w:rightChars="50"/>
              <w:jc w:val="left"/>
              <w:rPr>
                <w:szCs w:val="21"/>
              </w:rPr>
            </w:pPr>
            <w:r>
              <w:rPr>
                <w:rFonts w:hint="eastAsia"/>
                <w:b/>
                <w:bCs w:val="0"/>
                <w:szCs w:val="21"/>
              </w:rPr>
              <w:t>1、防渗系统</w:t>
            </w:r>
            <w:r>
              <w:rPr>
                <w:rFonts w:hint="eastAsia"/>
                <w:szCs w:val="21"/>
              </w:rPr>
              <w:t>：</w:t>
            </w:r>
            <w:r>
              <w:rPr>
                <w:szCs w:val="21"/>
              </w:rPr>
              <w:t>场底防渗和边坡防渗</w:t>
            </w:r>
            <w:r>
              <w:rPr>
                <w:rFonts w:hint="eastAsia"/>
                <w:szCs w:val="21"/>
              </w:rPr>
              <w:t>，防渗工程面积合计约5.4万m</w:t>
            </w:r>
            <w:r>
              <w:rPr>
                <w:rFonts w:hint="eastAsia"/>
                <w:szCs w:val="21"/>
                <w:vertAlign w:val="superscript"/>
              </w:rPr>
              <w:t>2</w:t>
            </w:r>
            <w:r>
              <w:rPr>
                <w:rFonts w:hint="eastAsia"/>
                <w:szCs w:val="21"/>
              </w:rPr>
              <w:t>，其中场底防渗结构由下至上依次为300mm厚压实粘土+5000g/m</w:t>
            </w:r>
            <w:r>
              <w:rPr>
                <w:rFonts w:hint="eastAsia"/>
                <w:szCs w:val="21"/>
                <w:vertAlign w:val="superscript"/>
              </w:rPr>
              <w:t>2</w:t>
            </w:r>
            <w:r>
              <w:rPr>
                <w:rFonts w:hint="eastAsia"/>
                <w:szCs w:val="21"/>
              </w:rPr>
              <w:t>钠基膨润土+2.0mm厚HDPE土工膜+600g/m</w:t>
            </w:r>
            <w:r>
              <w:rPr>
                <w:rFonts w:hint="eastAsia"/>
                <w:szCs w:val="21"/>
                <w:vertAlign w:val="superscript"/>
              </w:rPr>
              <w:t>2</w:t>
            </w:r>
            <w:r>
              <w:rPr>
                <w:rFonts w:hint="eastAsia"/>
                <w:szCs w:val="21"/>
              </w:rPr>
              <w:t>无纺土工布，边坡防渗结构由下至上依次为300mm厚压实粘土+5000g/m</w:t>
            </w:r>
            <w:r>
              <w:rPr>
                <w:rFonts w:hint="eastAsia"/>
                <w:szCs w:val="21"/>
                <w:vertAlign w:val="superscript"/>
              </w:rPr>
              <w:t>2</w:t>
            </w:r>
            <w:r>
              <w:rPr>
                <w:rFonts w:hint="eastAsia"/>
                <w:szCs w:val="21"/>
              </w:rPr>
              <w:t>钠基膨润土+2.0mm厚HDPE土工膜+600g/m</w:t>
            </w:r>
            <w:r>
              <w:rPr>
                <w:rFonts w:hint="eastAsia"/>
                <w:szCs w:val="21"/>
                <w:vertAlign w:val="superscript"/>
              </w:rPr>
              <w:t>2</w:t>
            </w:r>
            <w:r>
              <w:rPr>
                <w:rFonts w:hint="eastAsia"/>
                <w:szCs w:val="21"/>
              </w:rPr>
              <w:t>无纺土工布+300mm厚袋装土缓冲保护层等。</w:t>
            </w:r>
          </w:p>
          <w:p>
            <w:pPr>
              <w:pStyle w:val="10"/>
              <w:spacing w:line="300" w:lineRule="exact"/>
              <w:ind w:left="105" w:leftChars="50" w:right="105" w:rightChars="50" w:firstLine="0" w:firstLineChars="0"/>
              <w:jc w:val="left"/>
              <w:rPr>
                <w:szCs w:val="21"/>
              </w:rPr>
            </w:pPr>
            <w:r>
              <w:rPr>
                <w:rFonts w:hint="eastAsia"/>
                <w:b/>
                <w:bCs/>
                <w:szCs w:val="21"/>
              </w:rPr>
              <w:t>2、渗滤液收集导排系统</w:t>
            </w:r>
            <w:r>
              <w:rPr>
                <w:rFonts w:hint="eastAsia"/>
                <w:szCs w:val="21"/>
              </w:rPr>
              <w:t>：场底防渗层上方设导流盲沟和导流层，导流层从下至上为100mm厚粗砂+300mm厚碎石，厚度共约400mm，导流盲沟包括主盲沟和支盲沟，主盲沟设于库区中央，长约200m，断面尺寸为倒梯形，上底宽3m，下底宽1m，深0.5m，内设300mmHDPE穿孔花管，支盲沟长度合计约730m，呈树枝状横向分布于主盲沟两侧并坡向主盲沟，断面尺寸为倒梯形，上底宽2.5m，下底宽1m，深0.5m，内设200mmHDPE穿孔花管，主盲沟和支盲沟内四周均敷设200g/m</w:t>
            </w:r>
            <w:r>
              <w:rPr>
                <w:rFonts w:hint="eastAsia"/>
                <w:szCs w:val="21"/>
                <w:vertAlign w:val="superscript"/>
              </w:rPr>
              <w:t>2</w:t>
            </w:r>
            <w:r>
              <w:rPr>
                <w:rFonts w:hint="eastAsia"/>
                <w:szCs w:val="21"/>
              </w:rPr>
              <w:t>土工覆盖膜，HDPE穿孔管外均填充直径50-100mm碎石作为过滤层。</w:t>
            </w:r>
          </w:p>
          <w:p>
            <w:pPr>
              <w:pStyle w:val="3"/>
              <w:spacing w:line="300" w:lineRule="exact"/>
              <w:ind w:left="105" w:leftChars="50" w:right="105" w:rightChars="50"/>
              <w:jc w:val="both"/>
              <w:rPr>
                <w:szCs w:val="21"/>
              </w:rPr>
            </w:pPr>
            <w:r>
              <w:rPr>
                <w:rFonts w:hint="eastAsia"/>
                <w:b/>
                <w:bCs w:val="0"/>
                <w:szCs w:val="21"/>
              </w:rPr>
              <w:t>3、渗滤液处理系统</w:t>
            </w:r>
            <w:r>
              <w:rPr>
                <w:rFonts w:hint="eastAsia"/>
                <w:szCs w:val="21"/>
              </w:rPr>
              <w:t>：场内填埋区北侧设置1座渗滤液提升井和1座</w:t>
            </w:r>
            <w:r>
              <w:rPr>
                <w:rFonts w:hint="eastAsia"/>
                <w:bCs w:val="0"/>
                <w:color w:val="auto"/>
                <w:szCs w:val="21"/>
              </w:rPr>
              <w:t>容积不小于1800m</w:t>
            </w:r>
            <w:r>
              <w:rPr>
                <w:rFonts w:hint="eastAsia"/>
                <w:bCs w:val="0"/>
                <w:color w:val="auto"/>
                <w:szCs w:val="21"/>
                <w:vertAlign w:val="superscript"/>
              </w:rPr>
              <w:t>3</w:t>
            </w:r>
            <w:r>
              <w:rPr>
                <w:rFonts w:hint="eastAsia"/>
                <w:bCs w:val="0"/>
                <w:color w:val="auto"/>
                <w:szCs w:val="21"/>
              </w:rPr>
              <w:t>的</w:t>
            </w:r>
            <w:r>
              <w:rPr>
                <w:rFonts w:hint="eastAsia"/>
                <w:szCs w:val="21"/>
              </w:rPr>
              <w:t>渗滤液调节池，均为钢混埋地结构；场内设1座渗滤液处理车间，内设1套“预处理+两级DTRO反渗透”渗滤液处理设施，设计处理能力40m</w:t>
            </w:r>
            <w:r>
              <w:rPr>
                <w:rFonts w:hint="eastAsia"/>
                <w:szCs w:val="21"/>
                <w:vertAlign w:val="superscript"/>
              </w:rPr>
              <w:t>3</w:t>
            </w:r>
            <w:r>
              <w:rPr>
                <w:rFonts w:hint="eastAsia"/>
                <w:szCs w:val="21"/>
              </w:rPr>
              <w:t>/d，出水水质满足《城市污水再生利用城市杂用水水质》(GB/T18920­2002)中绿化和抑尘回用需求，出水全部回用场地及县城抑尘、绿化等，不外排。</w:t>
            </w:r>
          </w:p>
          <w:p>
            <w:pPr>
              <w:spacing w:line="300" w:lineRule="exact"/>
              <w:ind w:left="105" w:leftChars="50" w:right="105" w:rightChars="50"/>
              <w:rPr>
                <w:szCs w:val="21"/>
              </w:rPr>
            </w:pPr>
            <w:r>
              <w:rPr>
                <w:rFonts w:hint="eastAsia"/>
                <w:b/>
                <w:bCs/>
                <w:szCs w:val="21"/>
              </w:rPr>
              <w:t>4、地下水跟踪监测</w:t>
            </w:r>
            <w:r>
              <w:rPr>
                <w:rFonts w:hint="eastAsia"/>
                <w:szCs w:val="21"/>
              </w:rPr>
              <w:t>：项目分别在场地地下水流向上游30~50m处设置1眼本底井、垂直地下水流行两侧30~50m处各设置1眼污染扩散观察井、地下水流向下游30m、50m处分别设置1眼污染监视井，共计5眼，其中污染扩散井和污染监视井的水质监测频率不低于1次/2周，本底井的水质监测频率不低于1次/每月。</w:t>
            </w:r>
          </w:p>
        </w:tc>
        <w:tc>
          <w:tcPr>
            <w:tcW w:w="363" w:type="pct"/>
            <w:tcBorders>
              <w:tl2br w:val="nil"/>
              <w:tr2bl w:val="nil"/>
            </w:tcBorders>
            <w:vAlign w:val="center"/>
          </w:tcPr>
          <w:p>
            <w:pPr>
              <w:pStyle w:val="3"/>
              <w:spacing w:line="280" w:lineRule="exact"/>
              <w:ind w:firstLine="15"/>
              <w:rPr>
                <w:rFonts w:eastAsiaTheme="minorEastAsia"/>
                <w:szCs w:val="21"/>
              </w:rPr>
            </w:pPr>
            <w:r>
              <w:rPr>
                <w:rFonts w:hint="eastAsia" w:eastAsiaTheme="minorEastAsia"/>
                <w:szCs w:val="21"/>
              </w:rPr>
              <w:t>850</w:t>
            </w:r>
          </w:p>
        </w:tc>
      </w:tr>
    </w:tbl>
    <w:p>
      <w:pPr>
        <w:spacing w:line="480" w:lineRule="exact"/>
        <w:jc w:val="center"/>
        <w:rPr>
          <w:b/>
          <w:sz w:val="24"/>
        </w:rPr>
      </w:pPr>
      <w:r>
        <w:rPr>
          <w:b/>
          <w:sz w:val="24"/>
        </w:rPr>
        <w:t>表</w:t>
      </w:r>
      <w:r>
        <w:rPr>
          <w:rFonts w:hint="eastAsia"/>
          <w:b/>
          <w:sz w:val="24"/>
        </w:rPr>
        <w:t>6.4-1续</w:t>
      </w:r>
      <w:r>
        <w:rPr>
          <w:b/>
          <w:sz w:val="24"/>
        </w:rPr>
        <w:t xml:space="preserve"> 项目</w:t>
      </w:r>
      <w:r>
        <w:rPr>
          <w:rFonts w:hint="eastAsia"/>
          <w:b/>
          <w:sz w:val="24"/>
        </w:rPr>
        <w:t>主要</w:t>
      </w:r>
      <w:r>
        <w:rPr>
          <w:b/>
          <w:sz w:val="24"/>
        </w:rPr>
        <w:t>环保投资估算表</w:t>
      </w:r>
    </w:p>
    <w:tbl>
      <w:tblPr>
        <w:tblStyle w:val="2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24"/>
        <w:gridCol w:w="584"/>
        <w:gridCol w:w="1079"/>
        <w:gridCol w:w="2119"/>
        <w:gridCol w:w="8335"/>
        <w:gridCol w:w="1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52" w:type="pct"/>
            <w:tcBorders>
              <w:tl2br w:val="nil"/>
              <w:tr2bl w:val="nil"/>
            </w:tcBorders>
            <w:vAlign w:val="center"/>
          </w:tcPr>
          <w:p>
            <w:pPr>
              <w:pStyle w:val="3"/>
              <w:spacing w:line="240" w:lineRule="exact"/>
              <w:ind w:firstLine="15"/>
              <w:rPr>
                <w:b/>
                <w:szCs w:val="21"/>
              </w:rPr>
            </w:pPr>
            <w:r>
              <w:rPr>
                <w:b/>
                <w:szCs w:val="21"/>
              </w:rPr>
              <w:t>序</w:t>
            </w:r>
          </w:p>
          <w:p>
            <w:pPr>
              <w:pStyle w:val="3"/>
              <w:spacing w:line="240" w:lineRule="exact"/>
              <w:ind w:firstLine="15"/>
              <w:rPr>
                <w:b/>
                <w:szCs w:val="21"/>
              </w:rPr>
            </w:pPr>
            <w:r>
              <w:rPr>
                <w:b/>
                <w:szCs w:val="21"/>
              </w:rPr>
              <w:t>号</w:t>
            </w:r>
          </w:p>
        </w:tc>
        <w:tc>
          <w:tcPr>
            <w:tcW w:w="209" w:type="pct"/>
            <w:tcBorders>
              <w:tl2br w:val="nil"/>
              <w:tr2bl w:val="nil"/>
            </w:tcBorders>
            <w:vAlign w:val="center"/>
          </w:tcPr>
          <w:p>
            <w:pPr>
              <w:pStyle w:val="3"/>
              <w:spacing w:line="240" w:lineRule="exact"/>
              <w:ind w:firstLine="15"/>
              <w:rPr>
                <w:b/>
                <w:szCs w:val="21"/>
              </w:rPr>
            </w:pPr>
            <w:r>
              <w:rPr>
                <w:rFonts w:hint="eastAsia"/>
                <w:b/>
                <w:szCs w:val="21"/>
              </w:rPr>
              <w:t>时段</w:t>
            </w:r>
          </w:p>
        </w:tc>
        <w:tc>
          <w:tcPr>
            <w:tcW w:w="386" w:type="pct"/>
            <w:tcBorders>
              <w:tl2br w:val="nil"/>
              <w:tr2bl w:val="nil"/>
            </w:tcBorders>
            <w:vAlign w:val="center"/>
          </w:tcPr>
          <w:p>
            <w:pPr>
              <w:pStyle w:val="3"/>
              <w:spacing w:line="240" w:lineRule="exact"/>
              <w:ind w:firstLine="15"/>
              <w:rPr>
                <w:b/>
                <w:szCs w:val="21"/>
              </w:rPr>
            </w:pPr>
            <w:r>
              <w:rPr>
                <w:rFonts w:hint="eastAsia"/>
                <w:b/>
                <w:szCs w:val="21"/>
              </w:rPr>
              <w:t>环境要素</w:t>
            </w:r>
          </w:p>
        </w:tc>
        <w:tc>
          <w:tcPr>
            <w:tcW w:w="758" w:type="pct"/>
            <w:tcBorders>
              <w:tl2br w:val="nil"/>
              <w:tr2bl w:val="nil"/>
            </w:tcBorders>
            <w:vAlign w:val="center"/>
          </w:tcPr>
          <w:p>
            <w:pPr>
              <w:pStyle w:val="3"/>
              <w:spacing w:line="240" w:lineRule="exact"/>
              <w:ind w:firstLine="15"/>
              <w:rPr>
                <w:b/>
                <w:szCs w:val="21"/>
              </w:rPr>
            </w:pPr>
            <w:r>
              <w:rPr>
                <w:rFonts w:hint="eastAsia"/>
                <w:b/>
                <w:szCs w:val="21"/>
              </w:rPr>
              <w:t>治理环节</w:t>
            </w:r>
          </w:p>
        </w:tc>
        <w:tc>
          <w:tcPr>
            <w:tcW w:w="2982" w:type="pct"/>
            <w:tcBorders>
              <w:tl2br w:val="nil"/>
              <w:tr2bl w:val="nil"/>
            </w:tcBorders>
            <w:vAlign w:val="center"/>
          </w:tcPr>
          <w:p>
            <w:pPr>
              <w:pStyle w:val="3"/>
              <w:spacing w:line="240" w:lineRule="exact"/>
              <w:ind w:firstLine="15"/>
              <w:rPr>
                <w:b/>
                <w:szCs w:val="21"/>
              </w:rPr>
            </w:pPr>
            <w:r>
              <w:rPr>
                <w:rFonts w:hint="eastAsia"/>
                <w:b/>
                <w:szCs w:val="21"/>
              </w:rPr>
              <w:t>主要环保投资</w:t>
            </w:r>
          </w:p>
        </w:tc>
        <w:tc>
          <w:tcPr>
            <w:tcW w:w="513" w:type="pct"/>
            <w:tcBorders>
              <w:tl2br w:val="nil"/>
              <w:tr2bl w:val="nil"/>
            </w:tcBorders>
            <w:vAlign w:val="center"/>
          </w:tcPr>
          <w:p>
            <w:pPr>
              <w:pStyle w:val="3"/>
              <w:spacing w:line="240" w:lineRule="exact"/>
              <w:ind w:firstLine="15"/>
              <w:rPr>
                <w:b/>
                <w:kern w:val="2"/>
                <w:szCs w:val="21"/>
              </w:rPr>
            </w:pPr>
            <w:r>
              <w:rPr>
                <w:b/>
                <w:kern w:val="2"/>
                <w:szCs w:val="21"/>
              </w:rPr>
              <w:t>费用</w:t>
            </w:r>
          </w:p>
          <w:p>
            <w:pPr>
              <w:pStyle w:val="3"/>
              <w:spacing w:line="240" w:lineRule="exact"/>
              <w:ind w:firstLine="15"/>
              <w:rPr>
                <w:b/>
                <w:kern w:val="2"/>
                <w:szCs w:val="21"/>
              </w:rPr>
            </w:pPr>
            <w:r>
              <w:rPr>
                <w:b/>
                <w:kern w:val="2"/>
                <w:szCs w:val="21"/>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1" w:hRule="exact"/>
          <w:jc w:val="center"/>
        </w:trPr>
        <w:tc>
          <w:tcPr>
            <w:tcW w:w="152" w:type="pct"/>
            <w:vMerge w:val="restart"/>
            <w:tcBorders>
              <w:tl2br w:val="nil"/>
              <w:tr2bl w:val="nil"/>
            </w:tcBorders>
            <w:vAlign w:val="center"/>
          </w:tcPr>
          <w:p>
            <w:pPr>
              <w:pStyle w:val="3"/>
              <w:spacing w:line="280" w:lineRule="exact"/>
              <w:ind w:firstLine="15"/>
              <w:rPr>
                <w:szCs w:val="21"/>
              </w:rPr>
            </w:pPr>
            <w:r>
              <w:rPr>
                <w:rFonts w:hint="eastAsia"/>
                <w:szCs w:val="21"/>
              </w:rPr>
              <w:t>2</w:t>
            </w:r>
          </w:p>
        </w:tc>
        <w:tc>
          <w:tcPr>
            <w:tcW w:w="209" w:type="pct"/>
            <w:vMerge w:val="restart"/>
            <w:tcBorders>
              <w:tl2br w:val="nil"/>
              <w:tr2bl w:val="nil"/>
            </w:tcBorders>
            <w:vAlign w:val="center"/>
          </w:tcPr>
          <w:p>
            <w:pPr>
              <w:pStyle w:val="3"/>
              <w:spacing w:line="280" w:lineRule="exact"/>
              <w:ind w:firstLine="15"/>
              <w:rPr>
                <w:szCs w:val="21"/>
              </w:rPr>
            </w:pPr>
            <w:r>
              <w:rPr>
                <w:rFonts w:hint="eastAsia"/>
                <w:b/>
                <w:bCs w:val="0"/>
                <w:szCs w:val="21"/>
              </w:rPr>
              <w:t>运营期</w:t>
            </w:r>
          </w:p>
        </w:tc>
        <w:tc>
          <w:tcPr>
            <w:tcW w:w="386" w:type="pct"/>
            <w:vMerge w:val="restart"/>
            <w:tcBorders>
              <w:tl2br w:val="nil"/>
              <w:tr2bl w:val="nil"/>
            </w:tcBorders>
            <w:vAlign w:val="center"/>
          </w:tcPr>
          <w:p>
            <w:pPr>
              <w:widowControl/>
              <w:spacing w:line="280" w:lineRule="exact"/>
              <w:ind w:firstLine="15"/>
              <w:jc w:val="center"/>
              <w:rPr>
                <w:b/>
                <w:szCs w:val="21"/>
              </w:rPr>
            </w:pPr>
            <w:r>
              <w:rPr>
                <w:rFonts w:hint="eastAsia"/>
                <w:b/>
                <w:szCs w:val="21"/>
              </w:rPr>
              <w:t>水环境</w:t>
            </w: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lang w:val="zh-CN"/>
              </w:rPr>
              <w:t>职工生活废水</w:t>
            </w:r>
          </w:p>
        </w:tc>
        <w:tc>
          <w:tcPr>
            <w:tcW w:w="2981"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场内设1座9m</w:t>
            </w:r>
            <w:r>
              <w:rPr>
                <w:rFonts w:hint="eastAsia"/>
                <w:szCs w:val="21"/>
                <w:vertAlign w:val="superscript"/>
              </w:rPr>
              <w:t>3</w:t>
            </w:r>
            <w:r>
              <w:rPr>
                <w:rFonts w:hint="eastAsia"/>
                <w:szCs w:val="21"/>
              </w:rPr>
              <w:t>的化粪池，生活废水</w:t>
            </w:r>
            <w:r>
              <w:rPr>
                <w:rFonts w:hint="eastAsia"/>
                <w:bCs/>
                <w:kern w:val="0"/>
                <w:szCs w:val="21"/>
              </w:rPr>
              <w:t>经化粪池后，随渗滤液一起进入调节池和渗滤液处理车间进行处理</w:t>
            </w:r>
          </w:p>
        </w:tc>
        <w:tc>
          <w:tcPr>
            <w:tcW w:w="513" w:type="pct"/>
            <w:tcBorders>
              <w:tl2br w:val="nil"/>
              <w:tr2bl w:val="nil"/>
            </w:tcBorders>
            <w:vAlign w:val="center"/>
          </w:tcPr>
          <w:p>
            <w:pPr>
              <w:pStyle w:val="3"/>
              <w:spacing w:line="280" w:lineRule="exact"/>
              <w:ind w:firstLine="15"/>
              <w:rPr>
                <w:szCs w:val="21"/>
              </w:rPr>
            </w:pPr>
            <w:r>
              <w:rPr>
                <w:rFonts w:hint="eastAsia"/>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3" w:hRule="exac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vMerge w:val="continue"/>
            <w:tcBorders>
              <w:tl2br w:val="nil"/>
              <w:tr2bl w:val="nil"/>
            </w:tcBorders>
            <w:vAlign w:val="center"/>
          </w:tcPr>
          <w:p>
            <w:pPr>
              <w:widowControl/>
              <w:spacing w:line="280" w:lineRule="exact"/>
              <w:ind w:firstLine="15"/>
              <w:jc w:val="center"/>
              <w:rPr>
                <w:b/>
                <w:szCs w:val="21"/>
              </w:rPr>
            </w:pP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车辆冲洗废水</w:t>
            </w:r>
          </w:p>
        </w:tc>
        <w:tc>
          <w:tcPr>
            <w:tcW w:w="2981"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场内设沉淀池，</w:t>
            </w:r>
            <w:r>
              <w:rPr>
                <w:rFonts w:hint="eastAsia"/>
                <w:color w:val="000000"/>
                <w:szCs w:val="21"/>
              </w:rPr>
              <w:t>车辆冲洗废水</w:t>
            </w:r>
            <w:r>
              <w:rPr>
                <w:rFonts w:hint="eastAsia"/>
                <w:bCs/>
                <w:kern w:val="0"/>
                <w:szCs w:val="21"/>
              </w:rPr>
              <w:t>经沉淀后，随渗滤液一起进入收集池和渗滤液处理车间进行处理</w:t>
            </w:r>
          </w:p>
        </w:tc>
        <w:tc>
          <w:tcPr>
            <w:tcW w:w="513" w:type="pct"/>
            <w:tcBorders>
              <w:tl2br w:val="nil"/>
              <w:tr2bl w:val="nil"/>
            </w:tcBorders>
            <w:vAlign w:val="center"/>
          </w:tcPr>
          <w:p>
            <w:pPr>
              <w:pStyle w:val="3"/>
              <w:spacing w:line="280" w:lineRule="exact"/>
              <w:ind w:firstLine="15"/>
              <w:rPr>
                <w:szCs w:val="21"/>
              </w:rPr>
            </w:pPr>
            <w:r>
              <w:rPr>
                <w:rFonts w:hint="eastAsia"/>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9" w:hRule="exac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vMerge w:val="continue"/>
            <w:tcBorders>
              <w:tl2br w:val="nil"/>
              <w:tr2bl w:val="nil"/>
            </w:tcBorders>
            <w:vAlign w:val="center"/>
          </w:tcPr>
          <w:p>
            <w:pPr>
              <w:widowControl/>
              <w:spacing w:line="280" w:lineRule="exact"/>
              <w:ind w:firstLine="15"/>
              <w:jc w:val="center"/>
              <w:rPr>
                <w:b/>
                <w:szCs w:val="21"/>
              </w:rPr>
            </w:pP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反渗透浓水</w:t>
            </w:r>
          </w:p>
        </w:tc>
        <w:tc>
          <w:tcPr>
            <w:tcW w:w="2981" w:type="pct"/>
            <w:tcBorders>
              <w:tl2br w:val="nil"/>
              <w:tr2bl w:val="nil"/>
            </w:tcBorders>
            <w:vAlign w:val="center"/>
          </w:tcPr>
          <w:p>
            <w:pPr>
              <w:spacing w:line="260" w:lineRule="exact"/>
              <w:ind w:left="105" w:leftChars="50" w:right="105" w:rightChars="50" w:firstLine="15"/>
              <w:jc w:val="left"/>
              <w:rPr>
                <w:szCs w:val="21"/>
              </w:rPr>
            </w:pPr>
            <w:r>
              <w:rPr>
                <w:rFonts w:hint="eastAsia"/>
                <w:kern w:val="24"/>
                <w:szCs w:val="21"/>
              </w:rPr>
              <w:t>渗滤液处理车间东侧设1座容积200m</w:t>
            </w:r>
            <w:r>
              <w:rPr>
                <w:rFonts w:hint="eastAsia"/>
                <w:kern w:val="24"/>
                <w:szCs w:val="21"/>
                <w:vertAlign w:val="superscript"/>
              </w:rPr>
              <w:t>3</w:t>
            </w:r>
            <w:r>
              <w:rPr>
                <w:rFonts w:hint="eastAsia"/>
                <w:kern w:val="24"/>
                <w:szCs w:val="21"/>
              </w:rPr>
              <w:t>的清水池/浓缩液池，埋地钢混封闭结构，池内中间设隔断，其中清水池120m</w:t>
            </w:r>
            <w:r>
              <w:rPr>
                <w:rFonts w:hint="eastAsia"/>
                <w:kern w:val="24"/>
                <w:szCs w:val="21"/>
                <w:vertAlign w:val="superscript"/>
              </w:rPr>
              <w:t>3</w:t>
            </w:r>
            <w:r>
              <w:rPr>
                <w:rFonts w:hint="eastAsia"/>
                <w:kern w:val="24"/>
                <w:szCs w:val="21"/>
              </w:rPr>
              <w:t>，浓缩液池80m</w:t>
            </w:r>
            <w:r>
              <w:rPr>
                <w:rFonts w:hint="eastAsia"/>
                <w:kern w:val="24"/>
                <w:szCs w:val="21"/>
                <w:vertAlign w:val="superscript"/>
              </w:rPr>
              <w:t>3</w:t>
            </w:r>
            <w:r>
              <w:rPr>
                <w:rFonts w:hint="eastAsia"/>
                <w:kern w:val="24"/>
                <w:szCs w:val="21"/>
              </w:rPr>
              <w:t>，处理过程产生的反渗透浓水进入浓缩液设1辆吸污车，定期回喷场内库区</w:t>
            </w:r>
          </w:p>
        </w:tc>
        <w:tc>
          <w:tcPr>
            <w:tcW w:w="513" w:type="pct"/>
            <w:tcBorders>
              <w:tl2br w:val="nil"/>
              <w:tr2bl w:val="nil"/>
            </w:tcBorders>
            <w:vAlign w:val="center"/>
          </w:tcPr>
          <w:p>
            <w:pPr>
              <w:pStyle w:val="3"/>
              <w:spacing w:line="280" w:lineRule="exact"/>
              <w:ind w:firstLine="15"/>
              <w:rPr>
                <w:szCs w:val="21"/>
              </w:rPr>
            </w:pPr>
            <w:r>
              <w:rPr>
                <w:rFonts w:hint="eastAsia"/>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tcBorders>
              <w:tl2br w:val="nil"/>
              <w:tr2bl w:val="nil"/>
            </w:tcBorders>
            <w:vAlign w:val="center"/>
          </w:tcPr>
          <w:p>
            <w:pPr>
              <w:widowControl/>
              <w:spacing w:line="280" w:lineRule="exact"/>
              <w:ind w:firstLine="15"/>
              <w:jc w:val="center"/>
              <w:rPr>
                <w:b/>
                <w:szCs w:val="21"/>
              </w:rPr>
            </w:pPr>
            <w:r>
              <w:rPr>
                <w:rFonts w:hint="eastAsia"/>
                <w:b/>
                <w:szCs w:val="21"/>
              </w:rPr>
              <w:t>声环境</w:t>
            </w:r>
          </w:p>
        </w:tc>
        <w:tc>
          <w:tcPr>
            <w:tcW w:w="758" w:type="pct"/>
            <w:tcBorders>
              <w:tl2br w:val="nil"/>
              <w:tr2bl w:val="nil"/>
            </w:tcBorders>
            <w:vAlign w:val="center"/>
          </w:tcPr>
          <w:p>
            <w:pPr>
              <w:spacing w:line="280" w:lineRule="exact"/>
              <w:jc w:val="center"/>
              <w:rPr>
                <w:bCs/>
                <w:szCs w:val="21"/>
                <w:lang w:val="zh-CN"/>
              </w:rPr>
            </w:pPr>
            <w:r>
              <w:rPr>
                <w:rFonts w:hint="eastAsia"/>
                <w:szCs w:val="21"/>
              </w:rPr>
              <w:t>填埋作业车辆机械、渗滤液处理站水泵、填埋气抽气机房风机等</w:t>
            </w:r>
          </w:p>
        </w:tc>
        <w:tc>
          <w:tcPr>
            <w:tcW w:w="2981" w:type="pct"/>
            <w:tcBorders>
              <w:tl2br w:val="nil"/>
              <w:tr2bl w:val="nil"/>
            </w:tcBorders>
            <w:vAlign w:val="center"/>
          </w:tcPr>
          <w:p>
            <w:pPr>
              <w:spacing w:line="260" w:lineRule="exact"/>
              <w:ind w:left="105" w:leftChars="50" w:right="105" w:rightChars="50" w:firstLine="15"/>
              <w:jc w:val="left"/>
              <w:rPr>
                <w:szCs w:val="21"/>
              </w:rPr>
            </w:pPr>
            <w:r>
              <w:rPr>
                <w:rFonts w:hint="eastAsia"/>
                <w:bCs/>
                <w:kern w:val="0"/>
                <w:szCs w:val="21"/>
              </w:rPr>
              <w:t>加强机械、车辆管理，合理安排填埋作业时间，制定操作规程；各水泵、风机均进行基础减震，布置在密闭车间内，风机安装柔性接头；加强场地及周边绿化，形成隔离带等</w:t>
            </w:r>
          </w:p>
        </w:tc>
        <w:tc>
          <w:tcPr>
            <w:tcW w:w="513" w:type="pct"/>
            <w:tcBorders>
              <w:tl2br w:val="nil"/>
              <w:tr2bl w:val="nil"/>
            </w:tcBorders>
            <w:vAlign w:val="center"/>
          </w:tcPr>
          <w:p>
            <w:pPr>
              <w:pStyle w:val="3"/>
              <w:spacing w:line="280" w:lineRule="exact"/>
              <w:ind w:firstLine="15"/>
              <w:rPr>
                <w:szCs w:val="21"/>
              </w:rPr>
            </w:pPr>
            <w:r>
              <w:rPr>
                <w:rFonts w:hint="eastAsia"/>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vMerge w:val="restart"/>
            <w:tcBorders>
              <w:tl2br w:val="nil"/>
              <w:tr2bl w:val="nil"/>
            </w:tcBorders>
            <w:vAlign w:val="center"/>
          </w:tcPr>
          <w:p>
            <w:pPr>
              <w:widowControl/>
              <w:spacing w:line="280" w:lineRule="exact"/>
              <w:ind w:firstLine="15"/>
              <w:jc w:val="center"/>
              <w:rPr>
                <w:b/>
                <w:szCs w:val="21"/>
              </w:rPr>
            </w:pPr>
            <w:r>
              <w:rPr>
                <w:rFonts w:hint="eastAsia"/>
                <w:b/>
                <w:szCs w:val="21"/>
              </w:rPr>
              <w:t>固废</w:t>
            </w: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渗滤液处理</w:t>
            </w:r>
          </w:p>
          <w:p>
            <w:pPr>
              <w:pStyle w:val="3"/>
              <w:spacing w:line="280" w:lineRule="exact"/>
              <w:ind w:left="63" w:leftChars="30" w:right="63" w:rightChars="30" w:firstLine="17"/>
              <w:rPr>
                <w:szCs w:val="21"/>
              </w:rPr>
            </w:pPr>
            <w:r>
              <w:rPr>
                <w:rFonts w:hint="eastAsia"/>
                <w:szCs w:val="21"/>
              </w:rPr>
              <w:t>车间部分滤渣</w:t>
            </w:r>
          </w:p>
        </w:tc>
        <w:tc>
          <w:tcPr>
            <w:tcW w:w="2981"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收集后送至场内库区进行处置</w:t>
            </w:r>
          </w:p>
        </w:tc>
        <w:tc>
          <w:tcPr>
            <w:tcW w:w="513" w:type="pct"/>
            <w:tcBorders>
              <w:tl2br w:val="nil"/>
              <w:tr2bl w:val="nil"/>
            </w:tcBorders>
            <w:vAlign w:val="center"/>
          </w:tcPr>
          <w:p>
            <w:pPr>
              <w:pStyle w:val="3"/>
              <w:spacing w:line="280" w:lineRule="exact"/>
              <w:ind w:firstLine="15"/>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vMerge w:val="continue"/>
            <w:tcBorders>
              <w:tl2br w:val="nil"/>
              <w:tr2bl w:val="nil"/>
            </w:tcBorders>
            <w:vAlign w:val="center"/>
          </w:tcPr>
          <w:p>
            <w:pPr>
              <w:widowControl/>
              <w:spacing w:line="280" w:lineRule="exact"/>
              <w:ind w:firstLine="15"/>
              <w:jc w:val="center"/>
              <w:rPr>
                <w:b/>
                <w:szCs w:val="21"/>
              </w:rPr>
            </w:pP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少量职工生活垃圾</w:t>
            </w:r>
          </w:p>
        </w:tc>
        <w:tc>
          <w:tcPr>
            <w:tcW w:w="2982"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场内设密闭垃圾桶，收集后送至场内库区进行处置</w:t>
            </w:r>
          </w:p>
        </w:tc>
        <w:tc>
          <w:tcPr>
            <w:tcW w:w="513" w:type="pct"/>
            <w:tcBorders>
              <w:tl2br w:val="nil"/>
              <w:tr2bl w:val="nil"/>
            </w:tcBorders>
            <w:vAlign w:val="center"/>
          </w:tcPr>
          <w:p>
            <w:pPr>
              <w:pStyle w:val="3"/>
              <w:spacing w:line="280" w:lineRule="exact"/>
              <w:ind w:firstLine="15"/>
              <w:rPr>
                <w:szCs w:val="21"/>
              </w:rPr>
            </w:pPr>
            <w:r>
              <w:rPr>
                <w:rFonts w:hint="eastAsia"/>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vMerge w:val="continue"/>
            <w:tcBorders>
              <w:tl2br w:val="nil"/>
              <w:tr2bl w:val="nil"/>
            </w:tcBorders>
            <w:vAlign w:val="center"/>
          </w:tcPr>
          <w:p>
            <w:pPr>
              <w:widowControl/>
              <w:spacing w:line="280" w:lineRule="exact"/>
              <w:ind w:firstLine="15"/>
              <w:jc w:val="center"/>
              <w:rPr>
                <w:b/>
                <w:szCs w:val="21"/>
              </w:rPr>
            </w:pP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化粪池粪渣</w:t>
            </w:r>
          </w:p>
        </w:tc>
        <w:tc>
          <w:tcPr>
            <w:tcW w:w="2982"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由环卫定期清掏，妥善处置后用于农田施肥</w:t>
            </w:r>
          </w:p>
        </w:tc>
        <w:tc>
          <w:tcPr>
            <w:tcW w:w="513" w:type="pct"/>
            <w:tcBorders>
              <w:tl2br w:val="nil"/>
              <w:tr2bl w:val="nil"/>
            </w:tcBorders>
            <w:vAlign w:val="center"/>
          </w:tcPr>
          <w:p>
            <w:pPr>
              <w:pStyle w:val="3"/>
              <w:spacing w:line="280" w:lineRule="exact"/>
              <w:ind w:firstLine="15"/>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tcBorders>
              <w:tl2br w:val="nil"/>
              <w:tr2bl w:val="nil"/>
            </w:tcBorders>
            <w:vAlign w:val="center"/>
          </w:tcPr>
          <w:p>
            <w:pPr>
              <w:widowControl/>
              <w:spacing w:line="280" w:lineRule="exact"/>
              <w:ind w:firstLine="15"/>
              <w:jc w:val="center"/>
              <w:rPr>
                <w:b/>
                <w:szCs w:val="21"/>
              </w:rPr>
            </w:pPr>
            <w:r>
              <w:rPr>
                <w:rFonts w:hint="eastAsia"/>
                <w:b/>
                <w:szCs w:val="21"/>
              </w:rPr>
              <w:t>生态环境</w:t>
            </w: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w:t>
            </w:r>
          </w:p>
        </w:tc>
        <w:tc>
          <w:tcPr>
            <w:tcW w:w="2982"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管理区周边进行了了乔灌绿化，绿化面积约840m</w:t>
            </w:r>
            <w:r>
              <w:rPr>
                <w:rFonts w:hint="eastAsia"/>
                <w:szCs w:val="21"/>
                <w:vertAlign w:val="superscript"/>
              </w:rPr>
              <w:t>2</w:t>
            </w:r>
            <w:r>
              <w:rPr>
                <w:rFonts w:hint="eastAsia"/>
                <w:szCs w:val="21"/>
              </w:rPr>
              <w:t>。</w:t>
            </w:r>
          </w:p>
        </w:tc>
        <w:tc>
          <w:tcPr>
            <w:tcW w:w="513" w:type="pct"/>
            <w:tcBorders>
              <w:tl2br w:val="nil"/>
              <w:tr2bl w:val="nil"/>
            </w:tcBorders>
            <w:vAlign w:val="center"/>
          </w:tcPr>
          <w:p>
            <w:pPr>
              <w:pStyle w:val="3"/>
              <w:spacing w:line="280" w:lineRule="exact"/>
              <w:ind w:firstLine="15"/>
              <w:rPr>
                <w:szCs w:val="21"/>
              </w:rPr>
            </w:pPr>
            <w:r>
              <w:rPr>
                <w:rFonts w:hint="eastAsia"/>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52" w:type="pct"/>
            <w:vMerge w:val="continue"/>
            <w:tcBorders>
              <w:tl2br w:val="nil"/>
              <w:tr2bl w:val="nil"/>
            </w:tcBorders>
            <w:vAlign w:val="center"/>
          </w:tcPr>
          <w:p>
            <w:pPr>
              <w:pStyle w:val="3"/>
              <w:spacing w:line="280" w:lineRule="exact"/>
              <w:ind w:firstLine="15"/>
              <w:rPr>
                <w:szCs w:val="21"/>
              </w:rPr>
            </w:pPr>
          </w:p>
        </w:tc>
        <w:tc>
          <w:tcPr>
            <w:tcW w:w="209" w:type="pct"/>
            <w:vMerge w:val="continue"/>
            <w:tcBorders>
              <w:tl2br w:val="nil"/>
              <w:tr2bl w:val="nil"/>
            </w:tcBorders>
            <w:vAlign w:val="center"/>
          </w:tcPr>
          <w:p>
            <w:pPr>
              <w:pStyle w:val="3"/>
              <w:spacing w:line="280" w:lineRule="exact"/>
              <w:ind w:firstLine="15"/>
              <w:rPr>
                <w:szCs w:val="21"/>
              </w:rPr>
            </w:pPr>
          </w:p>
        </w:tc>
        <w:tc>
          <w:tcPr>
            <w:tcW w:w="386" w:type="pct"/>
            <w:tcBorders>
              <w:tl2br w:val="nil"/>
              <w:tr2bl w:val="nil"/>
            </w:tcBorders>
            <w:vAlign w:val="center"/>
          </w:tcPr>
          <w:p>
            <w:pPr>
              <w:widowControl/>
              <w:spacing w:line="280" w:lineRule="exact"/>
              <w:ind w:firstLine="15"/>
              <w:jc w:val="center"/>
              <w:rPr>
                <w:b/>
                <w:szCs w:val="21"/>
              </w:rPr>
            </w:pPr>
            <w:r>
              <w:rPr>
                <w:rFonts w:hint="eastAsia"/>
                <w:b/>
                <w:szCs w:val="21"/>
              </w:rPr>
              <w:t>土壤</w:t>
            </w:r>
          </w:p>
        </w:tc>
        <w:tc>
          <w:tcPr>
            <w:tcW w:w="758" w:type="pct"/>
            <w:tcBorders>
              <w:tl2br w:val="nil"/>
              <w:tr2bl w:val="nil"/>
            </w:tcBorders>
            <w:vAlign w:val="center"/>
          </w:tcPr>
          <w:p>
            <w:pPr>
              <w:spacing w:line="240" w:lineRule="exact"/>
              <w:jc w:val="center"/>
              <w:rPr>
                <w:color w:val="000000"/>
                <w:szCs w:val="21"/>
              </w:rPr>
            </w:pPr>
            <w:r>
              <w:rPr>
                <w:rFonts w:hint="eastAsia"/>
                <w:color w:val="000000"/>
                <w:szCs w:val="21"/>
              </w:rPr>
              <w:t>渗滤液事故下渗</w:t>
            </w:r>
          </w:p>
        </w:tc>
        <w:tc>
          <w:tcPr>
            <w:tcW w:w="2982" w:type="pct"/>
            <w:tcBorders>
              <w:tl2br w:val="nil"/>
              <w:tr2bl w:val="nil"/>
            </w:tcBorders>
            <w:vAlign w:val="center"/>
          </w:tcPr>
          <w:p>
            <w:pPr>
              <w:spacing w:line="260" w:lineRule="exact"/>
              <w:ind w:left="105" w:leftChars="50" w:right="105" w:rightChars="50" w:firstLine="15"/>
              <w:jc w:val="left"/>
              <w:rPr>
                <w:szCs w:val="21"/>
              </w:rPr>
            </w:pPr>
            <w:r>
              <w:rPr>
                <w:rFonts w:hint="eastAsia"/>
                <w:szCs w:val="21"/>
              </w:rPr>
              <w:t>在场外西北侧下游约50~100m的农田处设1个土壤跟踪监测点，监测频率为1次/5年</w:t>
            </w:r>
          </w:p>
        </w:tc>
        <w:tc>
          <w:tcPr>
            <w:tcW w:w="513" w:type="pct"/>
            <w:tcBorders>
              <w:tl2br w:val="nil"/>
              <w:tr2bl w:val="nil"/>
            </w:tcBorders>
            <w:vAlign w:val="center"/>
          </w:tcPr>
          <w:p>
            <w:pPr>
              <w:pStyle w:val="3"/>
              <w:spacing w:line="280" w:lineRule="exact"/>
              <w:ind w:firstLine="15"/>
              <w:rPr>
                <w:szCs w:val="21"/>
              </w:rPr>
            </w:pPr>
            <w:r>
              <w:rPr>
                <w:rFonts w:hint="eastAsia"/>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0" w:hRule="atLeast"/>
          <w:jc w:val="center"/>
        </w:trPr>
        <w:tc>
          <w:tcPr>
            <w:tcW w:w="152" w:type="pct"/>
            <w:tcBorders>
              <w:tl2br w:val="nil"/>
              <w:tr2bl w:val="nil"/>
            </w:tcBorders>
            <w:vAlign w:val="center"/>
          </w:tcPr>
          <w:p>
            <w:pPr>
              <w:pStyle w:val="3"/>
              <w:spacing w:line="280" w:lineRule="exact"/>
              <w:ind w:firstLine="15"/>
              <w:rPr>
                <w:szCs w:val="21"/>
              </w:rPr>
            </w:pPr>
            <w:r>
              <w:rPr>
                <w:rFonts w:hint="eastAsia"/>
                <w:szCs w:val="21"/>
              </w:rPr>
              <w:t>3</w:t>
            </w:r>
          </w:p>
        </w:tc>
        <w:tc>
          <w:tcPr>
            <w:tcW w:w="595" w:type="pct"/>
            <w:gridSpan w:val="2"/>
            <w:tcBorders>
              <w:tl2br w:val="nil"/>
              <w:tr2bl w:val="nil"/>
            </w:tcBorders>
            <w:vAlign w:val="center"/>
          </w:tcPr>
          <w:p>
            <w:pPr>
              <w:pStyle w:val="3"/>
              <w:spacing w:line="280" w:lineRule="exact"/>
              <w:ind w:firstLine="15"/>
              <w:rPr>
                <w:szCs w:val="21"/>
              </w:rPr>
            </w:pPr>
            <w:r>
              <w:rPr>
                <w:rFonts w:hint="eastAsia"/>
                <w:b/>
                <w:bCs w:val="0"/>
                <w:szCs w:val="21"/>
              </w:rPr>
              <w:t>封场后</w:t>
            </w:r>
          </w:p>
        </w:tc>
        <w:tc>
          <w:tcPr>
            <w:tcW w:w="758" w:type="pct"/>
            <w:tcBorders>
              <w:tl2br w:val="nil"/>
              <w:tr2bl w:val="nil"/>
            </w:tcBorders>
            <w:vAlign w:val="center"/>
          </w:tcPr>
          <w:p>
            <w:pPr>
              <w:pStyle w:val="3"/>
              <w:spacing w:line="280" w:lineRule="exact"/>
              <w:ind w:left="63" w:leftChars="30" w:right="63" w:rightChars="30" w:firstLine="17"/>
              <w:rPr>
                <w:szCs w:val="21"/>
              </w:rPr>
            </w:pPr>
            <w:r>
              <w:rPr>
                <w:rFonts w:hint="eastAsia"/>
                <w:szCs w:val="21"/>
              </w:rPr>
              <w:t>渗滤液、填埋气等</w:t>
            </w:r>
          </w:p>
        </w:tc>
        <w:tc>
          <w:tcPr>
            <w:tcW w:w="2982" w:type="pct"/>
            <w:tcBorders>
              <w:tl2br w:val="nil"/>
              <w:tr2bl w:val="nil"/>
            </w:tcBorders>
            <w:vAlign w:val="center"/>
          </w:tcPr>
          <w:p>
            <w:pPr>
              <w:pStyle w:val="3"/>
              <w:spacing w:line="280" w:lineRule="exact"/>
              <w:ind w:left="105" w:leftChars="50" w:right="105" w:rightChars="50" w:firstLine="17"/>
              <w:jc w:val="left"/>
              <w:rPr>
                <w:szCs w:val="21"/>
              </w:rPr>
            </w:pPr>
            <w:r>
              <w:rPr>
                <w:rFonts w:hint="eastAsia"/>
                <w:szCs w:val="21"/>
              </w:rPr>
              <w:t>1、垃圾堆体整形、终场覆盖层、堆体表面敷设排水沟、生态恢复工程等；</w:t>
            </w:r>
          </w:p>
          <w:p>
            <w:pPr>
              <w:pStyle w:val="3"/>
              <w:spacing w:line="280" w:lineRule="exact"/>
              <w:ind w:left="105" w:leftChars="50" w:right="105" w:rightChars="50" w:firstLine="17"/>
              <w:jc w:val="left"/>
              <w:rPr>
                <w:szCs w:val="21"/>
              </w:rPr>
            </w:pPr>
            <w:r>
              <w:rPr>
                <w:rFonts w:hint="eastAsia"/>
                <w:szCs w:val="21"/>
              </w:rPr>
              <w:t>2、继续进行渗滤液和填埋气的收集和处理，做好最终覆盖层的完整性和有效性维护；</w:t>
            </w:r>
          </w:p>
          <w:p>
            <w:pPr>
              <w:pStyle w:val="3"/>
              <w:spacing w:line="280" w:lineRule="exact"/>
              <w:ind w:left="105" w:leftChars="50" w:right="105" w:rightChars="50" w:firstLine="17"/>
              <w:jc w:val="left"/>
              <w:rPr>
                <w:szCs w:val="21"/>
              </w:rPr>
            </w:pPr>
            <w:r>
              <w:rPr>
                <w:rFonts w:hint="eastAsia"/>
                <w:szCs w:val="21"/>
              </w:rPr>
              <w:t>3、继续进行地下水水质的跟踪监测，直至封场后填埋场产生的渗滤液中水污染物质量浓度连续两年低于GB16889-2008表2中的限值时为止等。</w:t>
            </w:r>
          </w:p>
        </w:tc>
        <w:tc>
          <w:tcPr>
            <w:tcW w:w="513" w:type="pct"/>
            <w:tcBorders>
              <w:tl2br w:val="nil"/>
              <w:tr2bl w:val="nil"/>
            </w:tcBorders>
            <w:vAlign w:val="center"/>
          </w:tcPr>
          <w:p>
            <w:pPr>
              <w:pStyle w:val="3"/>
              <w:spacing w:line="280" w:lineRule="exact"/>
              <w:ind w:firstLine="15"/>
              <w:rPr>
                <w:szCs w:val="21"/>
              </w:rPr>
            </w:pPr>
            <w:r>
              <w:rPr>
                <w:rFonts w:hint="eastAsia"/>
                <w:szCs w:val="21"/>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52" w:type="pct"/>
            <w:tcBorders>
              <w:tl2br w:val="nil"/>
              <w:tr2bl w:val="nil"/>
            </w:tcBorders>
            <w:vAlign w:val="center"/>
          </w:tcPr>
          <w:p>
            <w:pPr>
              <w:pStyle w:val="3"/>
              <w:spacing w:line="280" w:lineRule="exact"/>
              <w:ind w:firstLine="15"/>
              <w:rPr>
                <w:szCs w:val="21"/>
              </w:rPr>
            </w:pPr>
            <w:r>
              <w:rPr>
                <w:rFonts w:hint="eastAsia"/>
                <w:szCs w:val="21"/>
              </w:rPr>
              <w:t>4</w:t>
            </w:r>
          </w:p>
        </w:tc>
        <w:tc>
          <w:tcPr>
            <w:tcW w:w="1353" w:type="pct"/>
            <w:gridSpan w:val="3"/>
            <w:tcBorders>
              <w:tl2br w:val="nil"/>
              <w:tr2bl w:val="nil"/>
            </w:tcBorders>
            <w:vAlign w:val="center"/>
          </w:tcPr>
          <w:p>
            <w:pPr>
              <w:pStyle w:val="3"/>
              <w:spacing w:line="280" w:lineRule="exact"/>
              <w:ind w:firstLine="15"/>
              <w:rPr>
                <w:szCs w:val="21"/>
              </w:rPr>
            </w:pPr>
            <w:r>
              <w:rPr>
                <w:rFonts w:hint="eastAsia"/>
                <w:b/>
                <w:bCs w:val="0"/>
                <w:szCs w:val="21"/>
              </w:rPr>
              <w:t>环境风险</w:t>
            </w:r>
          </w:p>
        </w:tc>
        <w:tc>
          <w:tcPr>
            <w:tcW w:w="2982" w:type="pct"/>
            <w:tcBorders>
              <w:tl2br w:val="nil"/>
              <w:tr2bl w:val="nil"/>
            </w:tcBorders>
            <w:vAlign w:val="center"/>
          </w:tcPr>
          <w:p>
            <w:pPr>
              <w:pStyle w:val="3"/>
              <w:spacing w:line="280" w:lineRule="exact"/>
              <w:ind w:left="105" w:leftChars="50" w:right="105" w:rightChars="50" w:firstLine="15"/>
              <w:rPr>
                <w:szCs w:val="21"/>
              </w:rPr>
            </w:pPr>
            <w:r>
              <w:rPr>
                <w:rFonts w:hint="eastAsia"/>
                <w:szCs w:val="21"/>
              </w:rPr>
              <w:t>编制项目环境风险突发事故应急预案等</w:t>
            </w:r>
          </w:p>
        </w:tc>
        <w:tc>
          <w:tcPr>
            <w:tcW w:w="513" w:type="pct"/>
            <w:tcBorders>
              <w:tl2br w:val="nil"/>
              <w:tr2bl w:val="nil"/>
            </w:tcBorders>
            <w:vAlign w:val="center"/>
          </w:tcPr>
          <w:p>
            <w:pPr>
              <w:pStyle w:val="3"/>
              <w:spacing w:line="280" w:lineRule="exact"/>
              <w:ind w:firstLine="15"/>
              <w:rPr>
                <w:szCs w:val="21"/>
              </w:rPr>
            </w:pPr>
            <w:r>
              <w:rPr>
                <w:rFonts w:hint="eastAsia"/>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4487" w:type="pct"/>
            <w:gridSpan w:val="5"/>
            <w:tcBorders>
              <w:tl2br w:val="nil"/>
              <w:tr2bl w:val="nil"/>
            </w:tcBorders>
            <w:vAlign w:val="center"/>
          </w:tcPr>
          <w:p>
            <w:pPr>
              <w:pStyle w:val="3"/>
              <w:spacing w:line="280" w:lineRule="exact"/>
              <w:ind w:firstLine="15"/>
              <w:rPr>
                <w:szCs w:val="21"/>
              </w:rPr>
            </w:pPr>
            <w:r>
              <w:rPr>
                <w:b/>
                <w:bCs w:val="0"/>
                <w:szCs w:val="21"/>
              </w:rPr>
              <w:t>总计</w:t>
            </w:r>
          </w:p>
        </w:tc>
        <w:tc>
          <w:tcPr>
            <w:tcW w:w="513" w:type="pct"/>
            <w:tcBorders>
              <w:tl2br w:val="nil"/>
              <w:tr2bl w:val="nil"/>
            </w:tcBorders>
            <w:vAlign w:val="center"/>
          </w:tcPr>
          <w:p>
            <w:pPr>
              <w:pStyle w:val="3"/>
              <w:spacing w:line="280" w:lineRule="exact"/>
              <w:ind w:firstLine="15"/>
              <w:rPr>
                <w:szCs w:val="21"/>
              </w:rPr>
            </w:pPr>
            <w:r>
              <w:rPr>
                <w:rFonts w:hint="eastAsia"/>
                <w:szCs w:val="21"/>
              </w:rPr>
              <w:t>1586.5</w:t>
            </w:r>
          </w:p>
        </w:tc>
      </w:tr>
    </w:tbl>
    <w:p>
      <w:pPr>
        <w:pStyle w:val="10"/>
        <w:rPr>
          <w:szCs w:val="21"/>
        </w:rPr>
      </w:pPr>
    </w:p>
    <w:p>
      <w:pPr>
        <w:pStyle w:val="10"/>
        <w:rPr>
          <w:szCs w:val="21"/>
        </w:rPr>
        <w:sectPr>
          <w:headerReference r:id="rId20" w:type="default"/>
          <w:pgSz w:w="16838" w:h="11906" w:orient="landscape"/>
          <w:pgMar w:top="1800" w:right="1440" w:bottom="1800" w:left="1440" w:header="851" w:footer="992" w:gutter="0"/>
          <w:cols w:space="720" w:num="1"/>
          <w:docGrid w:type="lines" w:linePitch="312" w:charSpace="0"/>
        </w:sectPr>
      </w:pPr>
    </w:p>
    <w:bookmarkEnd w:id="4"/>
    <w:bookmarkEnd w:id="5"/>
    <w:bookmarkEnd w:id="161"/>
    <w:bookmarkEnd w:id="162"/>
    <w:p>
      <w:pPr>
        <w:pStyle w:val="4"/>
        <w:spacing w:after="260" w:line="579" w:lineRule="auto"/>
        <w:jc w:val="center"/>
      </w:pPr>
      <w:bookmarkStart w:id="171" w:name="_Toc9622"/>
      <w:bookmarkStart w:id="172" w:name="_Toc1034166272"/>
      <w:bookmarkStart w:id="173" w:name="_Toc335038245"/>
      <w:bookmarkStart w:id="174" w:name="_Toc413076041"/>
      <w:bookmarkStart w:id="175" w:name="_Toc305600811"/>
      <w:bookmarkStart w:id="176" w:name="_Toc364787200"/>
      <w:bookmarkStart w:id="177" w:name="_Toc271613197"/>
      <w:bookmarkStart w:id="178" w:name="_Toc320291052"/>
      <w:r>
        <w:t>7  环境影响经济损益分析</w:t>
      </w:r>
      <w:bookmarkEnd w:id="171"/>
      <w:bookmarkEnd w:id="172"/>
    </w:p>
    <w:p>
      <w:pPr>
        <w:pStyle w:val="15"/>
        <w:spacing w:line="500" w:lineRule="exact"/>
        <w:ind w:firstLine="496" w:firstLineChars="200"/>
        <w:rPr>
          <w:rFonts w:ascii="Times New Roman"/>
          <w:spacing w:val="4"/>
          <w:sz w:val="24"/>
        </w:rPr>
      </w:pPr>
      <w:bookmarkStart w:id="179" w:name="_Toc17514"/>
      <w:r>
        <w:rPr>
          <w:rFonts w:ascii="Times New Roman"/>
          <w:spacing w:val="4"/>
          <w:sz w:val="24"/>
        </w:rPr>
        <w:t>城市垃圾处理工程是一项保护环境卫生、建设清洁文明城市的市政公共工程</w:t>
      </w:r>
      <w:r>
        <w:rPr>
          <w:rFonts w:hint="eastAsia" w:ascii="Times New Roman"/>
          <w:spacing w:val="4"/>
          <w:sz w:val="24"/>
        </w:rPr>
        <w:t>，其</w:t>
      </w:r>
      <w:r>
        <w:rPr>
          <w:rFonts w:ascii="Times New Roman"/>
          <w:spacing w:val="4"/>
          <w:sz w:val="24"/>
        </w:rPr>
        <w:t>产生的效益除部分经济效益可以定量计算外，大部分则表现为难以用货币量化的社会效益和环境效益。</w:t>
      </w:r>
    </w:p>
    <w:p>
      <w:pPr>
        <w:pStyle w:val="5"/>
        <w:spacing w:beforeLines="0" w:after="120" w:line="500" w:lineRule="exact"/>
        <w:rPr>
          <w:rFonts w:eastAsia="宋体"/>
          <w:b/>
          <w:bCs w:val="0"/>
          <w:color w:val="auto"/>
          <w:szCs w:val="30"/>
        </w:rPr>
      </w:pPr>
      <w:bookmarkStart w:id="180" w:name="_Toc2025350413"/>
      <w:r>
        <w:rPr>
          <w:rFonts w:eastAsia="宋体"/>
          <w:b/>
          <w:bCs w:val="0"/>
          <w:color w:val="auto"/>
          <w:szCs w:val="30"/>
        </w:rPr>
        <w:t>7.1</w:t>
      </w:r>
      <w:r>
        <w:rPr>
          <w:rFonts w:hint="eastAsia" w:eastAsia="宋体"/>
          <w:b/>
          <w:bCs w:val="0"/>
          <w:color w:val="auto"/>
          <w:szCs w:val="30"/>
        </w:rPr>
        <w:t>环境</w:t>
      </w:r>
      <w:r>
        <w:rPr>
          <w:rFonts w:eastAsia="宋体"/>
          <w:b/>
          <w:bCs w:val="0"/>
          <w:color w:val="auto"/>
          <w:szCs w:val="30"/>
        </w:rPr>
        <w:t>效益分析</w:t>
      </w:r>
      <w:bookmarkEnd w:id="179"/>
      <w:bookmarkEnd w:id="180"/>
      <w:bookmarkStart w:id="181" w:name="_Toc19032"/>
    </w:p>
    <w:p>
      <w:pPr>
        <w:spacing w:line="500" w:lineRule="exact"/>
        <w:ind w:firstLine="480" w:firstLineChars="200"/>
        <w:jc w:val="left"/>
        <w:rPr>
          <w:bCs/>
          <w:sz w:val="24"/>
        </w:rPr>
      </w:pPr>
      <w:r>
        <w:rPr>
          <w:rFonts w:hint="eastAsia"/>
          <w:bCs/>
          <w:sz w:val="24"/>
        </w:rPr>
        <w:t>通过项目建设，可及时缓解壶关县城10余万人口生活垃圾的无害化处理问题，避免</w:t>
      </w:r>
      <w:r>
        <w:rPr>
          <w:bCs/>
          <w:sz w:val="24"/>
        </w:rPr>
        <w:t>垃圾</w:t>
      </w:r>
      <w:r>
        <w:rPr>
          <w:rFonts w:hint="eastAsia"/>
          <w:bCs/>
          <w:sz w:val="24"/>
        </w:rPr>
        <w:t>随意堆放</w:t>
      </w:r>
      <w:r>
        <w:rPr>
          <w:bCs/>
          <w:sz w:val="24"/>
        </w:rPr>
        <w:t>对生态环境的影响（占压大量土地，破坏周围景观），控制蚊蝇滋生、鼠害，消除疾病传染，保障人民群众的身体健康、创造良好的市容和清洁、舒适的环境，同时减少垃圾恶臭对周围居民的影响。</w:t>
      </w:r>
    </w:p>
    <w:p>
      <w:pPr>
        <w:spacing w:line="500" w:lineRule="exact"/>
        <w:ind w:firstLine="480" w:firstLineChars="200"/>
        <w:jc w:val="left"/>
        <w:rPr>
          <w:bCs/>
          <w:sz w:val="24"/>
        </w:rPr>
      </w:pPr>
      <w:r>
        <w:rPr>
          <w:rFonts w:hint="eastAsia"/>
          <w:bCs/>
          <w:sz w:val="24"/>
        </w:rPr>
        <w:t>项目在生活垃圾集中</w:t>
      </w:r>
      <w:r>
        <w:rPr>
          <w:bCs/>
          <w:sz w:val="24"/>
        </w:rPr>
        <w:t>填埋</w:t>
      </w:r>
      <w:r>
        <w:rPr>
          <w:rFonts w:hint="eastAsia"/>
          <w:bCs/>
          <w:sz w:val="24"/>
        </w:rPr>
        <w:t>处置的</w:t>
      </w:r>
      <w:r>
        <w:rPr>
          <w:bCs/>
          <w:sz w:val="24"/>
        </w:rPr>
        <w:t>同时，还采取了大量防治二次污染的工程措施，</w:t>
      </w:r>
      <w:r>
        <w:rPr>
          <w:rFonts w:hint="eastAsia"/>
          <w:bCs/>
          <w:sz w:val="24"/>
        </w:rPr>
        <w:t>如建设</w:t>
      </w:r>
      <w:r>
        <w:rPr>
          <w:bCs/>
          <w:sz w:val="24"/>
        </w:rPr>
        <w:t>填埋气收集导排治理措施</w:t>
      </w:r>
      <w:r>
        <w:rPr>
          <w:rFonts w:hint="eastAsia"/>
          <w:bCs/>
          <w:sz w:val="24"/>
        </w:rPr>
        <w:t>，垃圾层层压实，每日覆盖土层，随时通过喷药灭杀、</w:t>
      </w:r>
      <w:r>
        <w:rPr>
          <w:bCs/>
          <w:sz w:val="24"/>
        </w:rPr>
        <w:t>控制蚊蝇、老鼠等有害物的孽生和繁殖，抑制病原体的生长和传播，同时设置垃圾渗滤液</w:t>
      </w:r>
      <w:r>
        <w:rPr>
          <w:rFonts w:hint="eastAsia"/>
          <w:bCs/>
          <w:sz w:val="24"/>
        </w:rPr>
        <w:t>防渗、</w:t>
      </w:r>
      <w:r>
        <w:rPr>
          <w:bCs/>
          <w:sz w:val="24"/>
        </w:rPr>
        <w:t>收集</w:t>
      </w:r>
      <w:r>
        <w:rPr>
          <w:rFonts w:hint="eastAsia"/>
          <w:bCs/>
          <w:sz w:val="24"/>
        </w:rPr>
        <w:t>导排、处理</w:t>
      </w:r>
      <w:r>
        <w:rPr>
          <w:bCs/>
          <w:sz w:val="24"/>
        </w:rPr>
        <w:t>系统，处理后的渗滤液</w:t>
      </w:r>
      <w:r>
        <w:rPr>
          <w:rFonts w:hint="eastAsia"/>
          <w:bCs/>
          <w:sz w:val="24"/>
        </w:rPr>
        <w:t>全部回用不外排，加强厂区绿化等，</w:t>
      </w:r>
      <w:r>
        <w:rPr>
          <w:bCs/>
          <w:sz w:val="24"/>
        </w:rPr>
        <w:t>最大限度的减轻对水体、大气、土壤的二次污染，保护生态环境。</w:t>
      </w:r>
    </w:p>
    <w:p>
      <w:pPr>
        <w:pStyle w:val="5"/>
        <w:spacing w:beforeLines="0" w:after="120" w:line="500" w:lineRule="exact"/>
        <w:rPr>
          <w:rFonts w:eastAsia="宋体"/>
          <w:b/>
          <w:bCs w:val="0"/>
          <w:color w:val="auto"/>
          <w:szCs w:val="30"/>
        </w:rPr>
      </w:pPr>
      <w:bookmarkStart w:id="182" w:name="_Toc16364969"/>
      <w:r>
        <w:rPr>
          <w:rFonts w:eastAsia="宋体"/>
          <w:b/>
          <w:bCs w:val="0"/>
          <w:color w:val="auto"/>
          <w:szCs w:val="30"/>
        </w:rPr>
        <w:t>7.2经济效益分析</w:t>
      </w:r>
      <w:bookmarkEnd w:id="181"/>
      <w:bookmarkEnd w:id="182"/>
    </w:p>
    <w:p>
      <w:pPr>
        <w:spacing w:line="500" w:lineRule="exact"/>
        <w:ind w:firstLine="480" w:firstLineChars="200"/>
        <w:rPr>
          <w:sz w:val="24"/>
        </w:rPr>
      </w:pPr>
      <w:bookmarkStart w:id="183" w:name="_Toc23359"/>
      <w:r>
        <w:rPr>
          <w:rFonts w:hint="eastAsia"/>
          <w:sz w:val="24"/>
        </w:rPr>
        <w:t>项目工程总投资估算2638.82万元，环保投资约1586.5万元，主要为治理渗滤液、填埋气等二次污染所采取的治理措施。</w:t>
      </w:r>
    </w:p>
    <w:p>
      <w:pPr>
        <w:spacing w:line="500" w:lineRule="exact"/>
        <w:ind w:firstLine="480" w:firstLineChars="200"/>
        <w:rPr>
          <w:sz w:val="24"/>
        </w:rPr>
      </w:pPr>
      <w:r>
        <w:rPr>
          <w:rFonts w:hint="eastAsia"/>
          <w:sz w:val="24"/>
        </w:rPr>
        <w:t>项目</w:t>
      </w:r>
      <w:r>
        <w:rPr>
          <w:sz w:val="24"/>
        </w:rPr>
        <w:t>本身为城市环境基础</w:t>
      </w:r>
      <w:r>
        <w:rPr>
          <w:rFonts w:hint="eastAsia"/>
          <w:sz w:val="24"/>
        </w:rPr>
        <w:t>设施</w:t>
      </w:r>
      <w:r>
        <w:rPr>
          <w:sz w:val="24"/>
        </w:rPr>
        <w:t>建设，直接</w:t>
      </w:r>
      <w:r>
        <w:rPr>
          <w:rFonts w:hint="eastAsia"/>
          <w:sz w:val="24"/>
        </w:rPr>
        <w:t>经济</w:t>
      </w:r>
      <w:r>
        <w:rPr>
          <w:sz w:val="24"/>
        </w:rPr>
        <w:t>效益主要</w:t>
      </w:r>
      <w:r>
        <w:rPr>
          <w:rFonts w:hint="eastAsia"/>
          <w:sz w:val="24"/>
        </w:rPr>
        <w:t>为收取的垃圾处理费，本项目年运行成本约为153.81万元，主要收入为垃圾处理费，依据《长治市城镇生活垃圾处理收费管理暂行办法》，垃圾处理费按95元/吨计，项目服务周期12年，共处置垃圾约53.59万t，收取垃圾处理费合计约5626.95万元，除去运营和投资成本，还可产生一定的经济正效益。</w:t>
      </w:r>
    </w:p>
    <w:p>
      <w:pPr>
        <w:pStyle w:val="5"/>
        <w:spacing w:beforeLines="0" w:after="120" w:line="500" w:lineRule="exact"/>
        <w:rPr>
          <w:rFonts w:eastAsia="宋体"/>
          <w:b/>
          <w:bCs w:val="0"/>
          <w:color w:val="auto"/>
          <w:szCs w:val="30"/>
        </w:rPr>
      </w:pPr>
      <w:bookmarkStart w:id="184" w:name="_Toc97191053"/>
      <w:r>
        <w:rPr>
          <w:rFonts w:eastAsia="宋体"/>
          <w:b/>
          <w:bCs w:val="0"/>
          <w:color w:val="auto"/>
          <w:szCs w:val="30"/>
        </w:rPr>
        <w:t>7.3</w:t>
      </w:r>
      <w:r>
        <w:rPr>
          <w:rFonts w:hint="eastAsia" w:eastAsia="宋体"/>
          <w:b/>
          <w:bCs w:val="0"/>
          <w:color w:val="auto"/>
          <w:szCs w:val="30"/>
        </w:rPr>
        <w:t>社会</w:t>
      </w:r>
      <w:r>
        <w:rPr>
          <w:rFonts w:eastAsia="宋体"/>
          <w:b/>
          <w:bCs w:val="0"/>
          <w:color w:val="auto"/>
          <w:szCs w:val="30"/>
        </w:rPr>
        <w:t>效益分析</w:t>
      </w:r>
      <w:bookmarkEnd w:id="183"/>
      <w:bookmarkEnd w:id="184"/>
    </w:p>
    <w:p>
      <w:pPr>
        <w:spacing w:line="500" w:lineRule="exact"/>
        <w:ind w:firstLine="496" w:firstLineChars="200"/>
        <w:jc w:val="left"/>
        <w:rPr>
          <w:spacing w:val="4"/>
          <w:sz w:val="24"/>
          <w:szCs w:val="20"/>
        </w:rPr>
      </w:pPr>
      <w:r>
        <w:rPr>
          <w:rFonts w:hint="eastAsia"/>
          <w:spacing w:val="4"/>
          <w:sz w:val="24"/>
          <w:szCs w:val="20"/>
        </w:rPr>
        <w:t>县城生活垃圾的及时收运与处理，对保护城乡居民的身心健康和城市市容，提高城市卫生质量和环境质量意义重大，具有明显的社会效益，主要表现在：垃圾得到及时清运与处理，避免污泥堆积成山、处理难的现象发生；有利于树立城市整洁卫生的整体形象；有利于改善投资环境，促进经济持续、稳定的发展；解决垃圾扰民问题，有利于整个社会的安定团结。</w:t>
      </w:r>
    </w:p>
    <w:p>
      <w:pPr>
        <w:snapToGrid w:val="0"/>
        <w:spacing w:line="500" w:lineRule="exact"/>
        <w:ind w:firstLine="496" w:firstLineChars="200"/>
        <w:rPr>
          <w:spacing w:val="4"/>
          <w:sz w:val="24"/>
        </w:rPr>
      </w:pPr>
      <w:r>
        <w:rPr>
          <w:rFonts w:hint="eastAsia"/>
          <w:spacing w:val="4"/>
          <w:sz w:val="24"/>
        </w:rPr>
        <w:t>综上所述，本</w:t>
      </w:r>
      <w:r>
        <w:rPr>
          <w:spacing w:val="4"/>
          <w:sz w:val="24"/>
        </w:rPr>
        <w:t>项目建设</w:t>
      </w:r>
      <w:r>
        <w:rPr>
          <w:rFonts w:hint="eastAsia"/>
          <w:spacing w:val="4"/>
          <w:sz w:val="24"/>
        </w:rPr>
        <w:t>可有效解决壶关县城生活垃圾处置问题，</w:t>
      </w:r>
      <w:r>
        <w:rPr>
          <w:spacing w:val="4"/>
          <w:sz w:val="24"/>
        </w:rPr>
        <w:t>具有显著的</w:t>
      </w:r>
      <w:r>
        <w:rPr>
          <w:rFonts w:hint="eastAsia"/>
          <w:spacing w:val="4"/>
          <w:sz w:val="24"/>
        </w:rPr>
        <w:t>环境</w:t>
      </w:r>
      <w:r>
        <w:rPr>
          <w:spacing w:val="4"/>
          <w:sz w:val="24"/>
        </w:rPr>
        <w:t>效益，并由此推动社会各项事业的发展</w:t>
      </w:r>
      <w:r>
        <w:rPr>
          <w:rFonts w:hint="eastAsia"/>
          <w:spacing w:val="4"/>
          <w:sz w:val="24"/>
        </w:rPr>
        <w:t>，在保证环保投资的前提下，还可产生一定的经济正效益，能够实现环境、社会、经济效益的和谐统一，从环境经济角度来看本项目是可行的</w:t>
      </w:r>
      <w:r>
        <w:rPr>
          <w:spacing w:val="4"/>
          <w:sz w:val="24"/>
        </w:rPr>
        <w:t>。</w:t>
      </w:r>
    </w:p>
    <w:p>
      <w:pPr>
        <w:spacing w:line="500" w:lineRule="exact"/>
        <w:ind w:firstLine="480" w:firstLineChars="200"/>
        <w:rPr>
          <w:sz w:val="24"/>
        </w:rPr>
      </w:pPr>
    </w:p>
    <w:p>
      <w:pPr>
        <w:spacing w:line="500" w:lineRule="exact"/>
        <w:ind w:firstLine="480" w:firstLineChars="200"/>
        <w:rPr>
          <w:sz w:val="24"/>
        </w:rPr>
        <w:sectPr>
          <w:headerReference r:id="rId21" w:type="default"/>
          <w:pgSz w:w="11906" w:h="16838"/>
          <w:pgMar w:top="1440" w:right="1800" w:bottom="1440" w:left="1800" w:header="851" w:footer="992" w:gutter="0"/>
          <w:cols w:space="720" w:num="1"/>
          <w:docGrid w:type="lines" w:linePitch="312" w:charSpace="0"/>
        </w:sectPr>
      </w:pPr>
    </w:p>
    <w:p>
      <w:pPr>
        <w:pStyle w:val="4"/>
        <w:spacing w:after="260" w:line="579" w:lineRule="auto"/>
        <w:jc w:val="center"/>
      </w:pPr>
      <w:bookmarkStart w:id="185" w:name="_Toc30627"/>
      <w:bookmarkStart w:id="186" w:name="_Toc1588825425"/>
      <w:r>
        <w:t>8  环境管理与监测计划</w:t>
      </w:r>
      <w:bookmarkEnd w:id="185"/>
      <w:bookmarkEnd w:id="186"/>
    </w:p>
    <w:p>
      <w:pPr>
        <w:snapToGrid w:val="0"/>
        <w:spacing w:line="480" w:lineRule="exact"/>
        <w:ind w:firstLine="480" w:firstLineChars="200"/>
        <w:jc w:val="left"/>
        <w:rPr>
          <w:sz w:val="24"/>
        </w:rPr>
      </w:pPr>
      <w:r>
        <w:rPr>
          <w:sz w:val="24"/>
        </w:rPr>
        <w:t>对于建设项目来说，环境问题的解决除了依靠科技手段、环保措施外,必须辅以严格、合理的管理制度。从保护环境出发,根据建设项目的特点，以一定的管理机构、制度,制定确保环保措施实施的环境管理和监控计划,监督各项环保措施的实施，监测各项环保设施的运行效果,更好地为环境管理提供科学依据，从而实现保护环境目的。</w:t>
      </w:r>
    </w:p>
    <w:p>
      <w:pPr>
        <w:snapToGrid w:val="0"/>
        <w:spacing w:line="480" w:lineRule="exact"/>
        <w:ind w:firstLine="480" w:firstLineChars="200"/>
        <w:jc w:val="left"/>
        <w:rPr>
          <w:sz w:val="24"/>
        </w:rPr>
      </w:pPr>
      <w:r>
        <w:rPr>
          <w:rFonts w:hint="eastAsia"/>
          <w:sz w:val="24"/>
        </w:rPr>
        <w:t>项目场地</w:t>
      </w:r>
      <w:r>
        <w:rPr>
          <w:sz w:val="24"/>
        </w:rPr>
        <w:t>环境管理和监控计划应按照《生活垃圾填埋场污染控制标准》</w:t>
      </w:r>
    </w:p>
    <w:p>
      <w:pPr>
        <w:snapToGrid w:val="0"/>
        <w:spacing w:line="480" w:lineRule="exact"/>
        <w:jc w:val="left"/>
        <w:rPr>
          <w:sz w:val="24"/>
        </w:rPr>
      </w:pPr>
      <w:r>
        <w:rPr>
          <w:sz w:val="24"/>
        </w:rPr>
        <w:t>(GB16889-2008)、《城市生活垃圾卫生填埋运行维护技术规程》(CJ93-</w:t>
      </w:r>
      <w:r>
        <w:rPr>
          <w:rFonts w:hint="eastAsia"/>
          <w:sz w:val="24"/>
        </w:rPr>
        <w:t>2011</w:t>
      </w:r>
      <w:r>
        <w:rPr>
          <w:sz w:val="24"/>
        </w:rPr>
        <w:t>)和《生活垃圾卫生填埋场环境监测技术要求》(GB/T18772-20</w:t>
      </w:r>
      <w:r>
        <w:rPr>
          <w:rFonts w:hint="eastAsia"/>
          <w:sz w:val="24"/>
        </w:rPr>
        <w:t>20</w:t>
      </w:r>
      <w:r>
        <w:rPr>
          <w:sz w:val="24"/>
        </w:rPr>
        <w:t>)等标准和规范</w:t>
      </w:r>
      <w:r>
        <w:rPr>
          <w:rFonts w:hint="eastAsia"/>
          <w:sz w:val="24"/>
        </w:rPr>
        <w:t>执行</w:t>
      </w:r>
      <w:r>
        <w:rPr>
          <w:sz w:val="24"/>
        </w:rPr>
        <w:t>。</w:t>
      </w:r>
    </w:p>
    <w:p>
      <w:pPr>
        <w:pStyle w:val="5"/>
        <w:spacing w:beforeLines="0" w:after="120"/>
        <w:rPr>
          <w:rFonts w:eastAsia="宋体"/>
          <w:b/>
          <w:bCs w:val="0"/>
          <w:color w:val="auto"/>
          <w:szCs w:val="30"/>
        </w:rPr>
      </w:pPr>
      <w:bookmarkStart w:id="187" w:name="_Toc426084071"/>
      <w:bookmarkStart w:id="188" w:name="_Toc27347"/>
      <w:bookmarkStart w:id="189" w:name="_Toc364787197"/>
      <w:r>
        <w:rPr>
          <w:rFonts w:eastAsia="宋体"/>
          <w:b/>
          <w:bCs w:val="0"/>
          <w:color w:val="auto"/>
          <w:szCs w:val="30"/>
        </w:rPr>
        <w:t>8.1环境管理</w:t>
      </w:r>
      <w:bookmarkEnd w:id="187"/>
      <w:bookmarkEnd w:id="188"/>
      <w:bookmarkEnd w:id="189"/>
    </w:p>
    <w:p>
      <w:pPr>
        <w:spacing w:line="480" w:lineRule="exact"/>
        <w:ind w:firstLine="480" w:firstLineChars="200"/>
        <w:rPr>
          <w:snapToGrid w:val="0"/>
          <w:kern w:val="0"/>
        </w:rPr>
      </w:pPr>
      <w:r>
        <w:rPr>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pPr>
        <w:pStyle w:val="6"/>
        <w:spacing w:line="480" w:lineRule="exact"/>
      </w:pPr>
      <w:r>
        <w:rPr>
          <w:rFonts w:hint="eastAsia"/>
        </w:rPr>
        <w:t>8</w:t>
      </w:r>
      <w:r>
        <w:t>.1.1环境管理体系与职责</w:t>
      </w:r>
    </w:p>
    <w:p>
      <w:pPr>
        <w:spacing w:line="480" w:lineRule="exact"/>
        <w:ind w:firstLine="482" w:firstLineChars="200"/>
        <w:rPr>
          <w:color w:val="000000"/>
          <w:sz w:val="24"/>
        </w:rPr>
      </w:pPr>
      <w:r>
        <w:rPr>
          <w:b/>
          <w:bCs/>
          <w:color w:val="000000"/>
          <w:sz w:val="24"/>
        </w:rPr>
        <w:t>1、环境管理</w:t>
      </w:r>
      <w:r>
        <w:rPr>
          <w:rFonts w:hint="eastAsia"/>
          <w:b/>
          <w:bCs/>
          <w:color w:val="000000"/>
          <w:sz w:val="24"/>
        </w:rPr>
        <w:t>体系</w:t>
      </w:r>
    </w:p>
    <w:p>
      <w:pPr>
        <w:spacing w:line="480" w:lineRule="exact"/>
        <w:ind w:firstLine="482" w:firstLineChars="200"/>
        <w:rPr>
          <w:color w:val="000000"/>
          <w:sz w:val="24"/>
        </w:rPr>
      </w:pPr>
      <w:r>
        <w:rPr>
          <w:b/>
          <w:bCs/>
          <w:sz w:val="24"/>
        </w:rPr>
        <w:t>（1）</w:t>
      </w:r>
      <w:r>
        <w:rPr>
          <w:rFonts w:hint="eastAsia"/>
          <w:b/>
          <w:bCs/>
          <w:sz w:val="24"/>
        </w:rPr>
        <w:t>项目外部管理体系</w:t>
      </w:r>
    </w:p>
    <w:p>
      <w:pPr>
        <w:spacing w:line="480" w:lineRule="exact"/>
        <w:ind w:firstLine="480" w:firstLineChars="200"/>
        <w:rPr>
          <w:color w:val="000000"/>
          <w:sz w:val="24"/>
        </w:rPr>
      </w:pPr>
      <w:r>
        <w:rPr>
          <w:rFonts w:hint="eastAsia"/>
          <w:color w:val="000000"/>
          <w:sz w:val="24"/>
        </w:rPr>
        <w:t>工程</w:t>
      </w:r>
      <w:r>
        <w:rPr>
          <w:color w:val="000000"/>
          <w:sz w:val="24"/>
        </w:rPr>
        <w:t>要以山西省、</w:t>
      </w:r>
      <w:r>
        <w:rPr>
          <w:rFonts w:hint="eastAsia"/>
          <w:color w:val="000000"/>
          <w:sz w:val="24"/>
        </w:rPr>
        <w:t>壶关</w:t>
      </w:r>
      <w:r>
        <w:rPr>
          <w:color w:val="000000"/>
          <w:sz w:val="24"/>
        </w:rPr>
        <w:t>县政府及环境管理部门的有关要求为基本依据</w:t>
      </w:r>
      <w:r>
        <w:rPr>
          <w:rFonts w:hint="eastAsia"/>
          <w:color w:val="000000"/>
          <w:sz w:val="24"/>
        </w:rPr>
        <w:t>，</w:t>
      </w:r>
      <w:r>
        <w:rPr>
          <w:color w:val="000000"/>
          <w:sz w:val="24"/>
        </w:rPr>
        <w:t>日常运行要求严格按照省、市、县环境保护局的要求进行</w:t>
      </w:r>
      <w:r>
        <w:rPr>
          <w:rFonts w:hint="eastAsia"/>
          <w:color w:val="000000"/>
          <w:sz w:val="24"/>
        </w:rPr>
        <w:t>，</w:t>
      </w:r>
      <w:r>
        <w:rPr>
          <w:color w:val="000000"/>
          <w:sz w:val="24"/>
        </w:rPr>
        <w:t>接受省、县环境保护局的检查、监督、监测与管理指示。</w:t>
      </w:r>
    </w:p>
    <w:p>
      <w:pPr>
        <w:spacing w:line="480" w:lineRule="exact"/>
        <w:ind w:firstLine="482" w:firstLineChars="200"/>
        <w:rPr>
          <w:color w:val="000000"/>
          <w:sz w:val="24"/>
        </w:rPr>
      </w:pPr>
      <w:r>
        <w:rPr>
          <w:b/>
          <w:bCs/>
          <w:sz w:val="24"/>
        </w:rPr>
        <w:t>（</w:t>
      </w:r>
      <w:r>
        <w:rPr>
          <w:rFonts w:hint="eastAsia"/>
          <w:b/>
          <w:bCs/>
          <w:sz w:val="24"/>
        </w:rPr>
        <w:t>2</w:t>
      </w:r>
      <w:r>
        <w:rPr>
          <w:b/>
          <w:bCs/>
          <w:sz w:val="24"/>
        </w:rPr>
        <w:t>）</w:t>
      </w:r>
      <w:r>
        <w:rPr>
          <w:rFonts w:hint="eastAsia"/>
          <w:b/>
          <w:bCs/>
          <w:sz w:val="24"/>
        </w:rPr>
        <w:t>项目内部管理体系</w:t>
      </w:r>
    </w:p>
    <w:p>
      <w:pPr>
        <w:spacing w:line="480" w:lineRule="exact"/>
        <w:ind w:firstLine="480" w:firstLineChars="200"/>
        <w:rPr>
          <w:rFonts w:ascii="宋体" w:hAnsi="宋体" w:cs="宋体"/>
          <w:sz w:val="24"/>
        </w:rPr>
      </w:pPr>
      <w:r>
        <w:rPr>
          <w:rFonts w:hint="eastAsia" w:ascii="宋体" w:hAnsi="宋体" w:cs="宋体"/>
          <w:sz w:val="24"/>
        </w:rPr>
        <w:t>项目建设后,环境管理工作将分两部分实施,一是设置环境管理机构,二是协调项目施工阶段、运营阶段、验收的环境管理。为实现环境管理的目的,需要建立一套完善有效的环境管理组织机构。按照国家有关规定和实际工作的需要,本项目应设专门环境管理机构,负责运营过程的环境管理和监测工作及时监督和掌握污染情况,以便采取相应的防范措施。</w:t>
      </w:r>
    </w:p>
    <w:p>
      <w:pPr>
        <w:spacing w:line="480" w:lineRule="exact"/>
        <w:ind w:firstLine="482" w:firstLineChars="200"/>
        <w:rPr>
          <w:color w:val="000000"/>
          <w:sz w:val="24"/>
        </w:rPr>
      </w:pPr>
      <w:r>
        <w:rPr>
          <w:rFonts w:hint="eastAsia"/>
          <w:b/>
          <w:bCs/>
          <w:color w:val="000000"/>
          <w:sz w:val="24"/>
        </w:rPr>
        <w:t>2</w:t>
      </w:r>
      <w:r>
        <w:rPr>
          <w:b/>
          <w:bCs/>
          <w:color w:val="000000"/>
          <w:sz w:val="24"/>
        </w:rPr>
        <w:t>、环境管理</w:t>
      </w:r>
      <w:r>
        <w:rPr>
          <w:rFonts w:hint="eastAsia"/>
          <w:b/>
          <w:bCs/>
          <w:color w:val="000000"/>
          <w:sz w:val="24"/>
        </w:rPr>
        <w:t>职责</w:t>
      </w:r>
    </w:p>
    <w:p>
      <w:pPr>
        <w:spacing w:line="480" w:lineRule="exact"/>
        <w:ind w:firstLine="480" w:firstLineChars="200"/>
        <w:rPr>
          <w:sz w:val="24"/>
        </w:rPr>
      </w:pPr>
      <w:r>
        <w:rPr>
          <w:rFonts w:hint="eastAsia"/>
          <w:sz w:val="24"/>
        </w:rPr>
        <w:t>项目环境管理机构主要包括以下职责：</w:t>
      </w:r>
    </w:p>
    <w:p>
      <w:pPr>
        <w:spacing w:line="480" w:lineRule="exact"/>
        <w:ind w:firstLine="482" w:firstLineChars="200"/>
        <w:rPr>
          <w:color w:val="000000"/>
          <w:sz w:val="24"/>
        </w:rPr>
      </w:pPr>
      <w:r>
        <w:rPr>
          <w:b/>
          <w:bCs/>
          <w:sz w:val="24"/>
        </w:rPr>
        <w:t>（1）</w:t>
      </w:r>
      <w:r>
        <w:rPr>
          <w:rFonts w:hint="eastAsia"/>
          <w:b/>
          <w:bCs/>
          <w:sz w:val="24"/>
        </w:rPr>
        <w:t>环境管理职责</w:t>
      </w:r>
    </w:p>
    <w:p>
      <w:pPr>
        <w:spacing w:line="480" w:lineRule="exact"/>
        <w:ind w:firstLine="480" w:firstLineChars="200"/>
        <w:rPr>
          <w:color w:val="000000"/>
          <w:sz w:val="24"/>
        </w:rPr>
      </w:pPr>
      <w:r>
        <w:rPr>
          <w:color w:val="000000"/>
          <w:sz w:val="24"/>
        </w:rPr>
        <w:fldChar w:fldCharType="begin"/>
      </w:r>
      <w:r>
        <w:rPr>
          <w:color w:val="000000"/>
          <w:sz w:val="24"/>
        </w:rPr>
        <w:instrText xml:space="preserve"> </w:instrText>
      </w:r>
      <w:r>
        <w:rPr>
          <w:rFonts w:hint="eastAsia"/>
          <w:color w:val="000000"/>
          <w:sz w:val="24"/>
        </w:rPr>
        <w:instrText xml:space="preserve">= 1 \* GB3</w:instrText>
      </w:r>
      <w:r>
        <w:rPr>
          <w:color w:val="000000"/>
          <w:sz w:val="24"/>
        </w:rPr>
        <w:instrText xml:space="preserve"> </w:instrText>
      </w:r>
      <w:r>
        <w:rPr>
          <w:color w:val="000000"/>
          <w:sz w:val="24"/>
        </w:rPr>
        <w:fldChar w:fldCharType="separate"/>
      </w:r>
      <w:r>
        <w:rPr>
          <w:rFonts w:hint="eastAsia"/>
          <w:color w:val="000000"/>
          <w:sz w:val="24"/>
        </w:rPr>
        <w:t>①</w:t>
      </w:r>
      <w:r>
        <w:rPr>
          <w:color w:val="000000"/>
          <w:sz w:val="24"/>
        </w:rPr>
        <w:fldChar w:fldCharType="end"/>
      </w:r>
      <w:r>
        <w:rPr>
          <w:color w:val="000000"/>
          <w:sz w:val="24"/>
        </w:rPr>
        <w:t>贯彻执行环境保护法规和标准；</w:t>
      </w:r>
    </w:p>
    <w:p>
      <w:pPr>
        <w:spacing w:line="480" w:lineRule="exact"/>
        <w:ind w:firstLine="480" w:firstLineChars="200"/>
        <w:rPr>
          <w:color w:val="000000"/>
          <w:sz w:val="24"/>
        </w:rPr>
      </w:pPr>
      <w:r>
        <w:rPr>
          <w:rFonts w:hint="eastAsia" w:ascii="宋体" w:hAnsi="宋体" w:cs="宋体"/>
          <w:color w:val="000000"/>
          <w:sz w:val="24"/>
        </w:rPr>
        <w:t>②</w:t>
      </w:r>
      <w:r>
        <w:rPr>
          <w:color w:val="000000"/>
          <w:sz w:val="24"/>
        </w:rPr>
        <w:t>建立各种环境管理制度，并经常检查督促；</w:t>
      </w:r>
    </w:p>
    <w:p>
      <w:pPr>
        <w:spacing w:line="480" w:lineRule="exact"/>
        <w:ind w:firstLine="480" w:firstLineChars="200"/>
        <w:rPr>
          <w:color w:val="000000"/>
          <w:sz w:val="24"/>
        </w:rPr>
      </w:pPr>
      <w:r>
        <w:rPr>
          <w:rFonts w:hint="eastAsia" w:ascii="宋体" w:hAnsi="宋体" w:cs="宋体"/>
          <w:color w:val="000000"/>
          <w:sz w:val="24"/>
        </w:rPr>
        <w:t>③</w:t>
      </w:r>
      <w:r>
        <w:rPr>
          <w:color w:val="000000"/>
          <w:sz w:val="24"/>
        </w:rPr>
        <w:t>领导并组织项目的环境监测工作，建立监控档案；</w:t>
      </w:r>
    </w:p>
    <w:p>
      <w:pPr>
        <w:spacing w:line="480" w:lineRule="exact"/>
        <w:ind w:firstLine="480" w:firstLineChars="200"/>
        <w:rPr>
          <w:color w:val="000000"/>
          <w:sz w:val="24"/>
        </w:rPr>
      </w:pPr>
      <w:r>
        <w:rPr>
          <w:rFonts w:hint="eastAsia" w:ascii="宋体" w:hAnsi="宋体" w:cs="宋体"/>
          <w:color w:val="000000"/>
          <w:sz w:val="24"/>
        </w:rPr>
        <w:t>④</w:t>
      </w:r>
      <w:r>
        <w:rPr>
          <w:color w:val="000000"/>
          <w:sz w:val="24"/>
        </w:rPr>
        <w:t>搞好环境教育和技术培训，提高工作人员素质；</w:t>
      </w:r>
    </w:p>
    <w:p>
      <w:pPr>
        <w:spacing w:line="480" w:lineRule="exact"/>
        <w:ind w:firstLine="480" w:firstLineChars="200"/>
        <w:rPr>
          <w:color w:val="000000"/>
          <w:sz w:val="24"/>
        </w:rPr>
      </w:pPr>
      <w:r>
        <w:rPr>
          <w:color w:val="000000"/>
          <w:sz w:val="24"/>
        </w:rPr>
        <w:fldChar w:fldCharType="begin"/>
      </w:r>
      <w:r>
        <w:rPr>
          <w:color w:val="000000"/>
          <w:sz w:val="24"/>
        </w:rPr>
        <w:instrText xml:space="preserve"> </w:instrText>
      </w:r>
      <w:r>
        <w:rPr>
          <w:rFonts w:hint="eastAsia"/>
          <w:color w:val="000000"/>
          <w:sz w:val="24"/>
        </w:rPr>
        <w:instrText xml:space="preserve">= 5 \* GB3</w:instrText>
      </w:r>
      <w:r>
        <w:rPr>
          <w:color w:val="000000"/>
          <w:sz w:val="24"/>
        </w:rPr>
        <w:instrText xml:space="preserve"> </w:instrText>
      </w:r>
      <w:r>
        <w:rPr>
          <w:color w:val="000000"/>
          <w:sz w:val="24"/>
        </w:rPr>
        <w:fldChar w:fldCharType="separate"/>
      </w:r>
      <w:r>
        <w:rPr>
          <w:rFonts w:hint="eastAsia"/>
          <w:color w:val="000000"/>
          <w:sz w:val="24"/>
        </w:rPr>
        <w:t>⑤</w:t>
      </w:r>
      <w:r>
        <w:rPr>
          <w:color w:val="000000"/>
          <w:sz w:val="24"/>
        </w:rPr>
        <w:fldChar w:fldCharType="end"/>
      </w:r>
      <w:r>
        <w:rPr>
          <w:color w:val="000000"/>
          <w:sz w:val="24"/>
        </w:rPr>
        <w:t>建立项目污染物排放和环保设施运转规章制度；</w:t>
      </w:r>
    </w:p>
    <w:p>
      <w:pPr>
        <w:spacing w:line="480" w:lineRule="exact"/>
        <w:ind w:left="479" w:leftChars="228"/>
        <w:rPr>
          <w:color w:val="000000"/>
          <w:sz w:val="24"/>
        </w:rPr>
      </w:pPr>
      <w:r>
        <w:rPr>
          <w:color w:val="000000"/>
          <w:sz w:val="24"/>
        </w:rPr>
        <w:fldChar w:fldCharType="begin"/>
      </w:r>
      <w:r>
        <w:rPr>
          <w:color w:val="000000"/>
          <w:sz w:val="24"/>
        </w:rPr>
        <w:instrText xml:space="preserve"> </w:instrText>
      </w:r>
      <w:r>
        <w:rPr>
          <w:rFonts w:hint="eastAsia"/>
          <w:color w:val="000000"/>
          <w:sz w:val="24"/>
        </w:rPr>
        <w:instrText xml:space="preserve">= 6 \* GB3</w:instrText>
      </w:r>
      <w:r>
        <w:rPr>
          <w:color w:val="000000"/>
          <w:sz w:val="24"/>
        </w:rPr>
        <w:instrText xml:space="preserve"> </w:instrText>
      </w:r>
      <w:r>
        <w:rPr>
          <w:color w:val="000000"/>
          <w:sz w:val="24"/>
        </w:rPr>
        <w:fldChar w:fldCharType="separate"/>
      </w:r>
      <w:r>
        <w:rPr>
          <w:rFonts w:hint="eastAsia"/>
          <w:color w:val="000000"/>
          <w:sz w:val="24"/>
        </w:rPr>
        <w:t>⑥</w:t>
      </w:r>
      <w:r>
        <w:rPr>
          <w:color w:val="000000"/>
          <w:sz w:val="24"/>
        </w:rPr>
        <w:fldChar w:fldCharType="end"/>
      </w:r>
      <w:r>
        <w:rPr>
          <w:color w:val="000000"/>
          <w:sz w:val="24"/>
        </w:rPr>
        <w:t>负责环境管理日常工作和上级环境保护部门及其他社会各界的协调工作；</w:t>
      </w:r>
      <w:r>
        <w:rPr>
          <w:color w:val="000000"/>
          <w:sz w:val="24"/>
        </w:rPr>
        <w:fldChar w:fldCharType="begin"/>
      </w:r>
      <w:r>
        <w:rPr>
          <w:color w:val="000000"/>
          <w:sz w:val="24"/>
        </w:rPr>
        <w:instrText xml:space="preserve"> </w:instrText>
      </w:r>
      <w:r>
        <w:rPr>
          <w:rFonts w:hint="eastAsia"/>
          <w:color w:val="000000"/>
          <w:sz w:val="24"/>
        </w:rPr>
        <w:instrText xml:space="preserve">= 7 \* GB3</w:instrText>
      </w:r>
      <w:r>
        <w:rPr>
          <w:color w:val="000000"/>
          <w:sz w:val="24"/>
        </w:rPr>
        <w:instrText xml:space="preserve"> </w:instrText>
      </w:r>
      <w:r>
        <w:rPr>
          <w:color w:val="000000"/>
          <w:sz w:val="24"/>
        </w:rPr>
        <w:fldChar w:fldCharType="separate"/>
      </w:r>
      <w:r>
        <w:rPr>
          <w:rFonts w:hint="eastAsia"/>
          <w:color w:val="000000"/>
          <w:sz w:val="24"/>
        </w:rPr>
        <w:t>⑦</w:t>
      </w:r>
      <w:r>
        <w:rPr>
          <w:color w:val="000000"/>
          <w:sz w:val="24"/>
        </w:rPr>
        <w:fldChar w:fldCharType="end"/>
      </w:r>
      <w:r>
        <w:rPr>
          <w:color w:val="000000"/>
          <w:sz w:val="24"/>
        </w:rPr>
        <w:t>参与突发性事故的应变处理工作。</w:t>
      </w:r>
    </w:p>
    <w:p>
      <w:pPr>
        <w:spacing w:line="480" w:lineRule="exact"/>
        <w:ind w:firstLine="482" w:firstLineChars="200"/>
        <w:rPr>
          <w:color w:val="000000"/>
          <w:sz w:val="24"/>
        </w:rPr>
      </w:pPr>
      <w:r>
        <w:rPr>
          <w:b/>
          <w:bCs/>
          <w:sz w:val="24"/>
        </w:rPr>
        <w:t>（</w:t>
      </w:r>
      <w:r>
        <w:rPr>
          <w:rFonts w:hint="eastAsia"/>
          <w:b/>
          <w:bCs/>
          <w:sz w:val="24"/>
        </w:rPr>
        <w:t>2</w:t>
      </w:r>
      <w:r>
        <w:rPr>
          <w:b/>
          <w:bCs/>
          <w:sz w:val="24"/>
        </w:rPr>
        <w:t>）环境</w:t>
      </w:r>
      <w:r>
        <w:rPr>
          <w:rFonts w:hint="eastAsia"/>
          <w:b/>
          <w:bCs/>
          <w:sz w:val="24"/>
        </w:rPr>
        <w:t>监控</w:t>
      </w:r>
      <w:r>
        <w:rPr>
          <w:b/>
          <w:bCs/>
          <w:sz w:val="24"/>
        </w:rPr>
        <w:t>职责</w:t>
      </w:r>
    </w:p>
    <w:p>
      <w:pPr>
        <w:spacing w:line="480" w:lineRule="exact"/>
        <w:ind w:firstLine="480" w:firstLineChars="200"/>
        <w:rPr>
          <w:rFonts w:ascii="宋体" w:hAnsi="宋体" w:cs="宋体"/>
          <w:color w:val="000000"/>
          <w:sz w:val="24"/>
        </w:rPr>
      </w:pPr>
      <w:r>
        <w:rPr>
          <w:rFonts w:hint="eastAsia" w:ascii="宋体" w:hAnsi="宋体" w:cs="宋体"/>
          <w:color w:val="000000"/>
          <w:sz w:val="24"/>
        </w:rPr>
        <w:t>①制定环境监测年度计划,建立各种规章制度；</w:t>
      </w:r>
    </w:p>
    <w:p>
      <w:pPr>
        <w:spacing w:line="480" w:lineRule="exact"/>
        <w:ind w:firstLine="480" w:firstLineChars="200"/>
        <w:rPr>
          <w:rFonts w:ascii="宋体" w:hAnsi="宋体" w:cs="宋体"/>
          <w:color w:val="000000"/>
          <w:sz w:val="24"/>
        </w:rPr>
      </w:pPr>
      <w:r>
        <w:rPr>
          <w:rFonts w:hint="eastAsia" w:ascii="宋体" w:hAnsi="宋体" w:cs="宋体"/>
          <w:color w:val="000000"/>
          <w:sz w:val="24"/>
        </w:rPr>
        <w:t>②完成项目环境监控计划规定的各项监控任务,按有关规定编制各种报告报表，并负责呈报工作；</w:t>
      </w:r>
    </w:p>
    <w:p>
      <w:pPr>
        <w:spacing w:line="480" w:lineRule="exact"/>
        <w:ind w:firstLine="480" w:firstLineChars="200"/>
        <w:rPr>
          <w:rFonts w:ascii="宋体" w:hAnsi="宋体" w:cs="宋体"/>
          <w:color w:val="000000"/>
          <w:sz w:val="24"/>
        </w:rPr>
      </w:pPr>
      <w:r>
        <w:rPr>
          <w:rFonts w:hint="eastAsia" w:ascii="宋体" w:hAnsi="宋体" w:cs="宋体"/>
          <w:color w:val="000000"/>
          <w:sz w:val="24"/>
        </w:rPr>
        <w:t>③参加项目污染事故的调查与处理工作；</w:t>
      </w:r>
    </w:p>
    <w:p>
      <w:pPr>
        <w:spacing w:line="480" w:lineRule="exact"/>
        <w:ind w:firstLine="480" w:firstLineChars="200"/>
        <w:rPr>
          <w:rFonts w:ascii="宋体" w:hAnsi="宋体" w:cs="宋体"/>
          <w:color w:val="000000"/>
          <w:sz w:val="24"/>
        </w:rPr>
      </w:pPr>
      <w:r>
        <w:rPr>
          <w:rFonts w:hint="eastAsia" w:ascii="宋体" w:hAnsi="宋体" w:cs="宋体"/>
          <w:color w:val="000000"/>
          <w:sz w:val="24"/>
        </w:rPr>
        <w:t>④负责监测仪器测试维修，保养和检验工作,确保监控工作顺利进行。</w:t>
      </w:r>
    </w:p>
    <w:p>
      <w:pPr>
        <w:pStyle w:val="6"/>
        <w:spacing w:line="480" w:lineRule="exact"/>
      </w:pPr>
      <w:r>
        <w:rPr>
          <w:rFonts w:hint="eastAsia"/>
        </w:rPr>
        <w:t>8</w:t>
      </w:r>
      <w:r>
        <w:t>.1.</w:t>
      </w:r>
      <w:r>
        <w:rPr>
          <w:rFonts w:hint="eastAsia"/>
        </w:rPr>
        <w:t>2</w:t>
      </w:r>
      <w:r>
        <w:t>环境管理</w:t>
      </w:r>
      <w:r>
        <w:rPr>
          <w:rFonts w:hint="eastAsia"/>
        </w:rPr>
        <w:t>制度</w:t>
      </w:r>
    </w:p>
    <w:p>
      <w:pPr>
        <w:spacing w:line="480" w:lineRule="exact"/>
        <w:ind w:firstLine="480" w:firstLineChars="200"/>
        <w:rPr>
          <w:color w:val="000000"/>
          <w:sz w:val="24"/>
        </w:rPr>
      </w:pPr>
      <w:r>
        <w:rPr>
          <w:rFonts w:hint="eastAsia"/>
          <w:color w:val="000000"/>
          <w:sz w:val="24"/>
        </w:rPr>
        <w:t>项目在建立管理体制和设置部门的同时，还必须按照客观规律和环境管理的特点，建立、健全必要的环境管理规章制度，各项规章制度的制定要体现环境管理的任务、内容和原则，使环境管理的特点和要求渗透到各项管理工作之中，要明确各级领导和工作人员的环保责任，所制定的规章制度要认真贯彻执行国家和地方的环境保护法律、法规和方针政策，基本环境管理制度主要有以下几种：</w:t>
      </w:r>
    </w:p>
    <w:p>
      <w:pPr>
        <w:spacing w:line="480" w:lineRule="exact"/>
        <w:ind w:firstLine="480" w:firstLineChars="200"/>
        <w:rPr>
          <w:color w:val="000000"/>
          <w:sz w:val="24"/>
        </w:rPr>
      </w:pPr>
      <w:r>
        <w:rPr>
          <w:rFonts w:hint="eastAsia"/>
          <w:color w:val="000000"/>
          <w:sz w:val="24"/>
        </w:rPr>
        <w:t>① 公司环境保护管理条例，它是企业的立法之宝；</w:t>
      </w:r>
    </w:p>
    <w:p>
      <w:pPr>
        <w:spacing w:line="480" w:lineRule="exact"/>
        <w:ind w:firstLine="480" w:firstLineChars="200"/>
        <w:rPr>
          <w:color w:val="000000"/>
          <w:sz w:val="24"/>
        </w:rPr>
      </w:pPr>
      <w:r>
        <w:rPr>
          <w:rFonts w:hint="eastAsia"/>
          <w:color w:val="000000"/>
          <w:sz w:val="24"/>
        </w:rPr>
        <w:t>② 公司环境管理规程；</w:t>
      </w:r>
    </w:p>
    <w:p>
      <w:pPr>
        <w:spacing w:line="480" w:lineRule="exact"/>
        <w:ind w:firstLine="480" w:firstLineChars="200"/>
        <w:rPr>
          <w:color w:val="000000"/>
          <w:sz w:val="24"/>
        </w:rPr>
      </w:pPr>
      <w:r>
        <w:rPr>
          <w:rFonts w:hint="eastAsia"/>
          <w:color w:val="000000"/>
          <w:sz w:val="24"/>
        </w:rPr>
        <w:t>③ 公司环境技术管理规程；</w:t>
      </w:r>
    </w:p>
    <w:p>
      <w:pPr>
        <w:spacing w:line="480" w:lineRule="exact"/>
        <w:ind w:firstLine="480" w:firstLineChars="200"/>
        <w:rPr>
          <w:color w:val="000000"/>
          <w:sz w:val="24"/>
        </w:rPr>
      </w:pPr>
      <w:r>
        <w:rPr>
          <w:rFonts w:hint="eastAsia"/>
          <w:color w:val="000000"/>
          <w:sz w:val="24"/>
        </w:rPr>
        <w:t>④ 环境保护业务管理制度；</w:t>
      </w:r>
    </w:p>
    <w:p>
      <w:pPr>
        <w:spacing w:line="480" w:lineRule="exact"/>
        <w:ind w:firstLine="480" w:firstLineChars="200"/>
        <w:rPr>
          <w:color w:val="000000"/>
          <w:sz w:val="24"/>
        </w:rPr>
      </w:pPr>
      <w:r>
        <w:rPr>
          <w:rFonts w:hint="eastAsia"/>
          <w:color w:val="000000"/>
          <w:sz w:val="24"/>
        </w:rPr>
        <w:t>⑤ 公司环境管理岗位责任制；</w:t>
      </w:r>
    </w:p>
    <w:p>
      <w:pPr>
        <w:spacing w:line="480" w:lineRule="exact"/>
        <w:ind w:firstLine="480" w:firstLineChars="200"/>
        <w:rPr>
          <w:color w:val="000000"/>
          <w:sz w:val="24"/>
        </w:rPr>
      </w:pPr>
      <w:r>
        <w:rPr>
          <w:rFonts w:hint="eastAsia"/>
          <w:color w:val="000000"/>
          <w:sz w:val="24"/>
        </w:rPr>
        <w:t>⑥ 环境管理的经济责任制；</w:t>
      </w:r>
    </w:p>
    <w:p>
      <w:pPr>
        <w:spacing w:line="500" w:lineRule="exact"/>
        <w:ind w:firstLine="480" w:firstLineChars="200"/>
        <w:rPr>
          <w:color w:val="000000"/>
          <w:sz w:val="24"/>
        </w:rPr>
      </w:pPr>
      <w:r>
        <w:rPr>
          <w:rFonts w:hint="eastAsia"/>
          <w:color w:val="000000"/>
          <w:sz w:val="24"/>
        </w:rPr>
        <w:t>⑦ 公司环境保护的考核制度；</w:t>
      </w:r>
    </w:p>
    <w:p>
      <w:pPr>
        <w:spacing w:line="500" w:lineRule="exact"/>
        <w:ind w:firstLine="480" w:firstLineChars="200"/>
        <w:rPr>
          <w:color w:val="000000"/>
          <w:sz w:val="24"/>
        </w:rPr>
      </w:pPr>
      <w:r>
        <w:rPr>
          <w:rFonts w:hint="eastAsia"/>
          <w:color w:val="000000"/>
          <w:sz w:val="24"/>
        </w:rPr>
        <w:t>⑧ 污染物防治、控制措施及达标排放实施办法；</w:t>
      </w:r>
    </w:p>
    <w:p>
      <w:pPr>
        <w:spacing w:line="500" w:lineRule="exact"/>
        <w:ind w:firstLine="480" w:firstLineChars="200"/>
        <w:rPr>
          <w:color w:val="000000"/>
          <w:sz w:val="24"/>
        </w:rPr>
      </w:pPr>
      <w:r>
        <w:rPr>
          <w:rFonts w:hint="eastAsia"/>
          <w:color w:val="000000"/>
          <w:sz w:val="24"/>
        </w:rPr>
        <w:t>⑨ 环境风险事故管理规定。</w:t>
      </w:r>
    </w:p>
    <w:p>
      <w:pPr>
        <w:pStyle w:val="6"/>
        <w:spacing w:line="500" w:lineRule="exact"/>
      </w:pPr>
      <w:r>
        <w:rPr>
          <w:rFonts w:hint="eastAsia"/>
        </w:rPr>
        <w:t>8</w:t>
      </w:r>
      <w:r>
        <w:t>.1.</w:t>
      </w:r>
      <w:r>
        <w:rPr>
          <w:rFonts w:hint="eastAsia"/>
        </w:rPr>
        <w:t>3日常</w:t>
      </w:r>
      <w:r>
        <w:t>环境管理</w:t>
      </w:r>
    </w:p>
    <w:p>
      <w:pPr>
        <w:spacing w:line="500" w:lineRule="exact"/>
        <w:ind w:firstLine="480" w:firstLineChars="200"/>
        <w:rPr>
          <w:color w:val="000000"/>
          <w:sz w:val="24"/>
        </w:rPr>
      </w:pPr>
      <w:r>
        <w:rPr>
          <w:rFonts w:hint="eastAsia"/>
          <w:color w:val="000000"/>
          <w:sz w:val="24"/>
        </w:rPr>
        <w:t>项目在运营过程应特别注意以下几项工作：</w:t>
      </w:r>
    </w:p>
    <w:p>
      <w:pPr>
        <w:spacing w:line="500" w:lineRule="exact"/>
        <w:ind w:firstLine="480" w:firstLineChars="200"/>
        <w:rPr>
          <w:color w:val="000000"/>
          <w:sz w:val="24"/>
        </w:rPr>
      </w:pPr>
      <w:r>
        <w:rPr>
          <w:rFonts w:hint="eastAsia"/>
          <w:color w:val="000000"/>
          <w:sz w:val="24"/>
        </w:rPr>
        <w:t>1、垃圾覆土的管理:垃圾及时覆土能够减少大量的恶臭污染物的逸散,减少环境空气污染程度和范围。故本工程一定要制定覆土操作规程，做到及时覆土。</w:t>
      </w:r>
    </w:p>
    <w:p>
      <w:pPr>
        <w:spacing w:line="500" w:lineRule="exact"/>
        <w:ind w:firstLine="480" w:firstLineChars="200"/>
        <w:rPr>
          <w:color w:val="000000"/>
          <w:sz w:val="24"/>
        </w:rPr>
      </w:pPr>
      <w:r>
        <w:rPr>
          <w:rFonts w:hint="eastAsia"/>
          <w:color w:val="000000"/>
          <w:sz w:val="24"/>
        </w:rPr>
        <w:t>2、污染事故的预防和应急措施:同类型垃圾填埋场的经验表明,填埋场发生污染事故具有突发性，防范不足就会造成较大的环境影响和危害。如暴雨时,渗滤液调蓄池容量不够，承受不了超大量的冲击,造成溢流;若甲烷气体没及时导出,可能发生自燃或爆炸，因此本工程要切实抓好污染事故的预防和应急措施。</w:t>
      </w:r>
    </w:p>
    <w:p>
      <w:pPr>
        <w:spacing w:line="500" w:lineRule="exact"/>
        <w:ind w:firstLine="480" w:firstLineChars="200"/>
        <w:rPr>
          <w:color w:val="000000"/>
          <w:sz w:val="24"/>
        </w:rPr>
      </w:pPr>
      <w:r>
        <w:rPr>
          <w:rFonts w:hint="eastAsia"/>
          <w:color w:val="000000"/>
          <w:sz w:val="24"/>
        </w:rPr>
        <w:t>3、污水处理管理：垃圾填埋场较为重要的环境影响因素就是渗滤液,而解决好渗滤液的关键就在于污水处理系统运行管理。故本项目要严格遵守污水处理回用操作规程，使其正常连续运转，确保废水不外排。</w:t>
      </w:r>
    </w:p>
    <w:p>
      <w:pPr>
        <w:spacing w:line="500" w:lineRule="exact"/>
        <w:ind w:firstLine="480" w:firstLineChars="200"/>
        <w:rPr>
          <w:color w:val="000000"/>
          <w:sz w:val="24"/>
        </w:rPr>
      </w:pPr>
      <w:r>
        <w:rPr>
          <w:rFonts w:hint="eastAsia"/>
          <w:color w:val="000000"/>
          <w:sz w:val="24"/>
        </w:rPr>
        <w:t>4、灭蝇、灭蚊管理:垃圾填埋场各类细菌较多，如管理不妥，则会蚊蝇孳生，</w:t>
      </w:r>
    </w:p>
    <w:p>
      <w:pPr>
        <w:spacing w:line="500" w:lineRule="exact"/>
        <w:rPr>
          <w:color w:val="000000"/>
          <w:sz w:val="24"/>
        </w:rPr>
      </w:pPr>
      <w:r>
        <w:rPr>
          <w:rFonts w:hint="eastAsia"/>
          <w:color w:val="000000"/>
          <w:sz w:val="24"/>
        </w:rPr>
        <w:t>特别是在夏季高温季节就更加突出。因而填埋场要加强杀菌消毒工作,定期进行杀菌、灭蝇、灭蚊。</w:t>
      </w:r>
    </w:p>
    <w:p>
      <w:pPr>
        <w:spacing w:line="500" w:lineRule="exact"/>
        <w:ind w:firstLine="480" w:firstLineChars="200"/>
        <w:rPr>
          <w:color w:val="000000"/>
          <w:sz w:val="24"/>
        </w:rPr>
      </w:pPr>
      <w:r>
        <w:rPr>
          <w:rFonts w:hint="eastAsia"/>
          <w:color w:val="000000"/>
          <w:sz w:val="24"/>
        </w:rPr>
        <w:t>5、垃圾场封场管理:垃圾场建成运营后，应在四周设置防护网,并在进入口处设置警示标志牌，禁止闲杂人员随便进出垃圾场。</w:t>
      </w:r>
    </w:p>
    <w:p>
      <w:pPr>
        <w:spacing w:line="500" w:lineRule="exact"/>
        <w:ind w:firstLine="480" w:firstLineChars="200"/>
        <w:rPr>
          <w:color w:val="000000"/>
          <w:sz w:val="24"/>
        </w:rPr>
      </w:pPr>
      <w:r>
        <w:rPr>
          <w:rFonts w:hint="eastAsia"/>
          <w:color w:val="000000"/>
          <w:sz w:val="24"/>
        </w:rPr>
        <w:t>6、运输车辆的管理:在垃圾场建成运行后，运行车辆在场内填埋作业单元倾倒垃圾时需设置移动防飞网，防止轻质垃圾飞散和粉尘污染。</w:t>
      </w:r>
    </w:p>
    <w:p>
      <w:pPr>
        <w:pStyle w:val="6"/>
        <w:spacing w:line="500" w:lineRule="exact"/>
      </w:pPr>
      <w:r>
        <w:rPr>
          <w:rFonts w:hint="eastAsia"/>
        </w:rPr>
        <w:t>8</w:t>
      </w:r>
      <w:r>
        <w:t>.1.</w:t>
      </w:r>
      <w:r>
        <w:rPr>
          <w:rFonts w:hint="eastAsia"/>
        </w:rPr>
        <w:t>4</w:t>
      </w:r>
      <w:r>
        <w:t>污染物排放清单</w:t>
      </w:r>
    </w:p>
    <w:p>
      <w:pPr>
        <w:spacing w:line="500" w:lineRule="exact"/>
        <w:ind w:firstLine="480" w:firstLineChars="200"/>
        <w:rPr>
          <w:color w:val="000000"/>
          <w:sz w:val="24"/>
        </w:rPr>
      </w:pPr>
      <w:r>
        <w:rPr>
          <w:rFonts w:hint="eastAsia"/>
          <w:color w:val="000000"/>
          <w:sz w:val="24"/>
        </w:rPr>
        <w:t>为了全面贯彻和落实国家以及地方环境保护政策、法律、法规，保护本工程周围环境，保证企业中各环保设施正常运行，达到企业污染物达标排放，企业必须按照《排污许可暂行管理规定》做好污染物排放管理工作。</w:t>
      </w:r>
    </w:p>
    <w:p>
      <w:pPr>
        <w:spacing w:line="500" w:lineRule="exact"/>
        <w:ind w:firstLine="480" w:firstLineChars="200"/>
      </w:pPr>
      <w:r>
        <w:rPr>
          <w:rFonts w:hint="eastAsia"/>
          <w:color w:val="000000"/>
          <w:sz w:val="24"/>
        </w:rPr>
        <w:t>本项目已建设完成并已有生活垃圾进场填埋，项目污染物排放清单详见下表8.1-1。</w:t>
      </w:r>
    </w:p>
    <w:p>
      <w:pPr>
        <w:pStyle w:val="11"/>
        <w:sectPr>
          <w:headerReference r:id="rId22" w:type="default"/>
          <w:pgSz w:w="11906" w:h="16838"/>
          <w:pgMar w:top="1440" w:right="1800" w:bottom="1440" w:left="1800" w:header="851" w:footer="992" w:gutter="0"/>
          <w:cols w:space="720" w:num="1"/>
          <w:docGrid w:type="lines" w:linePitch="312" w:charSpace="0"/>
        </w:sectPr>
      </w:pPr>
    </w:p>
    <w:p>
      <w:pPr>
        <w:spacing w:line="500" w:lineRule="exact"/>
        <w:ind w:firstLine="482" w:firstLineChars="200"/>
        <w:jc w:val="center"/>
        <w:rPr>
          <w:b/>
          <w:sz w:val="24"/>
        </w:rPr>
      </w:pPr>
      <w:r>
        <w:rPr>
          <w:rFonts w:hint="eastAsia"/>
          <w:b/>
          <w:sz w:val="24"/>
        </w:rPr>
        <w:t>表8.1-1  项目主要污染物排放清单</w:t>
      </w:r>
    </w:p>
    <w:tbl>
      <w:tblPr>
        <w:tblStyle w:val="29"/>
        <w:tblW w:w="148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39"/>
        <w:gridCol w:w="559"/>
        <w:gridCol w:w="942"/>
        <w:gridCol w:w="990"/>
        <w:gridCol w:w="4938"/>
        <w:gridCol w:w="1302"/>
        <w:gridCol w:w="1067"/>
        <w:gridCol w:w="895"/>
        <w:gridCol w:w="1207"/>
        <w:gridCol w:w="23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tblHeader/>
          <w:jc w:val="center"/>
        </w:trPr>
        <w:tc>
          <w:tcPr>
            <w:tcW w:w="215" w:type="pct"/>
            <w:vMerge w:val="restart"/>
            <w:tcBorders>
              <w:tl2br w:val="nil"/>
              <w:tr2bl w:val="nil"/>
            </w:tcBorders>
            <w:vAlign w:val="center"/>
          </w:tcPr>
          <w:p>
            <w:pPr>
              <w:spacing w:line="280" w:lineRule="exact"/>
              <w:jc w:val="center"/>
              <w:rPr>
                <w:szCs w:val="21"/>
              </w:rPr>
            </w:pPr>
            <w:r>
              <w:rPr>
                <w:rFonts w:hint="eastAsia"/>
                <w:szCs w:val="21"/>
              </w:rPr>
              <w:t>阶段</w:t>
            </w:r>
          </w:p>
        </w:tc>
        <w:tc>
          <w:tcPr>
            <w:tcW w:w="505" w:type="pct"/>
            <w:gridSpan w:val="2"/>
            <w:vMerge w:val="restart"/>
            <w:tcBorders>
              <w:tl2br w:val="nil"/>
              <w:tr2bl w:val="nil"/>
            </w:tcBorders>
            <w:vAlign w:val="center"/>
          </w:tcPr>
          <w:p>
            <w:pPr>
              <w:spacing w:line="280" w:lineRule="exact"/>
              <w:jc w:val="center"/>
              <w:rPr>
                <w:szCs w:val="21"/>
              </w:rPr>
            </w:pPr>
            <w:r>
              <w:rPr>
                <w:rFonts w:hint="eastAsia"/>
                <w:szCs w:val="21"/>
              </w:rPr>
              <w:t>污染源</w:t>
            </w:r>
          </w:p>
        </w:tc>
        <w:tc>
          <w:tcPr>
            <w:tcW w:w="333" w:type="pct"/>
            <w:vMerge w:val="restart"/>
            <w:tcBorders>
              <w:tl2br w:val="nil"/>
              <w:tr2bl w:val="nil"/>
            </w:tcBorders>
            <w:vAlign w:val="center"/>
          </w:tcPr>
          <w:p>
            <w:pPr>
              <w:spacing w:line="280" w:lineRule="exact"/>
              <w:jc w:val="center"/>
              <w:rPr>
                <w:szCs w:val="21"/>
              </w:rPr>
            </w:pPr>
            <w:r>
              <w:rPr>
                <w:szCs w:val="21"/>
              </w:rPr>
              <w:t>污染物</w:t>
            </w:r>
          </w:p>
        </w:tc>
        <w:tc>
          <w:tcPr>
            <w:tcW w:w="1661" w:type="pct"/>
            <w:vMerge w:val="restart"/>
            <w:tcBorders>
              <w:tl2br w:val="nil"/>
              <w:tr2bl w:val="nil"/>
            </w:tcBorders>
            <w:vAlign w:val="center"/>
          </w:tcPr>
          <w:p>
            <w:pPr>
              <w:spacing w:line="280" w:lineRule="exact"/>
              <w:jc w:val="center"/>
              <w:rPr>
                <w:szCs w:val="21"/>
              </w:rPr>
            </w:pPr>
            <w:r>
              <w:rPr>
                <w:rFonts w:hint="eastAsia"/>
                <w:szCs w:val="21"/>
              </w:rPr>
              <w:t>主要</w:t>
            </w:r>
            <w:r>
              <w:rPr>
                <w:szCs w:val="21"/>
              </w:rPr>
              <w:t>环保措施</w:t>
            </w:r>
          </w:p>
        </w:tc>
        <w:tc>
          <w:tcPr>
            <w:tcW w:w="797" w:type="pct"/>
            <w:gridSpan w:val="2"/>
            <w:tcBorders>
              <w:tl2br w:val="nil"/>
              <w:tr2bl w:val="nil"/>
            </w:tcBorders>
            <w:vAlign w:val="center"/>
          </w:tcPr>
          <w:p>
            <w:pPr>
              <w:spacing w:line="280" w:lineRule="exact"/>
              <w:jc w:val="center"/>
              <w:rPr>
                <w:szCs w:val="21"/>
              </w:rPr>
            </w:pPr>
            <w:r>
              <w:rPr>
                <w:szCs w:val="21"/>
              </w:rPr>
              <w:t>处理后</w:t>
            </w:r>
          </w:p>
        </w:tc>
        <w:tc>
          <w:tcPr>
            <w:tcW w:w="301" w:type="pct"/>
            <w:vMerge w:val="restart"/>
            <w:tcBorders>
              <w:tl2br w:val="nil"/>
              <w:tr2bl w:val="nil"/>
            </w:tcBorders>
            <w:vAlign w:val="center"/>
          </w:tcPr>
          <w:p>
            <w:pPr>
              <w:spacing w:line="260" w:lineRule="exact"/>
              <w:jc w:val="center"/>
              <w:rPr>
                <w:szCs w:val="21"/>
              </w:rPr>
            </w:pPr>
            <w:r>
              <w:rPr>
                <w:szCs w:val="21"/>
              </w:rPr>
              <w:t>排放口</w:t>
            </w:r>
          </w:p>
          <w:p>
            <w:pPr>
              <w:spacing w:line="260" w:lineRule="exact"/>
              <w:jc w:val="center"/>
              <w:rPr>
                <w:szCs w:val="21"/>
              </w:rPr>
            </w:pPr>
            <w:r>
              <w:rPr>
                <w:szCs w:val="21"/>
              </w:rPr>
              <w:t>信息</w:t>
            </w:r>
          </w:p>
        </w:tc>
        <w:tc>
          <w:tcPr>
            <w:tcW w:w="406" w:type="pct"/>
            <w:vMerge w:val="restart"/>
            <w:tcBorders>
              <w:tl2br w:val="nil"/>
              <w:tr2bl w:val="nil"/>
            </w:tcBorders>
            <w:vAlign w:val="center"/>
          </w:tcPr>
          <w:p>
            <w:pPr>
              <w:spacing w:line="260" w:lineRule="exact"/>
              <w:jc w:val="center"/>
              <w:rPr>
                <w:szCs w:val="21"/>
              </w:rPr>
            </w:pPr>
            <w:r>
              <w:rPr>
                <w:szCs w:val="21"/>
              </w:rPr>
              <w:t>排放</w:t>
            </w:r>
            <w:r>
              <w:rPr>
                <w:rFonts w:hint="eastAsia"/>
                <w:szCs w:val="21"/>
              </w:rPr>
              <w:t>特点</w:t>
            </w:r>
          </w:p>
        </w:tc>
        <w:tc>
          <w:tcPr>
            <w:tcW w:w="777" w:type="pct"/>
            <w:vMerge w:val="restart"/>
            <w:tcBorders>
              <w:tl2br w:val="nil"/>
              <w:tr2bl w:val="nil"/>
            </w:tcBorders>
            <w:vAlign w:val="center"/>
          </w:tcPr>
          <w:p>
            <w:pPr>
              <w:spacing w:line="280" w:lineRule="exact"/>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8" w:hRule="atLeast"/>
          <w:tblHeader/>
          <w:jc w:val="center"/>
        </w:trPr>
        <w:tc>
          <w:tcPr>
            <w:tcW w:w="215" w:type="pct"/>
            <w:vMerge w:val="continue"/>
            <w:tcBorders>
              <w:tl2br w:val="nil"/>
              <w:tr2bl w:val="nil"/>
            </w:tcBorders>
            <w:vAlign w:val="center"/>
          </w:tcPr>
          <w:p>
            <w:pPr>
              <w:spacing w:line="280" w:lineRule="exact"/>
              <w:jc w:val="center"/>
              <w:rPr>
                <w:szCs w:val="21"/>
              </w:rPr>
            </w:pPr>
          </w:p>
        </w:tc>
        <w:tc>
          <w:tcPr>
            <w:tcW w:w="505" w:type="pct"/>
            <w:gridSpan w:val="2"/>
            <w:vMerge w:val="continue"/>
            <w:tcBorders>
              <w:tl2br w:val="nil"/>
              <w:tr2bl w:val="nil"/>
            </w:tcBorders>
            <w:vAlign w:val="center"/>
          </w:tcPr>
          <w:p>
            <w:pPr>
              <w:spacing w:line="280" w:lineRule="exact"/>
              <w:jc w:val="center"/>
              <w:rPr>
                <w:szCs w:val="21"/>
              </w:rPr>
            </w:pPr>
          </w:p>
        </w:tc>
        <w:tc>
          <w:tcPr>
            <w:tcW w:w="333" w:type="pct"/>
            <w:vMerge w:val="continue"/>
            <w:tcBorders>
              <w:tl2br w:val="nil"/>
              <w:tr2bl w:val="nil"/>
            </w:tcBorders>
            <w:vAlign w:val="center"/>
          </w:tcPr>
          <w:p>
            <w:pPr>
              <w:spacing w:line="280" w:lineRule="exact"/>
              <w:jc w:val="center"/>
              <w:rPr>
                <w:szCs w:val="21"/>
              </w:rPr>
            </w:pPr>
          </w:p>
        </w:tc>
        <w:tc>
          <w:tcPr>
            <w:tcW w:w="1661" w:type="pct"/>
            <w:vMerge w:val="continue"/>
            <w:tcBorders>
              <w:tl2br w:val="nil"/>
              <w:tr2bl w:val="nil"/>
            </w:tcBorders>
            <w:vAlign w:val="center"/>
          </w:tcPr>
          <w:p>
            <w:pPr>
              <w:spacing w:line="280" w:lineRule="exact"/>
              <w:ind w:firstLine="1260" w:firstLineChars="600"/>
              <w:jc w:val="center"/>
              <w:rPr>
                <w:szCs w:val="21"/>
              </w:rPr>
            </w:pPr>
          </w:p>
        </w:tc>
        <w:tc>
          <w:tcPr>
            <w:tcW w:w="438" w:type="pct"/>
            <w:tcBorders>
              <w:tl2br w:val="nil"/>
              <w:tr2bl w:val="nil"/>
            </w:tcBorders>
            <w:vAlign w:val="center"/>
          </w:tcPr>
          <w:p>
            <w:pPr>
              <w:spacing w:line="280" w:lineRule="exact"/>
              <w:jc w:val="center"/>
              <w:rPr>
                <w:szCs w:val="21"/>
              </w:rPr>
            </w:pPr>
            <w:r>
              <w:rPr>
                <w:szCs w:val="21"/>
              </w:rPr>
              <w:t>浓度</w:t>
            </w:r>
          </w:p>
        </w:tc>
        <w:tc>
          <w:tcPr>
            <w:tcW w:w="358" w:type="pct"/>
            <w:tcBorders>
              <w:tl2br w:val="nil"/>
              <w:tr2bl w:val="nil"/>
            </w:tcBorders>
            <w:vAlign w:val="center"/>
          </w:tcPr>
          <w:p>
            <w:pPr>
              <w:spacing w:line="280" w:lineRule="exact"/>
              <w:jc w:val="center"/>
              <w:rPr>
                <w:szCs w:val="21"/>
              </w:rPr>
            </w:pPr>
            <w:r>
              <w:rPr>
                <w:szCs w:val="21"/>
              </w:rPr>
              <w:t>排放量</w:t>
            </w:r>
          </w:p>
        </w:tc>
        <w:tc>
          <w:tcPr>
            <w:tcW w:w="301" w:type="pct"/>
            <w:vMerge w:val="continue"/>
            <w:tcBorders>
              <w:tl2br w:val="nil"/>
              <w:tr2bl w:val="nil"/>
            </w:tcBorders>
            <w:vAlign w:val="center"/>
          </w:tcPr>
          <w:p>
            <w:pPr>
              <w:spacing w:line="280" w:lineRule="exact"/>
              <w:jc w:val="center"/>
              <w:rPr>
                <w:szCs w:val="21"/>
              </w:rPr>
            </w:pPr>
          </w:p>
        </w:tc>
        <w:tc>
          <w:tcPr>
            <w:tcW w:w="406" w:type="pct"/>
            <w:vMerge w:val="continue"/>
            <w:tcBorders>
              <w:tl2br w:val="nil"/>
              <w:tr2bl w:val="nil"/>
            </w:tcBorders>
            <w:vAlign w:val="center"/>
          </w:tcPr>
          <w:p>
            <w:pPr>
              <w:spacing w:line="280" w:lineRule="exact"/>
              <w:jc w:val="center"/>
              <w:rPr>
                <w:szCs w:val="21"/>
              </w:rPr>
            </w:pPr>
          </w:p>
        </w:tc>
        <w:tc>
          <w:tcPr>
            <w:tcW w:w="778" w:type="pct"/>
            <w:vMerge w:val="continue"/>
            <w:tcBorders>
              <w:tl2br w:val="nil"/>
              <w:tr2bl w:val="nil"/>
            </w:tcBorders>
            <w:vAlign w:val="center"/>
          </w:tcPr>
          <w:p>
            <w:pPr>
              <w:spacing w:line="28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46" w:hRule="exact"/>
          <w:jc w:val="center"/>
        </w:trPr>
        <w:tc>
          <w:tcPr>
            <w:tcW w:w="215" w:type="pct"/>
            <w:tcBorders>
              <w:tl2br w:val="nil"/>
              <w:tr2bl w:val="nil"/>
            </w:tcBorders>
            <w:vAlign w:val="center"/>
          </w:tcPr>
          <w:p>
            <w:pPr>
              <w:spacing w:line="280" w:lineRule="exact"/>
              <w:jc w:val="center"/>
              <w:rPr>
                <w:szCs w:val="21"/>
              </w:rPr>
            </w:pPr>
            <w:r>
              <w:rPr>
                <w:rFonts w:hint="eastAsia"/>
                <w:szCs w:val="21"/>
              </w:rPr>
              <w:t>施工期</w:t>
            </w:r>
          </w:p>
        </w:tc>
        <w:tc>
          <w:tcPr>
            <w:tcW w:w="838" w:type="pct"/>
            <w:gridSpan w:val="3"/>
            <w:tcBorders>
              <w:tl2br w:val="nil"/>
              <w:tr2bl w:val="nil"/>
            </w:tcBorders>
            <w:vAlign w:val="center"/>
          </w:tcPr>
          <w:p>
            <w:pPr>
              <w:spacing w:line="260" w:lineRule="exact"/>
              <w:jc w:val="center"/>
              <w:rPr>
                <w:bCs/>
                <w:kern w:val="0"/>
                <w:szCs w:val="21"/>
              </w:rPr>
            </w:pPr>
            <w:r>
              <w:rPr>
                <w:rFonts w:hint="eastAsia"/>
                <w:szCs w:val="21"/>
              </w:rPr>
              <w:t>施工弃土方（约22</w:t>
            </w:r>
            <w:r>
              <w:rPr>
                <w:rFonts w:hint="eastAsia"/>
                <w:bCs/>
                <w:kern w:val="0"/>
                <w:szCs w:val="21"/>
              </w:rPr>
              <w:t>万m</w:t>
            </w:r>
            <w:r>
              <w:rPr>
                <w:rFonts w:hint="eastAsia"/>
                <w:bCs/>
                <w:kern w:val="0"/>
                <w:szCs w:val="21"/>
                <w:vertAlign w:val="superscript"/>
              </w:rPr>
              <w:t>3</w:t>
            </w:r>
            <w:r>
              <w:rPr>
                <w:rFonts w:hint="eastAsia"/>
                <w:szCs w:val="21"/>
              </w:rPr>
              <w:t>）</w:t>
            </w:r>
          </w:p>
        </w:tc>
        <w:tc>
          <w:tcPr>
            <w:tcW w:w="1661" w:type="pct"/>
            <w:tcBorders>
              <w:tl2br w:val="nil"/>
              <w:tr2bl w:val="nil"/>
            </w:tcBorders>
            <w:vAlign w:val="center"/>
          </w:tcPr>
          <w:p>
            <w:pPr>
              <w:spacing w:line="260" w:lineRule="exact"/>
              <w:jc w:val="left"/>
              <w:rPr>
                <w:bCs/>
                <w:kern w:val="0"/>
                <w:szCs w:val="21"/>
                <w:lang w:val="zh-CN"/>
              </w:rPr>
            </w:pPr>
            <w:r>
              <w:rPr>
                <w:bCs/>
                <w:kern w:val="0"/>
                <w:szCs w:val="21"/>
                <w:lang w:val="zh-CN"/>
              </w:rPr>
              <w:t>全部在在场内西南角空地进行临时堆存，其中约9.335万m</w:t>
            </w:r>
            <w:r>
              <w:rPr>
                <w:bCs/>
                <w:kern w:val="0"/>
                <w:szCs w:val="21"/>
                <w:vertAlign w:val="superscript"/>
                <w:lang w:val="zh-CN"/>
              </w:rPr>
              <w:t>3</w:t>
            </w:r>
            <w:r>
              <w:rPr>
                <w:bCs/>
                <w:kern w:val="0"/>
                <w:szCs w:val="21"/>
                <w:lang w:val="zh-CN"/>
              </w:rPr>
              <w:t>回用于场地填埋作业和封场用土，剩余</w:t>
            </w:r>
            <w:r>
              <w:rPr>
                <w:rFonts w:hint="eastAsia"/>
                <w:bCs/>
                <w:kern w:val="0"/>
                <w:szCs w:val="21"/>
                <w:lang w:val="zh-CN"/>
              </w:rPr>
              <w:t>部分全部</w:t>
            </w:r>
            <w:r>
              <w:rPr>
                <w:bCs/>
                <w:kern w:val="0"/>
                <w:szCs w:val="21"/>
                <w:lang w:val="zh-CN"/>
              </w:rPr>
              <w:t>由壶关县住房和城乡建设管理局进行综合调配。</w:t>
            </w:r>
          </w:p>
        </w:tc>
        <w:tc>
          <w:tcPr>
            <w:tcW w:w="438" w:type="pct"/>
            <w:tcBorders>
              <w:tl2br w:val="nil"/>
              <w:tr2bl w:val="nil"/>
            </w:tcBorders>
            <w:vAlign w:val="center"/>
          </w:tcPr>
          <w:p>
            <w:pPr>
              <w:spacing w:line="280" w:lineRule="exact"/>
              <w:jc w:val="center"/>
              <w:rPr>
                <w:szCs w:val="21"/>
              </w:rPr>
            </w:pPr>
            <w:r>
              <w:rPr>
                <w:rFonts w:hint="eastAsia"/>
                <w:szCs w:val="21"/>
              </w:rPr>
              <w:t>/</w:t>
            </w:r>
          </w:p>
        </w:tc>
        <w:tc>
          <w:tcPr>
            <w:tcW w:w="358" w:type="pct"/>
            <w:tcBorders>
              <w:tl2br w:val="nil"/>
              <w:tr2bl w:val="nil"/>
            </w:tcBorders>
            <w:vAlign w:val="center"/>
          </w:tcPr>
          <w:p>
            <w:pPr>
              <w:spacing w:line="280" w:lineRule="exact"/>
              <w:jc w:val="center"/>
              <w:rPr>
                <w:szCs w:val="21"/>
              </w:rPr>
            </w:pPr>
            <w:r>
              <w:rPr>
                <w:rFonts w:hint="eastAsia"/>
                <w:szCs w:val="21"/>
              </w:rPr>
              <w:t>/</w:t>
            </w:r>
          </w:p>
        </w:tc>
        <w:tc>
          <w:tcPr>
            <w:tcW w:w="301" w:type="pct"/>
            <w:tcBorders>
              <w:tl2br w:val="nil"/>
              <w:tr2bl w:val="nil"/>
            </w:tcBorders>
            <w:vAlign w:val="center"/>
          </w:tcPr>
          <w:p>
            <w:pPr>
              <w:spacing w:line="280" w:lineRule="exact"/>
              <w:jc w:val="center"/>
              <w:rPr>
                <w:szCs w:val="21"/>
              </w:rPr>
            </w:pPr>
            <w:r>
              <w:rPr>
                <w:rFonts w:hint="eastAsia"/>
                <w:szCs w:val="21"/>
              </w:rPr>
              <w:t>/</w:t>
            </w:r>
          </w:p>
        </w:tc>
        <w:tc>
          <w:tcPr>
            <w:tcW w:w="406" w:type="pct"/>
            <w:tcBorders>
              <w:tl2br w:val="nil"/>
              <w:tr2bl w:val="nil"/>
            </w:tcBorders>
            <w:vAlign w:val="center"/>
          </w:tcPr>
          <w:p>
            <w:pPr>
              <w:spacing w:line="280" w:lineRule="exact"/>
              <w:jc w:val="center"/>
              <w:rPr>
                <w:szCs w:val="21"/>
              </w:rPr>
            </w:pPr>
            <w:r>
              <w:rPr>
                <w:rFonts w:hint="eastAsia"/>
                <w:szCs w:val="21"/>
              </w:rPr>
              <w:t>/</w:t>
            </w:r>
          </w:p>
        </w:tc>
        <w:tc>
          <w:tcPr>
            <w:tcW w:w="777" w:type="pct"/>
            <w:tcBorders>
              <w:tl2br w:val="nil"/>
              <w:tr2bl w:val="nil"/>
            </w:tcBorders>
            <w:vAlign w:val="center"/>
          </w:tcPr>
          <w:p>
            <w:pPr>
              <w:spacing w:line="260" w:lineRule="exact"/>
              <w:jc w:val="center"/>
              <w:rPr>
                <w:bCs/>
                <w:kern w:val="0"/>
                <w:szCs w:val="21"/>
              </w:rPr>
            </w:pPr>
            <w:r>
              <w:rPr>
                <w:rFonts w:hint="eastAsia"/>
                <w:bCs/>
                <w:kern w:val="0"/>
                <w:szCs w:val="21"/>
              </w:rPr>
              <w:t>全部合理处置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413" w:hRule="exact"/>
          <w:jc w:val="center"/>
        </w:trPr>
        <w:tc>
          <w:tcPr>
            <w:tcW w:w="215" w:type="pct"/>
            <w:vMerge w:val="restart"/>
            <w:tcBorders>
              <w:tl2br w:val="nil"/>
              <w:tr2bl w:val="nil"/>
            </w:tcBorders>
            <w:vAlign w:val="center"/>
          </w:tcPr>
          <w:p>
            <w:pPr>
              <w:spacing w:line="280" w:lineRule="exact"/>
              <w:jc w:val="center"/>
              <w:rPr>
                <w:szCs w:val="21"/>
              </w:rPr>
            </w:pPr>
            <w:r>
              <w:rPr>
                <w:rFonts w:hint="eastAsia"/>
                <w:szCs w:val="21"/>
              </w:rPr>
              <w:t>运营期</w:t>
            </w:r>
          </w:p>
        </w:tc>
        <w:tc>
          <w:tcPr>
            <w:tcW w:w="188" w:type="pct"/>
            <w:vMerge w:val="restart"/>
            <w:tcBorders>
              <w:tl2br w:val="nil"/>
              <w:tr2bl w:val="nil"/>
            </w:tcBorders>
            <w:vAlign w:val="center"/>
          </w:tcPr>
          <w:p>
            <w:pPr>
              <w:spacing w:line="280" w:lineRule="exact"/>
              <w:jc w:val="center"/>
              <w:rPr>
                <w:szCs w:val="21"/>
              </w:rPr>
            </w:pPr>
            <w:r>
              <w:rPr>
                <w:rFonts w:hint="eastAsia"/>
                <w:szCs w:val="21"/>
              </w:rPr>
              <w:t>废气</w:t>
            </w:r>
          </w:p>
        </w:tc>
        <w:tc>
          <w:tcPr>
            <w:tcW w:w="316" w:type="pct"/>
            <w:vMerge w:val="restart"/>
            <w:tcBorders>
              <w:tl2br w:val="nil"/>
              <w:tr2bl w:val="nil"/>
            </w:tcBorders>
            <w:vAlign w:val="center"/>
          </w:tcPr>
          <w:p>
            <w:pPr>
              <w:spacing w:line="260" w:lineRule="exact"/>
              <w:jc w:val="center"/>
              <w:rPr>
                <w:bCs/>
                <w:szCs w:val="21"/>
                <w:lang w:val="zh-CN"/>
              </w:rPr>
            </w:pPr>
            <w:r>
              <w:rPr>
                <w:rFonts w:hint="eastAsia"/>
                <w:bCs/>
                <w:szCs w:val="21"/>
                <w:lang w:val="zh-CN"/>
              </w:rPr>
              <w:t>垃圾填埋气</w:t>
            </w:r>
          </w:p>
        </w:tc>
        <w:tc>
          <w:tcPr>
            <w:tcW w:w="333" w:type="pct"/>
            <w:tcBorders>
              <w:tl2br w:val="nil"/>
              <w:tr2bl w:val="nil"/>
            </w:tcBorders>
            <w:vAlign w:val="center"/>
          </w:tcPr>
          <w:p>
            <w:pPr>
              <w:spacing w:line="240" w:lineRule="exact"/>
              <w:jc w:val="center"/>
              <w:rPr>
                <w:szCs w:val="21"/>
              </w:rPr>
            </w:pPr>
            <w:r>
              <w:rPr>
                <w:rFonts w:hint="eastAsia"/>
                <w:bCs/>
                <w:kern w:val="0"/>
                <w:szCs w:val="21"/>
              </w:rPr>
              <w:t>CH</w:t>
            </w:r>
            <w:r>
              <w:rPr>
                <w:rFonts w:hint="eastAsia"/>
                <w:bCs/>
                <w:kern w:val="0"/>
                <w:szCs w:val="21"/>
                <w:vertAlign w:val="subscript"/>
              </w:rPr>
              <w:t>4</w:t>
            </w:r>
          </w:p>
        </w:tc>
        <w:tc>
          <w:tcPr>
            <w:tcW w:w="1661" w:type="pct"/>
            <w:tcBorders>
              <w:tl2br w:val="nil"/>
              <w:tr2bl w:val="nil"/>
            </w:tcBorders>
            <w:vAlign w:val="center"/>
          </w:tcPr>
          <w:p>
            <w:pPr>
              <w:spacing w:line="280" w:lineRule="exact"/>
              <w:jc w:val="left"/>
              <w:rPr>
                <w:kern w:val="0"/>
                <w:szCs w:val="21"/>
              </w:rPr>
            </w:pPr>
            <w:r>
              <w:rPr>
                <w:kern w:val="0"/>
                <w:szCs w:val="21"/>
              </w:rPr>
              <w:t>1、配套完善导气石笼井、水平导气管和抽气机房、火炬式燃烧器等收集导排处理设施，初期少量低浓度填埋气经导气石笼中心管放空，随着场内运行、垃圾填埋气产量及甲烷等有机气体含量增加后，填埋气经导气支管、抽气机房主动收集后，送至火炬式燃烧器进行燃烧处理；2、场内设置可燃气体报警装置。</w:t>
            </w:r>
          </w:p>
        </w:tc>
        <w:tc>
          <w:tcPr>
            <w:tcW w:w="438" w:type="pct"/>
            <w:tcBorders>
              <w:tl2br w:val="nil"/>
              <w:tr2bl w:val="nil"/>
            </w:tcBorders>
            <w:vAlign w:val="center"/>
          </w:tcPr>
          <w:p>
            <w:pPr>
              <w:spacing w:line="280" w:lineRule="exact"/>
              <w:jc w:val="center"/>
              <w:rPr>
                <w:szCs w:val="21"/>
              </w:rPr>
            </w:pPr>
            <w:r>
              <w:rPr>
                <w:rFonts w:hint="eastAsia"/>
                <w:szCs w:val="21"/>
              </w:rPr>
              <w:t>/</w:t>
            </w:r>
          </w:p>
        </w:tc>
        <w:tc>
          <w:tcPr>
            <w:tcW w:w="358" w:type="pct"/>
            <w:tcBorders>
              <w:tl2br w:val="nil"/>
              <w:tr2bl w:val="nil"/>
            </w:tcBorders>
            <w:vAlign w:val="center"/>
          </w:tcPr>
          <w:p>
            <w:pPr>
              <w:spacing w:line="250" w:lineRule="exact"/>
              <w:jc w:val="center"/>
              <w:rPr>
                <w:szCs w:val="21"/>
              </w:rPr>
            </w:pPr>
            <w:r>
              <w:rPr>
                <w:rFonts w:hint="eastAsia"/>
                <w:szCs w:val="21"/>
              </w:rPr>
              <w:t>339.4</w:t>
            </w:r>
            <w:r>
              <w:rPr>
                <w:rFonts w:hint="eastAsia"/>
                <w:bCs/>
                <w:kern w:val="0"/>
                <w:szCs w:val="21"/>
              </w:rPr>
              <w:t>t/a</w:t>
            </w:r>
          </w:p>
        </w:tc>
        <w:tc>
          <w:tcPr>
            <w:tcW w:w="301" w:type="pct"/>
            <w:tcBorders>
              <w:tl2br w:val="nil"/>
              <w:tr2bl w:val="nil"/>
            </w:tcBorders>
            <w:vAlign w:val="center"/>
          </w:tcPr>
          <w:p>
            <w:pPr>
              <w:spacing w:line="280" w:lineRule="exact"/>
              <w:jc w:val="center"/>
              <w:rPr>
                <w:szCs w:val="21"/>
              </w:rPr>
            </w:pPr>
            <w:r>
              <w:rPr>
                <w:rFonts w:hint="eastAsia"/>
                <w:szCs w:val="21"/>
              </w:rPr>
              <w:t>无组织</w:t>
            </w:r>
          </w:p>
        </w:tc>
        <w:tc>
          <w:tcPr>
            <w:tcW w:w="406" w:type="pct"/>
            <w:tcBorders>
              <w:tl2br w:val="nil"/>
              <w:tr2bl w:val="nil"/>
            </w:tcBorders>
            <w:vAlign w:val="center"/>
          </w:tcPr>
          <w:p>
            <w:pPr>
              <w:spacing w:line="280" w:lineRule="exact"/>
              <w:jc w:val="center"/>
              <w:rPr>
                <w:szCs w:val="21"/>
              </w:rPr>
            </w:pPr>
            <w:r>
              <w:rPr>
                <w:rFonts w:hint="eastAsia"/>
                <w:szCs w:val="21"/>
              </w:rPr>
              <w:t>导气石笼为持续排放，火炬式燃烧器为间歇排放</w:t>
            </w:r>
          </w:p>
        </w:tc>
        <w:tc>
          <w:tcPr>
            <w:tcW w:w="777" w:type="pct"/>
            <w:tcBorders>
              <w:tl2br w:val="nil"/>
              <w:tr2bl w:val="nil"/>
            </w:tcBorders>
            <w:vAlign w:val="center"/>
          </w:tcPr>
          <w:p>
            <w:pPr>
              <w:spacing w:line="260" w:lineRule="exact"/>
              <w:jc w:val="center"/>
              <w:rPr>
                <w:szCs w:val="21"/>
              </w:rPr>
            </w:pPr>
            <w:r>
              <w:rPr>
                <w:szCs w:val="21"/>
              </w:rPr>
              <w:t>《生活垃圾填埋场污染控制标准》(GB16889-2008)</w:t>
            </w:r>
            <w:r>
              <w:rPr>
                <w:rFonts w:hint="eastAsia"/>
                <w:szCs w:val="21"/>
              </w:rPr>
              <w:t>：填埋工作面上2m以下高度范围内甲烷的体积分数应不大于0.1%；通过导气管道直接排放，甲烷的体积分数应不大于5%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12" w:hRule="exact"/>
          <w:jc w:val="center"/>
        </w:trPr>
        <w:tc>
          <w:tcPr>
            <w:tcW w:w="215" w:type="pct"/>
            <w:vMerge w:val="continue"/>
            <w:tcBorders>
              <w:tl2br w:val="nil"/>
              <w:tr2bl w:val="nil"/>
            </w:tcBorders>
            <w:vAlign w:val="center"/>
          </w:tcPr>
          <w:p>
            <w:pPr>
              <w:spacing w:line="280" w:lineRule="exact"/>
              <w:jc w:val="center"/>
              <w:rPr>
                <w:szCs w:val="21"/>
              </w:rPr>
            </w:pPr>
          </w:p>
        </w:tc>
        <w:tc>
          <w:tcPr>
            <w:tcW w:w="188" w:type="pct"/>
            <w:vMerge w:val="continue"/>
            <w:tcBorders>
              <w:tl2br w:val="nil"/>
              <w:tr2bl w:val="nil"/>
            </w:tcBorders>
            <w:vAlign w:val="center"/>
          </w:tcPr>
          <w:p>
            <w:pPr>
              <w:spacing w:line="280" w:lineRule="exact"/>
              <w:jc w:val="center"/>
              <w:rPr>
                <w:szCs w:val="21"/>
              </w:rPr>
            </w:pPr>
          </w:p>
        </w:tc>
        <w:tc>
          <w:tcPr>
            <w:tcW w:w="316" w:type="pct"/>
            <w:vMerge w:val="continue"/>
            <w:tcBorders>
              <w:tl2br w:val="nil"/>
              <w:tr2bl w:val="nil"/>
            </w:tcBorders>
            <w:vAlign w:val="center"/>
          </w:tcPr>
          <w:p>
            <w:pPr>
              <w:spacing w:line="260" w:lineRule="exact"/>
              <w:jc w:val="center"/>
              <w:rPr>
                <w:bCs/>
                <w:szCs w:val="21"/>
                <w:lang w:val="zh-CN"/>
              </w:rPr>
            </w:pPr>
          </w:p>
        </w:tc>
        <w:tc>
          <w:tcPr>
            <w:tcW w:w="333" w:type="pct"/>
            <w:tcBorders>
              <w:tl2br w:val="nil"/>
              <w:tr2bl w:val="nil"/>
            </w:tcBorders>
            <w:vAlign w:val="center"/>
          </w:tcPr>
          <w:p>
            <w:pPr>
              <w:spacing w:line="240" w:lineRule="exact"/>
              <w:jc w:val="center"/>
              <w:rPr>
                <w:bCs/>
                <w:kern w:val="0"/>
                <w:szCs w:val="21"/>
              </w:rPr>
            </w:pPr>
            <w:r>
              <w:rPr>
                <w:rFonts w:hint="eastAsia"/>
                <w:bCs/>
                <w:kern w:val="0"/>
                <w:szCs w:val="21"/>
              </w:rPr>
              <w:t>NH</w:t>
            </w:r>
            <w:r>
              <w:rPr>
                <w:rFonts w:hint="eastAsia"/>
                <w:bCs/>
                <w:kern w:val="0"/>
                <w:szCs w:val="21"/>
                <w:vertAlign w:val="subscript"/>
              </w:rPr>
              <w:t>3</w:t>
            </w:r>
          </w:p>
        </w:tc>
        <w:tc>
          <w:tcPr>
            <w:tcW w:w="1661" w:type="pct"/>
            <w:vMerge w:val="restart"/>
            <w:tcBorders>
              <w:tl2br w:val="nil"/>
              <w:tr2bl w:val="nil"/>
            </w:tcBorders>
            <w:vAlign w:val="center"/>
          </w:tcPr>
          <w:p>
            <w:pPr>
              <w:spacing w:line="280" w:lineRule="exact"/>
              <w:jc w:val="left"/>
              <w:rPr>
                <w:kern w:val="0"/>
                <w:szCs w:val="21"/>
              </w:rPr>
            </w:pPr>
            <w:r>
              <w:rPr>
                <w:kern w:val="0"/>
                <w:szCs w:val="21"/>
              </w:rPr>
              <w:t>1、渗滤液</w:t>
            </w:r>
            <w:r>
              <w:rPr>
                <w:rFonts w:hint="eastAsia"/>
                <w:kern w:val="0"/>
                <w:szCs w:val="21"/>
              </w:rPr>
              <w:t>调节</w:t>
            </w:r>
            <w:r>
              <w:rPr>
                <w:kern w:val="0"/>
                <w:szCs w:val="21"/>
              </w:rPr>
              <w:t>池及提升井为埋地封闭机构，渗滤液处理间利用排风扇加强通风；2、填埋作业过程中要求垃圾层层压实，每日覆盖土层，随时通过喷药车进行喷药灭杀。</w:t>
            </w:r>
          </w:p>
        </w:tc>
        <w:tc>
          <w:tcPr>
            <w:tcW w:w="438" w:type="pct"/>
            <w:tcBorders>
              <w:tl2br w:val="nil"/>
              <w:tr2bl w:val="nil"/>
            </w:tcBorders>
            <w:vAlign w:val="center"/>
          </w:tcPr>
          <w:p>
            <w:pPr>
              <w:spacing w:line="280" w:lineRule="exact"/>
              <w:jc w:val="center"/>
              <w:rPr>
                <w:szCs w:val="21"/>
              </w:rPr>
            </w:pPr>
            <w:r>
              <w:rPr>
                <w:rFonts w:hint="eastAsia"/>
                <w:szCs w:val="21"/>
              </w:rPr>
              <w:t>296.1mg/m</w:t>
            </w:r>
            <w:r>
              <w:rPr>
                <w:rFonts w:hint="eastAsia"/>
                <w:szCs w:val="21"/>
                <w:vertAlign w:val="superscript"/>
              </w:rPr>
              <w:t>3</w:t>
            </w:r>
          </w:p>
        </w:tc>
        <w:tc>
          <w:tcPr>
            <w:tcW w:w="358" w:type="pct"/>
            <w:tcBorders>
              <w:tl2br w:val="nil"/>
              <w:tr2bl w:val="nil"/>
            </w:tcBorders>
            <w:vAlign w:val="center"/>
          </w:tcPr>
          <w:p>
            <w:pPr>
              <w:spacing w:line="250" w:lineRule="exact"/>
              <w:jc w:val="center"/>
              <w:rPr>
                <w:szCs w:val="21"/>
              </w:rPr>
            </w:pPr>
            <w:r>
              <w:rPr>
                <w:rFonts w:hint="eastAsia"/>
                <w:szCs w:val="21"/>
              </w:rPr>
              <w:t>0.28</w:t>
            </w:r>
            <w:r>
              <w:rPr>
                <w:rFonts w:hint="eastAsia"/>
                <w:bCs/>
                <w:kern w:val="0"/>
                <w:szCs w:val="21"/>
              </w:rPr>
              <w:t>t/a</w:t>
            </w:r>
          </w:p>
        </w:tc>
        <w:tc>
          <w:tcPr>
            <w:tcW w:w="301" w:type="pct"/>
            <w:tcBorders>
              <w:tl2br w:val="nil"/>
              <w:tr2bl w:val="nil"/>
            </w:tcBorders>
            <w:vAlign w:val="center"/>
          </w:tcPr>
          <w:p>
            <w:pPr>
              <w:spacing w:line="280" w:lineRule="exact"/>
              <w:jc w:val="center"/>
              <w:rPr>
                <w:szCs w:val="21"/>
              </w:rPr>
            </w:pPr>
            <w:r>
              <w:rPr>
                <w:rFonts w:hint="eastAsia"/>
                <w:szCs w:val="21"/>
              </w:rPr>
              <w:t>无组织</w:t>
            </w:r>
          </w:p>
        </w:tc>
        <w:tc>
          <w:tcPr>
            <w:tcW w:w="406" w:type="pct"/>
            <w:tcBorders>
              <w:tl2br w:val="nil"/>
              <w:tr2bl w:val="nil"/>
            </w:tcBorders>
            <w:vAlign w:val="center"/>
          </w:tcPr>
          <w:p>
            <w:pPr>
              <w:spacing w:line="280" w:lineRule="exact"/>
              <w:jc w:val="center"/>
              <w:rPr>
                <w:szCs w:val="21"/>
              </w:rPr>
            </w:pPr>
            <w:r>
              <w:rPr>
                <w:rFonts w:hint="eastAsia"/>
                <w:szCs w:val="21"/>
              </w:rPr>
              <w:t>持续</w:t>
            </w:r>
          </w:p>
        </w:tc>
        <w:tc>
          <w:tcPr>
            <w:tcW w:w="777" w:type="pct"/>
            <w:vMerge w:val="restart"/>
            <w:tcBorders>
              <w:tl2br w:val="nil"/>
              <w:tr2bl w:val="nil"/>
            </w:tcBorders>
            <w:vAlign w:val="center"/>
          </w:tcPr>
          <w:p>
            <w:pPr>
              <w:spacing w:line="260" w:lineRule="exact"/>
              <w:jc w:val="center"/>
              <w:rPr>
                <w:szCs w:val="21"/>
              </w:rPr>
            </w:pPr>
            <w:r>
              <w:rPr>
                <w:szCs w:val="21"/>
              </w:rPr>
              <w:t>《恶臭污染物排放标准》（GB14554-1993）</w:t>
            </w:r>
            <w:r>
              <w:rPr>
                <w:rFonts w:hint="eastAsia"/>
                <w:szCs w:val="21"/>
              </w:rPr>
              <w:t>场界浓度限值：NH</w:t>
            </w:r>
            <w:r>
              <w:rPr>
                <w:rFonts w:hint="eastAsia"/>
                <w:szCs w:val="21"/>
                <w:vertAlign w:val="subscript"/>
              </w:rPr>
              <w:t>3</w:t>
            </w:r>
            <w:r>
              <w:rPr>
                <w:rFonts w:hint="eastAsia"/>
                <w:szCs w:val="21"/>
              </w:rPr>
              <w:t>:1.5</w:t>
            </w:r>
            <w:r>
              <w:rPr>
                <w:szCs w:val="21"/>
              </w:rPr>
              <w:t>mg/m</w:t>
            </w:r>
            <w:r>
              <w:rPr>
                <w:szCs w:val="21"/>
                <w:vertAlign w:val="superscript"/>
              </w:rPr>
              <w:t>3</w:t>
            </w:r>
          </w:p>
          <w:p>
            <w:pPr>
              <w:spacing w:line="260" w:lineRule="exact"/>
              <w:jc w:val="center"/>
              <w:rPr>
                <w:szCs w:val="21"/>
              </w:rPr>
            </w:pPr>
            <w:r>
              <w:rPr>
                <w:rFonts w:hint="eastAsia"/>
                <w:szCs w:val="21"/>
              </w:rPr>
              <w:t>H</w:t>
            </w:r>
            <w:r>
              <w:rPr>
                <w:rFonts w:hint="eastAsia"/>
                <w:szCs w:val="21"/>
                <w:vertAlign w:val="subscript"/>
              </w:rPr>
              <w:t>2</w:t>
            </w:r>
            <w:r>
              <w:rPr>
                <w:rFonts w:hint="eastAsia"/>
                <w:szCs w:val="21"/>
              </w:rPr>
              <w:t>S:0.06</w:t>
            </w:r>
            <w:r>
              <w:rPr>
                <w:szCs w:val="21"/>
              </w:rPr>
              <w:t>mg/m</w:t>
            </w:r>
            <w:r>
              <w:rPr>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95" w:hRule="exact"/>
          <w:jc w:val="center"/>
        </w:trPr>
        <w:tc>
          <w:tcPr>
            <w:tcW w:w="215" w:type="pct"/>
            <w:vMerge w:val="continue"/>
            <w:tcBorders>
              <w:tl2br w:val="nil"/>
              <w:tr2bl w:val="nil"/>
            </w:tcBorders>
            <w:vAlign w:val="center"/>
          </w:tcPr>
          <w:p>
            <w:pPr>
              <w:spacing w:line="280" w:lineRule="exact"/>
              <w:jc w:val="center"/>
              <w:rPr>
                <w:szCs w:val="21"/>
              </w:rPr>
            </w:pPr>
          </w:p>
        </w:tc>
        <w:tc>
          <w:tcPr>
            <w:tcW w:w="188" w:type="pct"/>
            <w:vMerge w:val="continue"/>
            <w:tcBorders>
              <w:tl2br w:val="nil"/>
              <w:tr2bl w:val="nil"/>
            </w:tcBorders>
            <w:vAlign w:val="center"/>
          </w:tcPr>
          <w:p>
            <w:pPr>
              <w:spacing w:line="280" w:lineRule="exact"/>
              <w:jc w:val="center"/>
              <w:rPr>
                <w:szCs w:val="21"/>
              </w:rPr>
            </w:pPr>
          </w:p>
        </w:tc>
        <w:tc>
          <w:tcPr>
            <w:tcW w:w="316" w:type="pct"/>
            <w:vMerge w:val="continue"/>
            <w:tcBorders>
              <w:tl2br w:val="nil"/>
              <w:tr2bl w:val="nil"/>
            </w:tcBorders>
            <w:vAlign w:val="center"/>
          </w:tcPr>
          <w:p>
            <w:pPr>
              <w:spacing w:line="260" w:lineRule="exact"/>
              <w:jc w:val="center"/>
              <w:rPr>
                <w:bCs/>
                <w:szCs w:val="21"/>
                <w:lang w:val="zh-CN"/>
              </w:rPr>
            </w:pPr>
          </w:p>
        </w:tc>
        <w:tc>
          <w:tcPr>
            <w:tcW w:w="333" w:type="pct"/>
            <w:tcBorders>
              <w:tl2br w:val="nil"/>
              <w:tr2bl w:val="nil"/>
            </w:tcBorders>
            <w:vAlign w:val="center"/>
          </w:tcPr>
          <w:p>
            <w:pPr>
              <w:spacing w:line="240" w:lineRule="exact"/>
              <w:jc w:val="center"/>
              <w:rPr>
                <w:bCs/>
                <w:kern w:val="0"/>
                <w:szCs w:val="21"/>
              </w:rPr>
            </w:pPr>
            <w:r>
              <w:rPr>
                <w:rFonts w:hint="eastAsia"/>
                <w:bCs/>
                <w:kern w:val="0"/>
                <w:szCs w:val="21"/>
              </w:rPr>
              <w:t>H</w:t>
            </w:r>
            <w:r>
              <w:rPr>
                <w:rFonts w:hint="eastAsia"/>
                <w:bCs/>
                <w:kern w:val="0"/>
                <w:szCs w:val="21"/>
                <w:vertAlign w:val="subscript"/>
              </w:rPr>
              <w:t>2</w:t>
            </w:r>
            <w:r>
              <w:rPr>
                <w:rFonts w:hint="eastAsia"/>
                <w:bCs/>
                <w:kern w:val="0"/>
                <w:szCs w:val="21"/>
              </w:rPr>
              <w:t>S</w:t>
            </w:r>
          </w:p>
        </w:tc>
        <w:tc>
          <w:tcPr>
            <w:tcW w:w="1661" w:type="pct"/>
            <w:vMerge w:val="continue"/>
            <w:tcBorders>
              <w:tl2br w:val="nil"/>
              <w:tr2bl w:val="nil"/>
            </w:tcBorders>
            <w:vAlign w:val="center"/>
          </w:tcPr>
          <w:p>
            <w:pPr>
              <w:spacing w:line="280" w:lineRule="exact"/>
              <w:jc w:val="left"/>
              <w:rPr>
                <w:kern w:val="0"/>
                <w:szCs w:val="21"/>
              </w:rPr>
            </w:pPr>
          </w:p>
        </w:tc>
        <w:tc>
          <w:tcPr>
            <w:tcW w:w="438" w:type="pct"/>
            <w:tcBorders>
              <w:tl2br w:val="nil"/>
              <w:tr2bl w:val="nil"/>
            </w:tcBorders>
            <w:vAlign w:val="center"/>
          </w:tcPr>
          <w:p>
            <w:pPr>
              <w:spacing w:line="280" w:lineRule="exact"/>
              <w:jc w:val="center"/>
              <w:rPr>
                <w:szCs w:val="21"/>
              </w:rPr>
            </w:pPr>
            <w:r>
              <w:rPr>
                <w:rFonts w:hint="eastAsia"/>
                <w:szCs w:val="21"/>
              </w:rPr>
              <w:t>8.33mg/m</w:t>
            </w:r>
            <w:r>
              <w:rPr>
                <w:rFonts w:hint="eastAsia"/>
                <w:szCs w:val="21"/>
                <w:vertAlign w:val="superscript"/>
              </w:rPr>
              <w:t>3</w:t>
            </w:r>
          </w:p>
        </w:tc>
        <w:tc>
          <w:tcPr>
            <w:tcW w:w="358" w:type="pct"/>
            <w:tcBorders>
              <w:tl2br w:val="nil"/>
              <w:tr2bl w:val="nil"/>
            </w:tcBorders>
            <w:vAlign w:val="center"/>
          </w:tcPr>
          <w:p>
            <w:pPr>
              <w:spacing w:line="250" w:lineRule="exact"/>
              <w:jc w:val="center"/>
              <w:rPr>
                <w:szCs w:val="21"/>
              </w:rPr>
            </w:pPr>
            <w:r>
              <w:rPr>
                <w:rFonts w:hint="eastAsia"/>
                <w:bCs/>
                <w:kern w:val="0"/>
                <w:szCs w:val="21"/>
              </w:rPr>
              <w:t>0.0079t/a</w:t>
            </w:r>
          </w:p>
        </w:tc>
        <w:tc>
          <w:tcPr>
            <w:tcW w:w="301" w:type="pct"/>
            <w:tcBorders>
              <w:tl2br w:val="nil"/>
              <w:tr2bl w:val="nil"/>
            </w:tcBorders>
            <w:vAlign w:val="center"/>
          </w:tcPr>
          <w:p>
            <w:pPr>
              <w:spacing w:line="280" w:lineRule="exact"/>
              <w:jc w:val="center"/>
              <w:rPr>
                <w:szCs w:val="21"/>
              </w:rPr>
            </w:pPr>
            <w:r>
              <w:rPr>
                <w:rFonts w:hint="eastAsia"/>
                <w:szCs w:val="21"/>
              </w:rPr>
              <w:t>无组织</w:t>
            </w:r>
          </w:p>
        </w:tc>
        <w:tc>
          <w:tcPr>
            <w:tcW w:w="406" w:type="pct"/>
            <w:tcBorders>
              <w:tl2br w:val="nil"/>
              <w:tr2bl w:val="nil"/>
            </w:tcBorders>
            <w:vAlign w:val="center"/>
          </w:tcPr>
          <w:p>
            <w:pPr>
              <w:spacing w:line="280" w:lineRule="exact"/>
              <w:jc w:val="center"/>
              <w:rPr>
                <w:szCs w:val="21"/>
              </w:rPr>
            </w:pPr>
            <w:r>
              <w:rPr>
                <w:rFonts w:hint="eastAsia"/>
                <w:szCs w:val="21"/>
              </w:rPr>
              <w:t>持续</w:t>
            </w:r>
          </w:p>
        </w:tc>
        <w:tc>
          <w:tcPr>
            <w:tcW w:w="777" w:type="pct"/>
            <w:vMerge w:val="continue"/>
            <w:tcBorders>
              <w:tl2br w:val="nil"/>
              <w:tr2bl w:val="nil"/>
            </w:tcBorders>
            <w:vAlign w:val="center"/>
          </w:tcPr>
          <w:p>
            <w:pPr>
              <w:spacing w:line="26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277" w:hRule="exact"/>
          <w:jc w:val="center"/>
        </w:trPr>
        <w:tc>
          <w:tcPr>
            <w:tcW w:w="215" w:type="pct"/>
            <w:vMerge w:val="continue"/>
            <w:tcBorders>
              <w:tl2br w:val="nil"/>
              <w:tr2bl w:val="nil"/>
            </w:tcBorders>
            <w:vAlign w:val="center"/>
          </w:tcPr>
          <w:p>
            <w:pPr>
              <w:spacing w:line="280" w:lineRule="exact"/>
              <w:jc w:val="center"/>
              <w:rPr>
                <w:szCs w:val="21"/>
              </w:rPr>
            </w:pPr>
          </w:p>
        </w:tc>
        <w:tc>
          <w:tcPr>
            <w:tcW w:w="188" w:type="pct"/>
            <w:vMerge w:val="continue"/>
            <w:tcBorders>
              <w:tl2br w:val="nil"/>
              <w:tr2bl w:val="nil"/>
            </w:tcBorders>
            <w:vAlign w:val="center"/>
          </w:tcPr>
          <w:p>
            <w:pPr>
              <w:spacing w:line="280" w:lineRule="exact"/>
              <w:jc w:val="center"/>
              <w:rPr>
                <w:szCs w:val="21"/>
              </w:rPr>
            </w:pPr>
          </w:p>
        </w:tc>
        <w:tc>
          <w:tcPr>
            <w:tcW w:w="316" w:type="pct"/>
            <w:tcBorders>
              <w:tl2br w:val="nil"/>
              <w:tr2bl w:val="nil"/>
            </w:tcBorders>
            <w:vAlign w:val="center"/>
          </w:tcPr>
          <w:p>
            <w:pPr>
              <w:spacing w:line="240" w:lineRule="exact"/>
              <w:jc w:val="center"/>
              <w:rPr>
                <w:bCs/>
                <w:szCs w:val="21"/>
                <w:lang w:val="zh-CN"/>
              </w:rPr>
            </w:pPr>
            <w:r>
              <w:rPr>
                <w:rFonts w:hint="eastAsia"/>
                <w:bCs/>
                <w:szCs w:val="21"/>
                <w:lang w:val="zh-CN"/>
              </w:rPr>
              <w:t>垃圾填埋作业</w:t>
            </w:r>
          </w:p>
        </w:tc>
        <w:tc>
          <w:tcPr>
            <w:tcW w:w="333" w:type="pct"/>
            <w:tcBorders>
              <w:tl2br w:val="nil"/>
              <w:tr2bl w:val="nil"/>
            </w:tcBorders>
            <w:vAlign w:val="center"/>
          </w:tcPr>
          <w:p>
            <w:pPr>
              <w:spacing w:line="240" w:lineRule="exact"/>
              <w:jc w:val="center"/>
              <w:rPr>
                <w:bCs/>
                <w:kern w:val="0"/>
                <w:szCs w:val="21"/>
              </w:rPr>
            </w:pPr>
            <w:r>
              <w:rPr>
                <w:rFonts w:hint="eastAsia"/>
                <w:bCs/>
                <w:kern w:val="0"/>
                <w:szCs w:val="21"/>
              </w:rPr>
              <w:t>TSP</w:t>
            </w:r>
          </w:p>
        </w:tc>
        <w:tc>
          <w:tcPr>
            <w:tcW w:w="1661" w:type="pct"/>
            <w:tcBorders>
              <w:tl2br w:val="nil"/>
              <w:tr2bl w:val="nil"/>
            </w:tcBorders>
            <w:vAlign w:val="center"/>
          </w:tcPr>
          <w:p>
            <w:pPr>
              <w:spacing w:line="280" w:lineRule="exact"/>
              <w:jc w:val="left"/>
              <w:rPr>
                <w:kern w:val="0"/>
                <w:szCs w:val="21"/>
              </w:rPr>
            </w:pPr>
            <w:r>
              <w:rPr>
                <w:kern w:val="0"/>
                <w:szCs w:val="21"/>
              </w:rPr>
              <w:t>1、加强场地及道路清扫、洒水，保证频次；2、场区出入口配套建设洗车平台，运输车辆出场前进行冲洗；3、填埋区分单元科学作业，尽量缩小堆存作业面积、表面增湿、及时覆盖及垃圾卸车等作业点设移动防飞网；4、场地四周设防飞散网；5、场内临时弃土堆表面进行覆盖或播撒草籽；6、土方场内倒运过程中落实湿法作业，车辆减速慢行，土方覆盖后及时压实等。</w:t>
            </w:r>
          </w:p>
        </w:tc>
        <w:tc>
          <w:tcPr>
            <w:tcW w:w="438" w:type="pct"/>
            <w:tcBorders>
              <w:tl2br w:val="nil"/>
              <w:tr2bl w:val="nil"/>
            </w:tcBorders>
            <w:vAlign w:val="center"/>
          </w:tcPr>
          <w:p>
            <w:pPr>
              <w:spacing w:line="280" w:lineRule="exact"/>
              <w:jc w:val="center"/>
              <w:rPr>
                <w:szCs w:val="21"/>
              </w:rPr>
            </w:pPr>
            <w:r>
              <w:rPr>
                <w:rFonts w:hint="eastAsia"/>
                <w:szCs w:val="21"/>
              </w:rPr>
              <w:t>/</w:t>
            </w:r>
          </w:p>
        </w:tc>
        <w:tc>
          <w:tcPr>
            <w:tcW w:w="358" w:type="pct"/>
            <w:tcBorders>
              <w:tl2br w:val="nil"/>
              <w:tr2bl w:val="nil"/>
            </w:tcBorders>
            <w:vAlign w:val="center"/>
          </w:tcPr>
          <w:p>
            <w:pPr>
              <w:spacing w:line="250" w:lineRule="exact"/>
              <w:jc w:val="center"/>
              <w:rPr>
                <w:kern w:val="24"/>
                <w:szCs w:val="21"/>
              </w:rPr>
            </w:pPr>
            <w:r>
              <w:rPr>
                <w:rFonts w:hint="eastAsia"/>
                <w:bCs/>
                <w:kern w:val="0"/>
                <w:szCs w:val="21"/>
              </w:rPr>
              <w:t>1.01t/a</w:t>
            </w:r>
          </w:p>
        </w:tc>
        <w:tc>
          <w:tcPr>
            <w:tcW w:w="301" w:type="pct"/>
            <w:tcBorders>
              <w:tl2br w:val="nil"/>
              <w:tr2bl w:val="nil"/>
            </w:tcBorders>
            <w:vAlign w:val="center"/>
          </w:tcPr>
          <w:p>
            <w:pPr>
              <w:spacing w:line="280" w:lineRule="exact"/>
              <w:jc w:val="center"/>
              <w:rPr>
                <w:szCs w:val="21"/>
              </w:rPr>
            </w:pPr>
            <w:r>
              <w:rPr>
                <w:rFonts w:hint="eastAsia"/>
                <w:szCs w:val="21"/>
              </w:rPr>
              <w:t>无组织</w:t>
            </w:r>
          </w:p>
        </w:tc>
        <w:tc>
          <w:tcPr>
            <w:tcW w:w="406" w:type="pct"/>
            <w:tcBorders>
              <w:tl2br w:val="nil"/>
              <w:tr2bl w:val="nil"/>
            </w:tcBorders>
            <w:vAlign w:val="center"/>
          </w:tcPr>
          <w:p>
            <w:pPr>
              <w:spacing w:line="280" w:lineRule="exact"/>
              <w:jc w:val="center"/>
              <w:rPr>
                <w:szCs w:val="21"/>
              </w:rPr>
            </w:pPr>
            <w:r>
              <w:rPr>
                <w:rFonts w:hint="eastAsia"/>
                <w:szCs w:val="21"/>
              </w:rPr>
              <w:t>持续</w:t>
            </w:r>
          </w:p>
        </w:tc>
        <w:tc>
          <w:tcPr>
            <w:tcW w:w="778" w:type="pct"/>
            <w:tcBorders>
              <w:tl2br w:val="nil"/>
              <w:tr2bl w:val="nil"/>
            </w:tcBorders>
            <w:vAlign w:val="center"/>
          </w:tcPr>
          <w:p>
            <w:pPr>
              <w:spacing w:line="260" w:lineRule="exact"/>
              <w:jc w:val="center"/>
              <w:rPr>
                <w:szCs w:val="21"/>
              </w:rPr>
            </w:pPr>
            <w:r>
              <w:rPr>
                <w:szCs w:val="21"/>
              </w:rPr>
              <w:t>《大气污染物综合排放标准》（GB16297-1996）</w:t>
            </w:r>
            <w:r>
              <w:rPr>
                <w:rFonts w:hint="eastAsia"/>
                <w:szCs w:val="21"/>
              </w:rPr>
              <w:t>：</w:t>
            </w:r>
          </w:p>
          <w:p>
            <w:pPr>
              <w:spacing w:line="260" w:lineRule="exact"/>
              <w:jc w:val="center"/>
              <w:rPr>
                <w:szCs w:val="21"/>
              </w:rPr>
            </w:pPr>
            <w:r>
              <w:rPr>
                <w:rFonts w:hint="eastAsia"/>
                <w:szCs w:val="21"/>
              </w:rPr>
              <w:t>场地周界外浓度最高点总悬浮颗粒物（TSP）1小时浓度值不大于1.0mg/m</w:t>
            </w:r>
            <w:r>
              <w:rPr>
                <w:rFonts w:hint="eastAsia"/>
                <w:szCs w:val="21"/>
                <w:vertAlign w:val="superscript"/>
              </w:rPr>
              <w:t>3</w:t>
            </w:r>
          </w:p>
        </w:tc>
      </w:tr>
    </w:tbl>
    <w:p>
      <w:pPr>
        <w:spacing w:line="500" w:lineRule="exact"/>
        <w:ind w:firstLine="482" w:firstLineChars="200"/>
        <w:jc w:val="center"/>
        <w:rPr>
          <w:b/>
          <w:sz w:val="24"/>
        </w:rPr>
      </w:pPr>
      <w:r>
        <w:rPr>
          <w:rFonts w:hint="eastAsia"/>
          <w:b/>
          <w:sz w:val="24"/>
        </w:rPr>
        <w:t>表8.1-1续  项目主要污染物排放清单</w:t>
      </w:r>
    </w:p>
    <w:tbl>
      <w:tblPr>
        <w:tblStyle w:val="29"/>
        <w:tblW w:w="148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5"/>
        <w:gridCol w:w="655"/>
        <w:gridCol w:w="1436"/>
        <w:gridCol w:w="1121"/>
        <w:gridCol w:w="5904"/>
        <w:gridCol w:w="1152"/>
        <w:gridCol w:w="888"/>
        <w:gridCol w:w="696"/>
        <w:gridCol w:w="23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tblHeader/>
          <w:jc w:val="center"/>
        </w:trPr>
        <w:tc>
          <w:tcPr>
            <w:tcW w:w="645" w:type="dxa"/>
            <w:tcBorders>
              <w:tl2br w:val="nil"/>
              <w:tr2bl w:val="nil"/>
            </w:tcBorders>
            <w:vAlign w:val="center"/>
          </w:tcPr>
          <w:p>
            <w:pPr>
              <w:spacing w:line="280" w:lineRule="exact"/>
              <w:jc w:val="center"/>
              <w:rPr>
                <w:szCs w:val="21"/>
              </w:rPr>
            </w:pPr>
            <w:r>
              <w:rPr>
                <w:rFonts w:hint="eastAsia"/>
                <w:szCs w:val="21"/>
              </w:rPr>
              <w:t>阶段</w:t>
            </w:r>
          </w:p>
        </w:tc>
        <w:tc>
          <w:tcPr>
            <w:tcW w:w="2091" w:type="dxa"/>
            <w:gridSpan w:val="2"/>
            <w:tcBorders>
              <w:tl2br w:val="nil"/>
              <w:tr2bl w:val="nil"/>
            </w:tcBorders>
            <w:vAlign w:val="center"/>
          </w:tcPr>
          <w:p>
            <w:pPr>
              <w:spacing w:line="280" w:lineRule="exact"/>
              <w:jc w:val="center"/>
              <w:rPr>
                <w:szCs w:val="21"/>
              </w:rPr>
            </w:pPr>
            <w:r>
              <w:rPr>
                <w:rFonts w:hint="eastAsia"/>
                <w:szCs w:val="21"/>
              </w:rPr>
              <w:t>污染源</w:t>
            </w:r>
          </w:p>
        </w:tc>
        <w:tc>
          <w:tcPr>
            <w:tcW w:w="1121" w:type="dxa"/>
            <w:tcBorders>
              <w:tl2br w:val="nil"/>
              <w:tr2bl w:val="nil"/>
            </w:tcBorders>
            <w:vAlign w:val="center"/>
          </w:tcPr>
          <w:p>
            <w:pPr>
              <w:spacing w:line="280" w:lineRule="exact"/>
              <w:jc w:val="center"/>
              <w:rPr>
                <w:szCs w:val="21"/>
              </w:rPr>
            </w:pPr>
            <w:r>
              <w:rPr>
                <w:szCs w:val="21"/>
              </w:rPr>
              <w:t>污染物</w:t>
            </w:r>
          </w:p>
        </w:tc>
        <w:tc>
          <w:tcPr>
            <w:tcW w:w="5904" w:type="dxa"/>
            <w:tcBorders>
              <w:tl2br w:val="nil"/>
              <w:tr2bl w:val="nil"/>
            </w:tcBorders>
            <w:vAlign w:val="center"/>
          </w:tcPr>
          <w:p>
            <w:pPr>
              <w:spacing w:line="280" w:lineRule="exact"/>
              <w:jc w:val="center"/>
              <w:rPr>
                <w:szCs w:val="21"/>
              </w:rPr>
            </w:pPr>
            <w:r>
              <w:rPr>
                <w:rFonts w:hint="eastAsia"/>
                <w:szCs w:val="21"/>
              </w:rPr>
              <w:t>主要</w:t>
            </w:r>
            <w:r>
              <w:rPr>
                <w:szCs w:val="21"/>
              </w:rPr>
              <w:t>环保措施</w:t>
            </w:r>
          </w:p>
        </w:tc>
        <w:tc>
          <w:tcPr>
            <w:tcW w:w="1152" w:type="dxa"/>
            <w:tcBorders>
              <w:tl2br w:val="nil"/>
              <w:tr2bl w:val="nil"/>
            </w:tcBorders>
            <w:vAlign w:val="center"/>
          </w:tcPr>
          <w:p>
            <w:pPr>
              <w:spacing w:line="280" w:lineRule="exact"/>
              <w:jc w:val="center"/>
              <w:rPr>
                <w:szCs w:val="21"/>
              </w:rPr>
            </w:pPr>
            <w:r>
              <w:rPr>
                <w:szCs w:val="21"/>
              </w:rPr>
              <w:t>处理后</w:t>
            </w:r>
          </w:p>
        </w:tc>
        <w:tc>
          <w:tcPr>
            <w:tcW w:w="888" w:type="dxa"/>
            <w:tcBorders>
              <w:tl2br w:val="nil"/>
              <w:tr2bl w:val="nil"/>
            </w:tcBorders>
            <w:vAlign w:val="center"/>
          </w:tcPr>
          <w:p>
            <w:pPr>
              <w:spacing w:line="260" w:lineRule="exact"/>
              <w:jc w:val="center"/>
              <w:rPr>
                <w:szCs w:val="21"/>
              </w:rPr>
            </w:pPr>
            <w:r>
              <w:rPr>
                <w:szCs w:val="21"/>
              </w:rPr>
              <w:t>排放口</w:t>
            </w:r>
          </w:p>
          <w:p>
            <w:pPr>
              <w:spacing w:line="260" w:lineRule="exact"/>
              <w:jc w:val="center"/>
              <w:rPr>
                <w:szCs w:val="21"/>
              </w:rPr>
            </w:pPr>
            <w:r>
              <w:rPr>
                <w:szCs w:val="21"/>
              </w:rPr>
              <w:t>信息</w:t>
            </w:r>
          </w:p>
        </w:tc>
        <w:tc>
          <w:tcPr>
            <w:tcW w:w="696" w:type="dxa"/>
            <w:tcBorders>
              <w:tl2br w:val="nil"/>
              <w:tr2bl w:val="nil"/>
            </w:tcBorders>
            <w:vAlign w:val="center"/>
          </w:tcPr>
          <w:p>
            <w:pPr>
              <w:spacing w:line="260" w:lineRule="exact"/>
              <w:jc w:val="center"/>
              <w:rPr>
                <w:szCs w:val="21"/>
              </w:rPr>
            </w:pPr>
            <w:r>
              <w:rPr>
                <w:szCs w:val="21"/>
              </w:rPr>
              <w:t>排放</w:t>
            </w:r>
            <w:r>
              <w:rPr>
                <w:rFonts w:hint="eastAsia"/>
                <w:szCs w:val="21"/>
              </w:rPr>
              <w:t>特点</w:t>
            </w:r>
          </w:p>
        </w:tc>
        <w:tc>
          <w:tcPr>
            <w:tcW w:w="2397" w:type="dxa"/>
            <w:tcBorders>
              <w:tl2br w:val="nil"/>
              <w:tr2bl w:val="nil"/>
            </w:tcBorders>
            <w:vAlign w:val="center"/>
          </w:tcPr>
          <w:p>
            <w:pPr>
              <w:spacing w:line="280" w:lineRule="exact"/>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645" w:type="dxa"/>
            <w:vMerge w:val="restart"/>
            <w:tcBorders>
              <w:tl2br w:val="nil"/>
              <w:tr2bl w:val="nil"/>
            </w:tcBorders>
            <w:vAlign w:val="center"/>
          </w:tcPr>
          <w:p>
            <w:pPr>
              <w:spacing w:line="280" w:lineRule="exact"/>
              <w:jc w:val="center"/>
              <w:rPr>
                <w:szCs w:val="21"/>
              </w:rPr>
            </w:pPr>
            <w:r>
              <w:rPr>
                <w:rFonts w:hint="eastAsia"/>
                <w:szCs w:val="21"/>
              </w:rPr>
              <w:t>运营期</w:t>
            </w:r>
          </w:p>
        </w:tc>
        <w:tc>
          <w:tcPr>
            <w:tcW w:w="655" w:type="dxa"/>
            <w:vMerge w:val="restart"/>
            <w:tcBorders>
              <w:tl2br w:val="nil"/>
              <w:tr2bl w:val="nil"/>
            </w:tcBorders>
            <w:vAlign w:val="center"/>
          </w:tcPr>
          <w:p>
            <w:pPr>
              <w:spacing w:line="280" w:lineRule="exact"/>
              <w:jc w:val="center"/>
              <w:rPr>
                <w:szCs w:val="21"/>
              </w:rPr>
            </w:pPr>
            <w:r>
              <w:rPr>
                <w:szCs w:val="21"/>
              </w:rPr>
              <w:t>废水</w:t>
            </w:r>
          </w:p>
        </w:tc>
        <w:tc>
          <w:tcPr>
            <w:tcW w:w="1436" w:type="dxa"/>
            <w:tcBorders>
              <w:tl2br w:val="nil"/>
              <w:tr2bl w:val="nil"/>
            </w:tcBorders>
            <w:vAlign w:val="center"/>
          </w:tcPr>
          <w:p>
            <w:pPr>
              <w:spacing w:line="240" w:lineRule="exact"/>
              <w:jc w:val="center"/>
              <w:rPr>
                <w:szCs w:val="21"/>
              </w:rPr>
            </w:pPr>
            <w:r>
              <w:rPr>
                <w:rFonts w:hint="eastAsia"/>
                <w:bCs/>
                <w:szCs w:val="21"/>
                <w:lang w:val="zh-CN"/>
              </w:rPr>
              <w:t>垃圾渗滤液</w:t>
            </w:r>
          </w:p>
        </w:tc>
        <w:tc>
          <w:tcPr>
            <w:tcW w:w="1121" w:type="dxa"/>
            <w:tcBorders>
              <w:tl2br w:val="nil"/>
              <w:tr2bl w:val="nil"/>
            </w:tcBorders>
            <w:vAlign w:val="center"/>
          </w:tcPr>
          <w:p>
            <w:pPr>
              <w:spacing w:line="240" w:lineRule="exact"/>
              <w:rPr>
                <w:szCs w:val="21"/>
              </w:rPr>
            </w:pPr>
            <w:r>
              <w:rPr>
                <w:rFonts w:hint="eastAsia"/>
                <w:bCs/>
                <w:kern w:val="0"/>
                <w:szCs w:val="21"/>
              </w:rPr>
              <w:t>COD、氨氮、SS等</w:t>
            </w:r>
          </w:p>
        </w:tc>
        <w:tc>
          <w:tcPr>
            <w:tcW w:w="5904" w:type="dxa"/>
            <w:tcBorders>
              <w:tl2br w:val="nil"/>
              <w:tr2bl w:val="nil"/>
            </w:tcBorders>
            <w:vAlign w:val="center"/>
          </w:tcPr>
          <w:p>
            <w:pPr>
              <w:spacing w:line="240" w:lineRule="exact"/>
              <w:jc w:val="left"/>
              <w:rPr>
                <w:bCs/>
                <w:kern w:val="0"/>
                <w:szCs w:val="21"/>
              </w:rPr>
            </w:pPr>
            <w:r>
              <w:rPr>
                <w:rFonts w:hint="eastAsia"/>
                <w:bCs/>
                <w:kern w:val="0"/>
                <w:szCs w:val="21"/>
              </w:rPr>
              <w:t>1、库区场底和边坡均进行HDPE土工膜等复合衬层防渗；</w:t>
            </w:r>
          </w:p>
          <w:p>
            <w:pPr>
              <w:spacing w:line="240" w:lineRule="exact"/>
              <w:jc w:val="left"/>
              <w:rPr>
                <w:bCs/>
                <w:kern w:val="0"/>
                <w:szCs w:val="21"/>
              </w:rPr>
            </w:pPr>
            <w:r>
              <w:rPr>
                <w:rFonts w:hint="eastAsia"/>
                <w:bCs/>
                <w:kern w:val="0"/>
                <w:szCs w:val="21"/>
              </w:rPr>
              <w:t>2、圾滤液经盲沟导排后自流进入北侧坝前提升井，先被泵入渗滤液调节池，然后进入渗滤液处理车间进行处理，处理工艺为“预处理+两级DTRO反渗透”，处理能力40m</w:t>
            </w:r>
            <w:r>
              <w:rPr>
                <w:rFonts w:hint="eastAsia"/>
                <w:bCs/>
                <w:kern w:val="0"/>
                <w:szCs w:val="21"/>
                <w:vertAlign w:val="superscript"/>
              </w:rPr>
              <w:t>3</w:t>
            </w:r>
            <w:r>
              <w:rPr>
                <w:rFonts w:hint="eastAsia"/>
                <w:bCs/>
                <w:kern w:val="0"/>
                <w:szCs w:val="21"/>
              </w:rPr>
              <w:t>/h，出水满足满足《城市污水再生利用城市杂用水水质》(GB/T18920­2020)标准要求后全部回用于场地及县城绿化、道路清扫，不外排。</w:t>
            </w:r>
          </w:p>
          <w:p>
            <w:pPr>
              <w:spacing w:line="240" w:lineRule="exact"/>
              <w:rPr>
                <w:szCs w:val="21"/>
              </w:rPr>
            </w:pPr>
            <w:r>
              <w:rPr>
                <w:rFonts w:hint="eastAsia"/>
                <w:bCs/>
                <w:kern w:val="0"/>
                <w:szCs w:val="21"/>
              </w:rPr>
              <w:t>3、渗滤液处理过程中产生的反渗透浓水由吸污车定期运至库区回喷垃圾堆体。</w:t>
            </w:r>
          </w:p>
        </w:tc>
        <w:tc>
          <w:tcPr>
            <w:tcW w:w="1152" w:type="dxa"/>
            <w:vMerge w:val="restart"/>
            <w:tcBorders>
              <w:tl2br w:val="nil"/>
              <w:tr2bl w:val="nil"/>
            </w:tcBorders>
            <w:vAlign w:val="center"/>
          </w:tcPr>
          <w:p>
            <w:pPr>
              <w:spacing w:line="280" w:lineRule="exact"/>
              <w:jc w:val="center"/>
              <w:rPr>
                <w:szCs w:val="21"/>
              </w:rPr>
            </w:pPr>
            <w:r>
              <w:rPr>
                <w:rFonts w:hint="eastAsia"/>
                <w:szCs w:val="21"/>
              </w:rPr>
              <w:t>全部回用于场地及县城绿化、道路清扫</w:t>
            </w:r>
          </w:p>
        </w:tc>
        <w:tc>
          <w:tcPr>
            <w:tcW w:w="888" w:type="dxa"/>
            <w:vMerge w:val="restart"/>
            <w:tcBorders>
              <w:tl2br w:val="nil"/>
              <w:tr2bl w:val="nil"/>
            </w:tcBorders>
            <w:vAlign w:val="center"/>
          </w:tcPr>
          <w:p>
            <w:pPr>
              <w:spacing w:line="280" w:lineRule="exact"/>
              <w:jc w:val="center"/>
              <w:rPr>
                <w:szCs w:val="21"/>
              </w:rPr>
            </w:pPr>
            <w:r>
              <w:rPr>
                <w:szCs w:val="21"/>
              </w:rPr>
              <w:t>厂内不设</w:t>
            </w:r>
          </w:p>
          <w:p>
            <w:pPr>
              <w:spacing w:line="280" w:lineRule="exact"/>
              <w:ind w:left="105" w:hanging="105" w:hangingChars="50"/>
              <w:jc w:val="center"/>
              <w:rPr>
                <w:szCs w:val="21"/>
              </w:rPr>
            </w:pPr>
            <w:r>
              <w:rPr>
                <w:szCs w:val="21"/>
              </w:rPr>
              <w:t>废水排口</w:t>
            </w:r>
          </w:p>
        </w:tc>
        <w:tc>
          <w:tcPr>
            <w:tcW w:w="696" w:type="dxa"/>
            <w:vMerge w:val="restart"/>
            <w:tcBorders>
              <w:tl2br w:val="nil"/>
              <w:tr2bl w:val="nil"/>
            </w:tcBorders>
            <w:vAlign w:val="center"/>
          </w:tcPr>
          <w:p>
            <w:pPr>
              <w:spacing w:line="280" w:lineRule="exact"/>
              <w:ind w:left="105" w:hanging="105" w:hangingChars="50"/>
              <w:jc w:val="center"/>
              <w:rPr>
                <w:szCs w:val="21"/>
              </w:rPr>
            </w:pPr>
            <w:r>
              <w:rPr>
                <w:rFonts w:hint="eastAsia"/>
                <w:szCs w:val="21"/>
              </w:rPr>
              <w:t>间歇</w:t>
            </w:r>
          </w:p>
        </w:tc>
        <w:tc>
          <w:tcPr>
            <w:tcW w:w="2397" w:type="dxa"/>
            <w:vMerge w:val="restart"/>
            <w:tcBorders>
              <w:tl2br w:val="nil"/>
              <w:tr2bl w:val="nil"/>
            </w:tcBorders>
            <w:vAlign w:val="center"/>
          </w:tcPr>
          <w:p>
            <w:pPr>
              <w:spacing w:line="280" w:lineRule="exact"/>
              <w:jc w:val="center"/>
              <w:rPr>
                <w:szCs w:val="21"/>
              </w:rPr>
            </w:pPr>
            <w:r>
              <w:rPr>
                <w:szCs w:val="21"/>
              </w:rPr>
              <w:t>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79"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vMerge w:val="continue"/>
            <w:tcBorders>
              <w:tl2br w:val="nil"/>
              <w:tr2bl w:val="nil"/>
            </w:tcBorders>
            <w:vAlign w:val="center"/>
          </w:tcPr>
          <w:p>
            <w:pPr>
              <w:spacing w:line="280" w:lineRule="exact"/>
              <w:jc w:val="center"/>
              <w:rPr>
                <w:szCs w:val="21"/>
              </w:rPr>
            </w:pPr>
          </w:p>
        </w:tc>
        <w:tc>
          <w:tcPr>
            <w:tcW w:w="1436" w:type="dxa"/>
            <w:tcBorders>
              <w:tl2br w:val="nil"/>
              <w:tr2bl w:val="nil"/>
            </w:tcBorders>
            <w:vAlign w:val="center"/>
          </w:tcPr>
          <w:p>
            <w:pPr>
              <w:spacing w:line="240" w:lineRule="exact"/>
              <w:jc w:val="center"/>
              <w:rPr>
                <w:bCs/>
                <w:szCs w:val="21"/>
              </w:rPr>
            </w:pPr>
            <w:r>
              <w:rPr>
                <w:rFonts w:hint="eastAsia"/>
                <w:bCs/>
                <w:szCs w:val="21"/>
                <w:lang w:val="zh-CN"/>
              </w:rPr>
              <w:t>职工生活废水</w:t>
            </w:r>
          </w:p>
        </w:tc>
        <w:tc>
          <w:tcPr>
            <w:tcW w:w="1121" w:type="dxa"/>
            <w:tcBorders>
              <w:tl2br w:val="nil"/>
              <w:tr2bl w:val="nil"/>
            </w:tcBorders>
            <w:vAlign w:val="center"/>
          </w:tcPr>
          <w:p>
            <w:pPr>
              <w:spacing w:line="240" w:lineRule="exact"/>
              <w:jc w:val="center"/>
              <w:rPr>
                <w:szCs w:val="21"/>
              </w:rPr>
            </w:pPr>
            <w:r>
              <w:rPr>
                <w:rFonts w:hint="eastAsia"/>
                <w:bCs/>
                <w:kern w:val="0"/>
                <w:szCs w:val="21"/>
              </w:rPr>
              <w:t>COD、氨氮等</w:t>
            </w:r>
          </w:p>
        </w:tc>
        <w:tc>
          <w:tcPr>
            <w:tcW w:w="5904" w:type="dxa"/>
            <w:tcBorders>
              <w:tl2br w:val="nil"/>
              <w:tr2bl w:val="nil"/>
            </w:tcBorders>
            <w:vAlign w:val="center"/>
          </w:tcPr>
          <w:p>
            <w:pPr>
              <w:spacing w:line="240" w:lineRule="exact"/>
              <w:ind w:left="105" w:leftChars="50" w:right="105" w:rightChars="50" w:firstLine="15"/>
              <w:jc w:val="center"/>
              <w:rPr>
                <w:szCs w:val="21"/>
              </w:rPr>
            </w:pPr>
            <w:r>
              <w:rPr>
                <w:rFonts w:hint="eastAsia"/>
                <w:bCs/>
                <w:kern w:val="0"/>
                <w:szCs w:val="21"/>
              </w:rPr>
              <w:t>经化粪池后，进入渗滤液调节池随垃圾渗滤液一起处理</w:t>
            </w:r>
          </w:p>
        </w:tc>
        <w:tc>
          <w:tcPr>
            <w:tcW w:w="1152" w:type="dxa"/>
            <w:vMerge w:val="continue"/>
            <w:tcBorders>
              <w:tl2br w:val="nil"/>
              <w:tr2bl w:val="nil"/>
            </w:tcBorders>
            <w:vAlign w:val="center"/>
          </w:tcPr>
          <w:p>
            <w:pPr>
              <w:spacing w:line="280" w:lineRule="exact"/>
              <w:jc w:val="center"/>
              <w:rPr>
                <w:szCs w:val="21"/>
              </w:rPr>
            </w:pPr>
          </w:p>
        </w:tc>
        <w:tc>
          <w:tcPr>
            <w:tcW w:w="888" w:type="dxa"/>
            <w:vMerge w:val="continue"/>
            <w:tcBorders>
              <w:tl2br w:val="nil"/>
              <w:tr2bl w:val="nil"/>
            </w:tcBorders>
            <w:vAlign w:val="center"/>
          </w:tcPr>
          <w:p>
            <w:pPr>
              <w:spacing w:line="280" w:lineRule="exact"/>
              <w:jc w:val="center"/>
              <w:rPr>
                <w:szCs w:val="21"/>
              </w:rPr>
            </w:pPr>
          </w:p>
        </w:tc>
        <w:tc>
          <w:tcPr>
            <w:tcW w:w="696" w:type="dxa"/>
            <w:vMerge w:val="continue"/>
            <w:tcBorders>
              <w:tl2br w:val="nil"/>
              <w:tr2bl w:val="nil"/>
            </w:tcBorders>
            <w:vAlign w:val="center"/>
          </w:tcPr>
          <w:p>
            <w:pPr>
              <w:spacing w:line="280" w:lineRule="exact"/>
              <w:jc w:val="center"/>
              <w:rPr>
                <w:szCs w:val="21"/>
              </w:rPr>
            </w:pPr>
          </w:p>
        </w:tc>
        <w:tc>
          <w:tcPr>
            <w:tcW w:w="2397" w:type="dxa"/>
            <w:vMerge w:val="continue"/>
            <w:tcBorders>
              <w:tl2br w:val="nil"/>
              <w:tr2bl w:val="nil"/>
            </w:tcBorders>
            <w:vAlign w:val="center"/>
          </w:tcPr>
          <w:p>
            <w:pPr>
              <w:spacing w:line="28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19"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vMerge w:val="continue"/>
            <w:tcBorders>
              <w:tl2br w:val="nil"/>
              <w:tr2bl w:val="nil"/>
            </w:tcBorders>
            <w:vAlign w:val="center"/>
          </w:tcPr>
          <w:p>
            <w:pPr>
              <w:spacing w:line="280" w:lineRule="exact"/>
              <w:jc w:val="center"/>
              <w:rPr>
                <w:szCs w:val="21"/>
              </w:rPr>
            </w:pPr>
          </w:p>
        </w:tc>
        <w:tc>
          <w:tcPr>
            <w:tcW w:w="1436" w:type="dxa"/>
            <w:tcBorders>
              <w:tl2br w:val="nil"/>
              <w:tr2bl w:val="nil"/>
            </w:tcBorders>
            <w:vAlign w:val="center"/>
          </w:tcPr>
          <w:p>
            <w:pPr>
              <w:spacing w:line="240" w:lineRule="exact"/>
              <w:jc w:val="center"/>
              <w:rPr>
                <w:color w:val="000000"/>
                <w:szCs w:val="21"/>
              </w:rPr>
            </w:pPr>
            <w:r>
              <w:rPr>
                <w:rFonts w:hint="eastAsia"/>
                <w:color w:val="000000"/>
                <w:szCs w:val="21"/>
              </w:rPr>
              <w:t>车辆冲洗废水</w:t>
            </w:r>
          </w:p>
        </w:tc>
        <w:tc>
          <w:tcPr>
            <w:tcW w:w="1121" w:type="dxa"/>
            <w:tcBorders>
              <w:tl2br w:val="nil"/>
              <w:tr2bl w:val="nil"/>
            </w:tcBorders>
            <w:vAlign w:val="center"/>
          </w:tcPr>
          <w:p>
            <w:pPr>
              <w:spacing w:line="240" w:lineRule="exact"/>
              <w:jc w:val="center"/>
              <w:rPr>
                <w:bCs/>
                <w:kern w:val="0"/>
                <w:szCs w:val="21"/>
              </w:rPr>
            </w:pPr>
            <w:r>
              <w:rPr>
                <w:rFonts w:hint="eastAsia"/>
                <w:bCs/>
                <w:kern w:val="0"/>
                <w:szCs w:val="21"/>
              </w:rPr>
              <w:t>SS等</w:t>
            </w:r>
          </w:p>
        </w:tc>
        <w:tc>
          <w:tcPr>
            <w:tcW w:w="5904" w:type="dxa"/>
            <w:tcBorders>
              <w:tl2br w:val="nil"/>
              <w:tr2bl w:val="nil"/>
            </w:tcBorders>
            <w:vAlign w:val="center"/>
          </w:tcPr>
          <w:p>
            <w:pPr>
              <w:spacing w:line="240" w:lineRule="exact"/>
              <w:ind w:left="105" w:leftChars="50" w:right="105" w:rightChars="50" w:firstLine="15"/>
              <w:jc w:val="center"/>
              <w:rPr>
                <w:szCs w:val="21"/>
              </w:rPr>
            </w:pPr>
            <w:r>
              <w:rPr>
                <w:rFonts w:hint="eastAsia"/>
                <w:bCs/>
                <w:kern w:val="0"/>
                <w:szCs w:val="21"/>
              </w:rPr>
              <w:t>经沉淀池后，进入渗滤液调节池随垃圾渗滤液一起处理</w:t>
            </w:r>
          </w:p>
        </w:tc>
        <w:tc>
          <w:tcPr>
            <w:tcW w:w="1152" w:type="dxa"/>
            <w:vMerge w:val="continue"/>
            <w:tcBorders>
              <w:tl2br w:val="nil"/>
              <w:tr2bl w:val="nil"/>
            </w:tcBorders>
            <w:vAlign w:val="center"/>
          </w:tcPr>
          <w:p>
            <w:pPr>
              <w:spacing w:line="280" w:lineRule="exact"/>
              <w:jc w:val="center"/>
              <w:rPr>
                <w:szCs w:val="21"/>
              </w:rPr>
            </w:pPr>
          </w:p>
        </w:tc>
        <w:tc>
          <w:tcPr>
            <w:tcW w:w="888" w:type="dxa"/>
            <w:vMerge w:val="continue"/>
            <w:tcBorders>
              <w:tl2br w:val="nil"/>
              <w:tr2bl w:val="nil"/>
            </w:tcBorders>
            <w:vAlign w:val="center"/>
          </w:tcPr>
          <w:p>
            <w:pPr>
              <w:spacing w:line="280" w:lineRule="exact"/>
              <w:jc w:val="center"/>
              <w:rPr>
                <w:szCs w:val="21"/>
              </w:rPr>
            </w:pPr>
          </w:p>
        </w:tc>
        <w:tc>
          <w:tcPr>
            <w:tcW w:w="696" w:type="dxa"/>
            <w:vMerge w:val="continue"/>
            <w:tcBorders>
              <w:tl2br w:val="nil"/>
              <w:tr2bl w:val="nil"/>
            </w:tcBorders>
            <w:vAlign w:val="center"/>
          </w:tcPr>
          <w:p>
            <w:pPr>
              <w:spacing w:line="280" w:lineRule="exact"/>
              <w:jc w:val="center"/>
              <w:rPr>
                <w:szCs w:val="21"/>
              </w:rPr>
            </w:pPr>
          </w:p>
        </w:tc>
        <w:tc>
          <w:tcPr>
            <w:tcW w:w="2397" w:type="dxa"/>
            <w:vMerge w:val="continue"/>
            <w:tcBorders>
              <w:tl2br w:val="nil"/>
              <w:tr2bl w:val="nil"/>
            </w:tcBorders>
            <w:vAlign w:val="center"/>
          </w:tcPr>
          <w:p>
            <w:pPr>
              <w:spacing w:line="28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79"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vMerge w:val="continue"/>
            <w:tcBorders>
              <w:tl2br w:val="nil"/>
              <w:tr2bl w:val="nil"/>
            </w:tcBorders>
            <w:vAlign w:val="center"/>
          </w:tcPr>
          <w:p>
            <w:pPr>
              <w:spacing w:line="280" w:lineRule="exact"/>
              <w:jc w:val="center"/>
              <w:rPr>
                <w:szCs w:val="21"/>
              </w:rPr>
            </w:pPr>
          </w:p>
        </w:tc>
        <w:tc>
          <w:tcPr>
            <w:tcW w:w="1436" w:type="dxa"/>
            <w:tcBorders>
              <w:tl2br w:val="nil"/>
              <w:tr2bl w:val="nil"/>
            </w:tcBorders>
            <w:vAlign w:val="center"/>
          </w:tcPr>
          <w:p>
            <w:pPr>
              <w:spacing w:line="240" w:lineRule="exact"/>
              <w:jc w:val="center"/>
              <w:rPr>
                <w:color w:val="000000"/>
                <w:szCs w:val="21"/>
              </w:rPr>
            </w:pPr>
            <w:r>
              <w:rPr>
                <w:rFonts w:hint="eastAsia"/>
                <w:kern w:val="24"/>
                <w:szCs w:val="21"/>
              </w:rPr>
              <w:t>反渗透浓水</w:t>
            </w:r>
          </w:p>
        </w:tc>
        <w:tc>
          <w:tcPr>
            <w:tcW w:w="1121" w:type="dxa"/>
            <w:tcBorders>
              <w:tl2br w:val="nil"/>
              <w:tr2bl w:val="nil"/>
            </w:tcBorders>
            <w:vAlign w:val="center"/>
          </w:tcPr>
          <w:p>
            <w:pPr>
              <w:spacing w:line="240" w:lineRule="exact"/>
              <w:jc w:val="center"/>
              <w:rPr>
                <w:bCs/>
                <w:kern w:val="0"/>
                <w:szCs w:val="21"/>
              </w:rPr>
            </w:pPr>
          </w:p>
        </w:tc>
        <w:tc>
          <w:tcPr>
            <w:tcW w:w="5904" w:type="dxa"/>
            <w:tcBorders>
              <w:tl2br w:val="nil"/>
              <w:tr2bl w:val="nil"/>
            </w:tcBorders>
            <w:vAlign w:val="center"/>
          </w:tcPr>
          <w:p>
            <w:pPr>
              <w:spacing w:line="240" w:lineRule="exact"/>
              <w:ind w:left="105" w:leftChars="50" w:right="105" w:rightChars="50" w:firstLine="15"/>
              <w:jc w:val="center"/>
              <w:rPr>
                <w:szCs w:val="21"/>
              </w:rPr>
            </w:pPr>
            <w:r>
              <w:rPr>
                <w:rFonts w:hint="eastAsia"/>
                <w:kern w:val="24"/>
                <w:szCs w:val="21"/>
              </w:rPr>
              <w:t>渗滤液处理车间内设1座浓水池，场内设1辆吸污车，通过吸污车定期回喷场内库区</w:t>
            </w:r>
          </w:p>
        </w:tc>
        <w:tc>
          <w:tcPr>
            <w:tcW w:w="1152" w:type="dxa"/>
            <w:tcBorders>
              <w:tl2br w:val="nil"/>
              <w:tr2bl w:val="nil"/>
            </w:tcBorders>
            <w:vAlign w:val="center"/>
          </w:tcPr>
          <w:p>
            <w:pPr>
              <w:spacing w:line="280" w:lineRule="exact"/>
              <w:jc w:val="center"/>
              <w:rPr>
                <w:szCs w:val="21"/>
              </w:rPr>
            </w:pPr>
            <w:r>
              <w:rPr>
                <w:rFonts w:hint="eastAsia"/>
                <w:kern w:val="24"/>
                <w:szCs w:val="21"/>
              </w:rPr>
              <w:t>回喷场内库区</w:t>
            </w:r>
          </w:p>
        </w:tc>
        <w:tc>
          <w:tcPr>
            <w:tcW w:w="888" w:type="dxa"/>
            <w:vMerge w:val="continue"/>
            <w:tcBorders>
              <w:tl2br w:val="nil"/>
              <w:tr2bl w:val="nil"/>
            </w:tcBorders>
            <w:vAlign w:val="center"/>
          </w:tcPr>
          <w:p>
            <w:pPr>
              <w:spacing w:line="280" w:lineRule="exact"/>
              <w:jc w:val="center"/>
              <w:rPr>
                <w:szCs w:val="21"/>
              </w:rPr>
            </w:pPr>
          </w:p>
        </w:tc>
        <w:tc>
          <w:tcPr>
            <w:tcW w:w="696" w:type="dxa"/>
            <w:vMerge w:val="continue"/>
            <w:tcBorders>
              <w:tl2br w:val="nil"/>
              <w:tr2bl w:val="nil"/>
            </w:tcBorders>
            <w:vAlign w:val="center"/>
          </w:tcPr>
          <w:p>
            <w:pPr>
              <w:spacing w:line="280" w:lineRule="exact"/>
              <w:jc w:val="center"/>
              <w:rPr>
                <w:szCs w:val="21"/>
              </w:rPr>
            </w:pPr>
          </w:p>
        </w:tc>
        <w:tc>
          <w:tcPr>
            <w:tcW w:w="2397" w:type="dxa"/>
            <w:vMerge w:val="continue"/>
            <w:tcBorders>
              <w:tl2br w:val="nil"/>
              <w:tr2bl w:val="nil"/>
            </w:tcBorders>
            <w:vAlign w:val="center"/>
          </w:tcPr>
          <w:p>
            <w:pPr>
              <w:spacing w:line="28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2"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tcBorders>
              <w:tl2br w:val="nil"/>
              <w:tr2bl w:val="nil"/>
            </w:tcBorders>
            <w:vAlign w:val="center"/>
          </w:tcPr>
          <w:p>
            <w:pPr>
              <w:spacing w:line="280" w:lineRule="exact"/>
              <w:jc w:val="center"/>
              <w:rPr>
                <w:szCs w:val="21"/>
              </w:rPr>
            </w:pPr>
            <w:r>
              <w:rPr>
                <w:rFonts w:hint="eastAsia"/>
                <w:szCs w:val="21"/>
              </w:rPr>
              <w:t>噪声</w:t>
            </w:r>
          </w:p>
        </w:tc>
        <w:tc>
          <w:tcPr>
            <w:tcW w:w="1436" w:type="dxa"/>
            <w:tcBorders>
              <w:tl2br w:val="nil"/>
              <w:tr2bl w:val="nil"/>
            </w:tcBorders>
            <w:vAlign w:val="center"/>
          </w:tcPr>
          <w:p>
            <w:pPr>
              <w:spacing w:line="220" w:lineRule="exact"/>
              <w:jc w:val="center"/>
              <w:rPr>
                <w:color w:val="000000"/>
                <w:szCs w:val="21"/>
              </w:rPr>
            </w:pPr>
            <w:r>
              <w:rPr>
                <w:rFonts w:hint="eastAsia"/>
                <w:szCs w:val="21"/>
              </w:rPr>
              <w:t>填埋作业车辆机械、渗滤液处理站水泵、填埋气抽气机房风机等</w:t>
            </w:r>
          </w:p>
        </w:tc>
        <w:tc>
          <w:tcPr>
            <w:tcW w:w="1121" w:type="dxa"/>
            <w:tcBorders>
              <w:tl2br w:val="nil"/>
              <w:tr2bl w:val="nil"/>
            </w:tcBorders>
            <w:vAlign w:val="center"/>
          </w:tcPr>
          <w:p>
            <w:pPr>
              <w:spacing w:line="220" w:lineRule="exact"/>
              <w:jc w:val="center"/>
              <w:rPr>
                <w:bCs/>
                <w:kern w:val="0"/>
                <w:szCs w:val="21"/>
              </w:rPr>
            </w:pPr>
            <w:r>
              <w:rPr>
                <w:rFonts w:hint="eastAsia"/>
                <w:bCs/>
                <w:kern w:val="0"/>
                <w:szCs w:val="21"/>
              </w:rPr>
              <w:t>噪声</w:t>
            </w:r>
          </w:p>
        </w:tc>
        <w:tc>
          <w:tcPr>
            <w:tcW w:w="5904" w:type="dxa"/>
            <w:tcBorders>
              <w:tl2br w:val="nil"/>
              <w:tr2bl w:val="nil"/>
            </w:tcBorders>
            <w:vAlign w:val="center"/>
          </w:tcPr>
          <w:p>
            <w:pPr>
              <w:spacing w:line="220" w:lineRule="exact"/>
              <w:jc w:val="center"/>
              <w:rPr>
                <w:szCs w:val="21"/>
              </w:rPr>
            </w:pPr>
            <w:r>
              <w:rPr>
                <w:rFonts w:hint="eastAsia"/>
                <w:bCs/>
                <w:kern w:val="0"/>
                <w:szCs w:val="21"/>
              </w:rPr>
              <w:t>加强机械、车辆管理，合理安排填埋作业时间，制定操作规程；各水泵、风机均进行基础减震，布置在密闭车间内，风机安装柔性接头；加强场地及周边绿化，形成隔离带等</w:t>
            </w:r>
          </w:p>
        </w:tc>
        <w:tc>
          <w:tcPr>
            <w:tcW w:w="1152" w:type="dxa"/>
            <w:tcBorders>
              <w:tl2br w:val="nil"/>
              <w:tr2bl w:val="nil"/>
            </w:tcBorders>
            <w:vAlign w:val="center"/>
          </w:tcPr>
          <w:p>
            <w:pPr>
              <w:spacing w:line="220" w:lineRule="exact"/>
              <w:jc w:val="center"/>
              <w:rPr>
                <w:bCs/>
                <w:kern w:val="0"/>
                <w:szCs w:val="21"/>
              </w:rPr>
            </w:pPr>
            <w:r>
              <w:rPr>
                <w:rFonts w:hint="eastAsia"/>
                <w:szCs w:val="21"/>
              </w:rPr>
              <w:t>场</w:t>
            </w:r>
            <w:r>
              <w:rPr>
                <w:szCs w:val="21"/>
              </w:rPr>
              <w:t>界噪声达标排放</w:t>
            </w:r>
          </w:p>
        </w:tc>
        <w:tc>
          <w:tcPr>
            <w:tcW w:w="888" w:type="dxa"/>
            <w:tcBorders>
              <w:tl2br w:val="nil"/>
              <w:tr2bl w:val="nil"/>
            </w:tcBorders>
            <w:vAlign w:val="center"/>
          </w:tcPr>
          <w:p>
            <w:pPr>
              <w:spacing w:line="220" w:lineRule="exact"/>
              <w:jc w:val="center"/>
              <w:rPr>
                <w:szCs w:val="21"/>
              </w:rPr>
            </w:pPr>
            <w:r>
              <w:rPr>
                <w:rFonts w:hint="eastAsia"/>
                <w:szCs w:val="21"/>
              </w:rPr>
              <w:t>/</w:t>
            </w:r>
          </w:p>
        </w:tc>
        <w:tc>
          <w:tcPr>
            <w:tcW w:w="696" w:type="dxa"/>
            <w:tcBorders>
              <w:tl2br w:val="nil"/>
              <w:tr2bl w:val="nil"/>
            </w:tcBorders>
            <w:vAlign w:val="center"/>
          </w:tcPr>
          <w:p>
            <w:pPr>
              <w:spacing w:line="220" w:lineRule="exact"/>
              <w:jc w:val="center"/>
              <w:rPr>
                <w:szCs w:val="21"/>
              </w:rPr>
            </w:pPr>
            <w:r>
              <w:rPr>
                <w:rFonts w:hint="eastAsia"/>
                <w:szCs w:val="21"/>
              </w:rPr>
              <w:t>间歇</w:t>
            </w:r>
          </w:p>
        </w:tc>
        <w:tc>
          <w:tcPr>
            <w:tcW w:w="2397" w:type="dxa"/>
            <w:tcBorders>
              <w:tl2br w:val="nil"/>
              <w:tr2bl w:val="nil"/>
            </w:tcBorders>
            <w:vAlign w:val="center"/>
          </w:tcPr>
          <w:p>
            <w:pPr>
              <w:spacing w:line="220" w:lineRule="exact"/>
              <w:jc w:val="center"/>
              <w:rPr>
                <w:szCs w:val="21"/>
              </w:rPr>
            </w:pPr>
            <w:r>
              <w:rPr>
                <w:szCs w:val="21"/>
              </w:rPr>
              <w:t>《工业企业厂界环境噪声排放标准》（GB12348- 2008）中2类标准：</w:t>
            </w:r>
          </w:p>
          <w:p>
            <w:pPr>
              <w:spacing w:line="220" w:lineRule="exact"/>
              <w:jc w:val="center"/>
              <w:rPr>
                <w:szCs w:val="21"/>
              </w:rPr>
            </w:pPr>
            <w:r>
              <w:rPr>
                <w:szCs w:val="21"/>
              </w:rPr>
              <w:t>昼间60dB（A）</w:t>
            </w:r>
          </w:p>
          <w:p>
            <w:pPr>
              <w:spacing w:line="220" w:lineRule="exact"/>
              <w:jc w:val="center"/>
              <w:rPr>
                <w:szCs w:val="21"/>
              </w:rPr>
            </w:pPr>
            <w:r>
              <w:rPr>
                <w:szCs w:val="21"/>
              </w:rPr>
              <w:t xml:space="preserve"> 夜间50dB（A）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4"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vMerge w:val="restart"/>
            <w:tcBorders>
              <w:tl2br w:val="nil"/>
              <w:tr2bl w:val="nil"/>
            </w:tcBorders>
            <w:vAlign w:val="center"/>
          </w:tcPr>
          <w:p>
            <w:pPr>
              <w:spacing w:line="280" w:lineRule="exact"/>
              <w:jc w:val="center"/>
              <w:rPr>
                <w:szCs w:val="21"/>
              </w:rPr>
            </w:pPr>
            <w:r>
              <w:rPr>
                <w:szCs w:val="21"/>
              </w:rPr>
              <w:t>固废</w:t>
            </w:r>
          </w:p>
        </w:tc>
        <w:tc>
          <w:tcPr>
            <w:tcW w:w="1436" w:type="dxa"/>
            <w:tcBorders>
              <w:tl2br w:val="nil"/>
              <w:tr2bl w:val="nil"/>
            </w:tcBorders>
            <w:vAlign w:val="center"/>
          </w:tcPr>
          <w:p>
            <w:pPr>
              <w:spacing w:line="240" w:lineRule="exact"/>
              <w:jc w:val="center"/>
              <w:rPr>
                <w:color w:val="000000"/>
                <w:szCs w:val="21"/>
              </w:rPr>
            </w:pPr>
            <w:r>
              <w:rPr>
                <w:rFonts w:hint="eastAsia"/>
                <w:color w:val="000000"/>
                <w:szCs w:val="21"/>
              </w:rPr>
              <w:t>渗滤液处理车间</w:t>
            </w:r>
          </w:p>
        </w:tc>
        <w:tc>
          <w:tcPr>
            <w:tcW w:w="1121" w:type="dxa"/>
            <w:tcBorders>
              <w:tl2br w:val="nil"/>
              <w:tr2bl w:val="nil"/>
            </w:tcBorders>
            <w:vAlign w:val="center"/>
          </w:tcPr>
          <w:p>
            <w:pPr>
              <w:spacing w:line="240" w:lineRule="exact"/>
              <w:jc w:val="center"/>
              <w:rPr>
                <w:szCs w:val="21"/>
              </w:rPr>
            </w:pPr>
            <w:r>
              <w:rPr>
                <w:rFonts w:hint="eastAsia"/>
                <w:bCs/>
                <w:kern w:val="0"/>
                <w:szCs w:val="21"/>
              </w:rPr>
              <w:t>滤渣</w:t>
            </w:r>
          </w:p>
        </w:tc>
        <w:tc>
          <w:tcPr>
            <w:tcW w:w="5904" w:type="dxa"/>
            <w:vMerge w:val="restart"/>
            <w:tcBorders>
              <w:tl2br w:val="nil"/>
              <w:tr2bl w:val="nil"/>
            </w:tcBorders>
            <w:vAlign w:val="center"/>
          </w:tcPr>
          <w:p>
            <w:pPr>
              <w:spacing w:line="280" w:lineRule="exact"/>
              <w:jc w:val="center"/>
              <w:rPr>
                <w:szCs w:val="21"/>
              </w:rPr>
            </w:pPr>
            <w:r>
              <w:rPr>
                <w:rFonts w:hint="eastAsia"/>
                <w:szCs w:val="21"/>
              </w:rPr>
              <w:t>收集后送至场内库区进行处置</w:t>
            </w:r>
          </w:p>
        </w:tc>
        <w:tc>
          <w:tcPr>
            <w:tcW w:w="1152" w:type="dxa"/>
            <w:vMerge w:val="restart"/>
            <w:tcBorders>
              <w:tl2br w:val="nil"/>
              <w:tr2bl w:val="nil"/>
            </w:tcBorders>
            <w:vAlign w:val="center"/>
          </w:tcPr>
          <w:p>
            <w:pPr>
              <w:spacing w:line="280" w:lineRule="exact"/>
              <w:jc w:val="center"/>
              <w:rPr>
                <w:szCs w:val="21"/>
              </w:rPr>
            </w:pPr>
            <w:r>
              <w:rPr>
                <w:bCs/>
                <w:kern w:val="0"/>
                <w:szCs w:val="21"/>
              </w:rPr>
              <w:t>合理</w:t>
            </w:r>
            <w:r>
              <w:rPr>
                <w:szCs w:val="21"/>
              </w:rPr>
              <w:t>处置</w:t>
            </w:r>
          </w:p>
        </w:tc>
        <w:tc>
          <w:tcPr>
            <w:tcW w:w="888" w:type="dxa"/>
            <w:vMerge w:val="restart"/>
            <w:tcBorders>
              <w:tl2br w:val="nil"/>
              <w:tr2bl w:val="nil"/>
            </w:tcBorders>
            <w:vAlign w:val="center"/>
          </w:tcPr>
          <w:p>
            <w:pPr>
              <w:spacing w:line="280" w:lineRule="exact"/>
              <w:jc w:val="center"/>
              <w:rPr>
                <w:szCs w:val="21"/>
              </w:rPr>
            </w:pPr>
            <w:r>
              <w:rPr>
                <w:szCs w:val="21"/>
              </w:rPr>
              <w:t>/</w:t>
            </w:r>
          </w:p>
        </w:tc>
        <w:tc>
          <w:tcPr>
            <w:tcW w:w="696" w:type="dxa"/>
            <w:vMerge w:val="restart"/>
            <w:tcBorders>
              <w:tl2br w:val="nil"/>
              <w:tr2bl w:val="nil"/>
            </w:tcBorders>
            <w:vAlign w:val="center"/>
          </w:tcPr>
          <w:p>
            <w:pPr>
              <w:spacing w:line="280" w:lineRule="exact"/>
              <w:jc w:val="center"/>
              <w:rPr>
                <w:szCs w:val="21"/>
              </w:rPr>
            </w:pPr>
            <w:r>
              <w:rPr>
                <w:rFonts w:hint="eastAsia"/>
                <w:szCs w:val="21"/>
              </w:rPr>
              <w:t>间歇</w:t>
            </w:r>
          </w:p>
        </w:tc>
        <w:tc>
          <w:tcPr>
            <w:tcW w:w="2397" w:type="dxa"/>
            <w:vMerge w:val="restart"/>
            <w:tcBorders>
              <w:tl2br w:val="nil"/>
              <w:tr2bl w:val="nil"/>
            </w:tcBorders>
            <w:vAlign w:val="center"/>
          </w:tcPr>
          <w:p>
            <w:pPr>
              <w:spacing w:line="240" w:lineRule="exact"/>
              <w:jc w:val="center"/>
              <w:rPr>
                <w:szCs w:val="21"/>
              </w:rPr>
            </w:pPr>
            <w:r>
              <w:rPr>
                <w:szCs w:val="21"/>
              </w:rPr>
              <w:t>《生活垃圾填埋场污染控制标准》(GB16889</w:t>
            </w:r>
          </w:p>
          <w:p>
            <w:pPr>
              <w:spacing w:line="240" w:lineRule="exact"/>
              <w:jc w:val="center"/>
              <w:rPr>
                <w:szCs w:val="21"/>
              </w:rPr>
            </w:pPr>
            <w:r>
              <w:rPr>
                <w:szCs w:val="21"/>
              </w:rPr>
              <w:t>-2008)相关入场要求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vMerge w:val="continue"/>
            <w:tcBorders>
              <w:tl2br w:val="nil"/>
              <w:tr2bl w:val="nil"/>
            </w:tcBorders>
            <w:vAlign w:val="center"/>
          </w:tcPr>
          <w:p>
            <w:pPr>
              <w:spacing w:line="280" w:lineRule="exact"/>
              <w:jc w:val="center"/>
              <w:rPr>
                <w:szCs w:val="21"/>
              </w:rPr>
            </w:pPr>
          </w:p>
        </w:tc>
        <w:tc>
          <w:tcPr>
            <w:tcW w:w="1436" w:type="dxa"/>
            <w:tcBorders>
              <w:tl2br w:val="nil"/>
              <w:tr2bl w:val="nil"/>
            </w:tcBorders>
            <w:vAlign w:val="center"/>
          </w:tcPr>
          <w:p>
            <w:pPr>
              <w:spacing w:line="240" w:lineRule="exact"/>
              <w:jc w:val="center"/>
              <w:rPr>
                <w:color w:val="000000"/>
                <w:szCs w:val="21"/>
              </w:rPr>
            </w:pPr>
            <w:r>
              <w:rPr>
                <w:rFonts w:hint="eastAsia"/>
                <w:color w:val="000000"/>
                <w:szCs w:val="21"/>
              </w:rPr>
              <w:t>值班人员</w:t>
            </w:r>
          </w:p>
        </w:tc>
        <w:tc>
          <w:tcPr>
            <w:tcW w:w="1121" w:type="dxa"/>
            <w:tcBorders>
              <w:tl2br w:val="nil"/>
              <w:tr2bl w:val="nil"/>
            </w:tcBorders>
            <w:vAlign w:val="center"/>
          </w:tcPr>
          <w:p>
            <w:pPr>
              <w:spacing w:line="240" w:lineRule="exact"/>
              <w:jc w:val="center"/>
              <w:rPr>
                <w:szCs w:val="21"/>
              </w:rPr>
            </w:pPr>
            <w:r>
              <w:rPr>
                <w:rFonts w:hint="eastAsia"/>
                <w:bCs/>
                <w:kern w:val="0"/>
                <w:szCs w:val="21"/>
              </w:rPr>
              <w:t>生活垃圾</w:t>
            </w:r>
          </w:p>
        </w:tc>
        <w:tc>
          <w:tcPr>
            <w:tcW w:w="5904" w:type="dxa"/>
            <w:vMerge w:val="continue"/>
            <w:tcBorders>
              <w:tl2br w:val="nil"/>
              <w:tr2bl w:val="nil"/>
            </w:tcBorders>
            <w:vAlign w:val="center"/>
          </w:tcPr>
          <w:p>
            <w:pPr>
              <w:spacing w:line="280" w:lineRule="exact"/>
              <w:jc w:val="center"/>
              <w:rPr>
                <w:szCs w:val="21"/>
              </w:rPr>
            </w:pPr>
          </w:p>
        </w:tc>
        <w:tc>
          <w:tcPr>
            <w:tcW w:w="1152" w:type="dxa"/>
            <w:vMerge w:val="continue"/>
            <w:tcBorders>
              <w:tl2br w:val="nil"/>
              <w:tr2bl w:val="nil"/>
            </w:tcBorders>
            <w:vAlign w:val="center"/>
          </w:tcPr>
          <w:p>
            <w:pPr>
              <w:spacing w:line="280" w:lineRule="exact"/>
              <w:jc w:val="center"/>
              <w:rPr>
                <w:szCs w:val="21"/>
              </w:rPr>
            </w:pPr>
          </w:p>
        </w:tc>
        <w:tc>
          <w:tcPr>
            <w:tcW w:w="888" w:type="dxa"/>
            <w:vMerge w:val="continue"/>
            <w:tcBorders>
              <w:tl2br w:val="nil"/>
              <w:tr2bl w:val="nil"/>
            </w:tcBorders>
            <w:vAlign w:val="center"/>
          </w:tcPr>
          <w:p>
            <w:pPr>
              <w:spacing w:line="280" w:lineRule="exact"/>
              <w:jc w:val="center"/>
              <w:rPr>
                <w:szCs w:val="21"/>
              </w:rPr>
            </w:pPr>
          </w:p>
        </w:tc>
        <w:tc>
          <w:tcPr>
            <w:tcW w:w="696" w:type="dxa"/>
            <w:vMerge w:val="continue"/>
            <w:tcBorders>
              <w:tl2br w:val="nil"/>
              <w:tr2bl w:val="nil"/>
            </w:tcBorders>
            <w:vAlign w:val="center"/>
          </w:tcPr>
          <w:p>
            <w:pPr>
              <w:spacing w:line="280" w:lineRule="exact"/>
              <w:jc w:val="center"/>
              <w:rPr>
                <w:szCs w:val="21"/>
              </w:rPr>
            </w:pPr>
          </w:p>
        </w:tc>
        <w:tc>
          <w:tcPr>
            <w:tcW w:w="2397" w:type="dxa"/>
            <w:vMerge w:val="continue"/>
            <w:tcBorders>
              <w:tl2br w:val="nil"/>
              <w:tr2bl w:val="nil"/>
            </w:tcBorders>
            <w:vAlign w:val="center"/>
          </w:tcPr>
          <w:p>
            <w:pPr>
              <w:spacing w:line="28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vMerge w:val="continue"/>
            <w:tcBorders>
              <w:tl2br w:val="nil"/>
              <w:tr2bl w:val="nil"/>
            </w:tcBorders>
            <w:vAlign w:val="center"/>
          </w:tcPr>
          <w:p>
            <w:pPr>
              <w:spacing w:line="280" w:lineRule="exact"/>
              <w:jc w:val="center"/>
              <w:rPr>
                <w:szCs w:val="21"/>
              </w:rPr>
            </w:pPr>
          </w:p>
        </w:tc>
        <w:tc>
          <w:tcPr>
            <w:tcW w:w="1436" w:type="dxa"/>
            <w:tcBorders>
              <w:tl2br w:val="nil"/>
              <w:tr2bl w:val="nil"/>
            </w:tcBorders>
            <w:vAlign w:val="center"/>
          </w:tcPr>
          <w:p>
            <w:pPr>
              <w:spacing w:line="240" w:lineRule="exact"/>
              <w:jc w:val="center"/>
              <w:rPr>
                <w:color w:val="000000"/>
                <w:szCs w:val="21"/>
              </w:rPr>
            </w:pPr>
            <w:r>
              <w:rPr>
                <w:rFonts w:hint="eastAsia"/>
                <w:color w:val="000000"/>
                <w:szCs w:val="21"/>
              </w:rPr>
              <w:t>值班人员</w:t>
            </w:r>
          </w:p>
        </w:tc>
        <w:tc>
          <w:tcPr>
            <w:tcW w:w="1121" w:type="dxa"/>
            <w:tcBorders>
              <w:tl2br w:val="nil"/>
              <w:tr2bl w:val="nil"/>
            </w:tcBorders>
            <w:vAlign w:val="center"/>
          </w:tcPr>
          <w:p>
            <w:pPr>
              <w:spacing w:line="240" w:lineRule="exact"/>
              <w:jc w:val="center"/>
              <w:rPr>
                <w:bCs/>
                <w:kern w:val="0"/>
                <w:szCs w:val="21"/>
              </w:rPr>
            </w:pPr>
            <w:r>
              <w:rPr>
                <w:rFonts w:hint="eastAsia"/>
                <w:bCs/>
                <w:kern w:val="0"/>
                <w:szCs w:val="21"/>
              </w:rPr>
              <w:t>粪渣</w:t>
            </w:r>
          </w:p>
        </w:tc>
        <w:tc>
          <w:tcPr>
            <w:tcW w:w="5904" w:type="dxa"/>
            <w:tcBorders>
              <w:tl2br w:val="nil"/>
              <w:tr2bl w:val="nil"/>
            </w:tcBorders>
            <w:vAlign w:val="center"/>
          </w:tcPr>
          <w:p>
            <w:pPr>
              <w:spacing w:line="280" w:lineRule="exact"/>
              <w:jc w:val="center"/>
              <w:rPr>
                <w:szCs w:val="21"/>
              </w:rPr>
            </w:pPr>
            <w:r>
              <w:rPr>
                <w:szCs w:val="21"/>
              </w:rPr>
              <w:t>由环卫定期清掏，妥善处置后送农田施肥</w:t>
            </w:r>
          </w:p>
        </w:tc>
        <w:tc>
          <w:tcPr>
            <w:tcW w:w="1152" w:type="dxa"/>
            <w:tcBorders>
              <w:tl2br w:val="nil"/>
              <w:tr2bl w:val="nil"/>
            </w:tcBorders>
            <w:vAlign w:val="center"/>
          </w:tcPr>
          <w:p>
            <w:pPr>
              <w:spacing w:line="280" w:lineRule="exact"/>
              <w:jc w:val="center"/>
              <w:rPr>
                <w:szCs w:val="21"/>
              </w:rPr>
            </w:pPr>
            <w:r>
              <w:rPr>
                <w:szCs w:val="21"/>
              </w:rPr>
              <w:t>合理处置</w:t>
            </w:r>
          </w:p>
        </w:tc>
        <w:tc>
          <w:tcPr>
            <w:tcW w:w="888" w:type="dxa"/>
            <w:tcBorders>
              <w:tl2br w:val="nil"/>
              <w:tr2bl w:val="nil"/>
            </w:tcBorders>
            <w:vAlign w:val="center"/>
          </w:tcPr>
          <w:p>
            <w:pPr>
              <w:spacing w:line="280" w:lineRule="exact"/>
              <w:jc w:val="center"/>
              <w:rPr>
                <w:szCs w:val="21"/>
              </w:rPr>
            </w:pPr>
            <w:r>
              <w:rPr>
                <w:rFonts w:hint="eastAsia"/>
                <w:szCs w:val="21"/>
              </w:rPr>
              <w:t>/</w:t>
            </w:r>
          </w:p>
        </w:tc>
        <w:tc>
          <w:tcPr>
            <w:tcW w:w="696" w:type="dxa"/>
            <w:tcBorders>
              <w:tl2br w:val="nil"/>
              <w:tr2bl w:val="nil"/>
            </w:tcBorders>
            <w:vAlign w:val="center"/>
          </w:tcPr>
          <w:p>
            <w:pPr>
              <w:spacing w:line="280" w:lineRule="exact"/>
              <w:jc w:val="center"/>
              <w:rPr>
                <w:szCs w:val="21"/>
              </w:rPr>
            </w:pPr>
            <w:r>
              <w:rPr>
                <w:szCs w:val="21"/>
              </w:rPr>
              <w:t>间歇</w:t>
            </w:r>
          </w:p>
        </w:tc>
        <w:tc>
          <w:tcPr>
            <w:tcW w:w="2397" w:type="dxa"/>
            <w:tcBorders>
              <w:tl2br w:val="nil"/>
              <w:tr2bl w:val="nil"/>
            </w:tcBorders>
            <w:vAlign w:val="center"/>
          </w:tcPr>
          <w:p>
            <w:pPr>
              <w:spacing w:line="280" w:lineRule="exact"/>
              <w:jc w:val="center"/>
              <w:rPr>
                <w:szCs w:val="21"/>
              </w:rPr>
            </w:pPr>
            <w:r>
              <w:rPr>
                <w:szCs w:val="21"/>
              </w:rPr>
              <w:t>合理处置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4" w:hRule="exact"/>
          <w:jc w:val="center"/>
        </w:trPr>
        <w:tc>
          <w:tcPr>
            <w:tcW w:w="645" w:type="dxa"/>
            <w:vMerge w:val="restart"/>
            <w:tcBorders>
              <w:tl2br w:val="nil"/>
              <w:tr2bl w:val="nil"/>
            </w:tcBorders>
            <w:vAlign w:val="center"/>
          </w:tcPr>
          <w:p>
            <w:pPr>
              <w:spacing w:line="280" w:lineRule="exact"/>
              <w:jc w:val="center"/>
              <w:rPr>
                <w:szCs w:val="21"/>
              </w:rPr>
            </w:pPr>
            <w:r>
              <w:rPr>
                <w:rFonts w:hint="eastAsia"/>
                <w:szCs w:val="21"/>
              </w:rPr>
              <w:t>封场后</w:t>
            </w:r>
          </w:p>
        </w:tc>
        <w:tc>
          <w:tcPr>
            <w:tcW w:w="655" w:type="dxa"/>
            <w:tcBorders>
              <w:tl2br w:val="nil"/>
              <w:tr2bl w:val="nil"/>
            </w:tcBorders>
            <w:vAlign w:val="center"/>
          </w:tcPr>
          <w:p>
            <w:pPr>
              <w:spacing w:line="240" w:lineRule="exact"/>
              <w:jc w:val="center"/>
              <w:rPr>
                <w:bCs/>
                <w:szCs w:val="21"/>
                <w:lang w:val="zh-CN"/>
              </w:rPr>
            </w:pPr>
            <w:r>
              <w:rPr>
                <w:rFonts w:hint="eastAsia"/>
                <w:bCs/>
                <w:szCs w:val="21"/>
                <w:lang w:val="zh-CN"/>
              </w:rPr>
              <w:t>废气</w:t>
            </w:r>
          </w:p>
        </w:tc>
        <w:tc>
          <w:tcPr>
            <w:tcW w:w="1436" w:type="dxa"/>
            <w:tcBorders>
              <w:tl2br w:val="nil"/>
              <w:tr2bl w:val="nil"/>
            </w:tcBorders>
            <w:vAlign w:val="center"/>
          </w:tcPr>
          <w:p>
            <w:pPr>
              <w:spacing w:line="240" w:lineRule="exact"/>
              <w:jc w:val="center"/>
              <w:rPr>
                <w:color w:val="000000"/>
                <w:szCs w:val="21"/>
              </w:rPr>
            </w:pPr>
            <w:r>
              <w:rPr>
                <w:rFonts w:hint="eastAsia"/>
                <w:color w:val="000000"/>
                <w:szCs w:val="21"/>
              </w:rPr>
              <w:t>填埋气</w:t>
            </w:r>
          </w:p>
        </w:tc>
        <w:tc>
          <w:tcPr>
            <w:tcW w:w="1121" w:type="dxa"/>
            <w:vMerge w:val="restart"/>
            <w:tcBorders>
              <w:tl2br w:val="nil"/>
              <w:tr2bl w:val="nil"/>
            </w:tcBorders>
            <w:vAlign w:val="center"/>
          </w:tcPr>
          <w:p>
            <w:pPr>
              <w:spacing w:line="240" w:lineRule="exact"/>
              <w:jc w:val="center"/>
              <w:rPr>
                <w:bCs/>
                <w:kern w:val="0"/>
                <w:szCs w:val="21"/>
              </w:rPr>
            </w:pPr>
            <w:r>
              <w:rPr>
                <w:rFonts w:hint="eastAsia"/>
                <w:bCs/>
                <w:kern w:val="0"/>
                <w:szCs w:val="21"/>
              </w:rPr>
              <w:t>参照运营期</w:t>
            </w:r>
          </w:p>
        </w:tc>
        <w:tc>
          <w:tcPr>
            <w:tcW w:w="5904" w:type="dxa"/>
            <w:vMerge w:val="restart"/>
            <w:tcBorders>
              <w:tl2br w:val="nil"/>
              <w:tr2bl w:val="nil"/>
            </w:tcBorders>
            <w:vAlign w:val="center"/>
          </w:tcPr>
          <w:p>
            <w:pPr>
              <w:spacing w:line="240" w:lineRule="exact"/>
              <w:jc w:val="left"/>
              <w:rPr>
                <w:kern w:val="24"/>
                <w:szCs w:val="21"/>
              </w:rPr>
            </w:pPr>
            <w:r>
              <w:rPr>
                <w:rFonts w:hint="eastAsia"/>
                <w:kern w:val="24"/>
                <w:szCs w:val="21"/>
              </w:rPr>
              <w:t>1、按要求进行垃圾堆体整形、终场覆盖、堆体表面敷设排水沟等封场处理，终场覆盖各层应具有排气、防渗、排水、绿化土层等功能；2、继续进行维护管理工作。包括维护最终覆盖层的完整性和有效性；继续进行渗滤液和填埋气的收集、处理；继续监测地下水水质的变化等。</w:t>
            </w:r>
          </w:p>
          <w:p>
            <w:pPr>
              <w:spacing w:line="240" w:lineRule="exact"/>
              <w:jc w:val="left"/>
              <w:rPr>
                <w:kern w:val="24"/>
                <w:szCs w:val="21"/>
              </w:rPr>
            </w:pPr>
          </w:p>
        </w:tc>
        <w:tc>
          <w:tcPr>
            <w:tcW w:w="1152" w:type="dxa"/>
            <w:vMerge w:val="restart"/>
            <w:tcBorders>
              <w:tl2br w:val="nil"/>
              <w:tr2bl w:val="nil"/>
            </w:tcBorders>
            <w:vAlign w:val="center"/>
          </w:tcPr>
          <w:p>
            <w:pPr>
              <w:spacing w:line="280" w:lineRule="exact"/>
              <w:jc w:val="center"/>
              <w:rPr>
                <w:bCs/>
                <w:kern w:val="0"/>
                <w:szCs w:val="21"/>
              </w:rPr>
            </w:pPr>
            <w:r>
              <w:rPr>
                <w:rFonts w:hint="eastAsia"/>
                <w:bCs/>
                <w:kern w:val="0"/>
                <w:szCs w:val="21"/>
              </w:rPr>
              <w:t>参照运营期</w:t>
            </w:r>
          </w:p>
        </w:tc>
        <w:tc>
          <w:tcPr>
            <w:tcW w:w="888" w:type="dxa"/>
            <w:vMerge w:val="restart"/>
            <w:tcBorders>
              <w:tl2br w:val="nil"/>
              <w:tr2bl w:val="nil"/>
            </w:tcBorders>
            <w:vAlign w:val="center"/>
          </w:tcPr>
          <w:p>
            <w:pPr>
              <w:spacing w:line="280" w:lineRule="exact"/>
              <w:jc w:val="center"/>
              <w:rPr>
                <w:szCs w:val="21"/>
              </w:rPr>
            </w:pPr>
            <w:r>
              <w:rPr>
                <w:rFonts w:hint="eastAsia"/>
                <w:szCs w:val="21"/>
              </w:rPr>
              <w:t>参照运营期</w:t>
            </w:r>
          </w:p>
        </w:tc>
        <w:tc>
          <w:tcPr>
            <w:tcW w:w="696" w:type="dxa"/>
            <w:vMerge w:val="restart"/>
            <w:tcBorders>
              <w:tl2br w:val="nil"/>
              <w:tr2bl w:val="nil"/>
            </w:tcBorders>
            <w:vAlign w:val="center"/>
          </w:tcPr>
          <w:p>
            <w:pPr>
              <w:spacing w:line="280" w:lineRule="exact"/>
              <w:jc w:val="center"/>
              <w:rPr>
                <w:szCs w:val="21"/>
              </w:rPr>
            </w:pPr>
            <w:r>
              <w:rPr>
                <w:rFonts w:hint="eastAsia"/>
                <w:szCs w:val="21"/>
              </w:rPr>
              <w:t>间歇</w:t>
            </w:r>
          </w:p>
        </w:tc>
        <w:tc>
          <w:tcPr>
            <w:tcW w:w="2397" w:type="dxa"/>
            <w:vMerge w:val="restart"/>
            <w:tcBorders>
              <w:tl2br w:val="nil"/>
              <w:tr2bl w:val="nil"/>
            </w:tcBorders>
            <w:vAlign w:val="center"/>
          </w:tcPr>
          <w:p>
            <w:pPr>
              <w:spacing w:line="280" w:lineRule="exact"/>
              <w:jc w:val="center"/>
              <w:rPr>
                <w:szCs w:val="21"/>
              </w:rPr>
            </w:pPr>
            <w:r>
              <w:rPr>
                <w:szCs w:val="21"/>
              </w:rPr>
              <w:t>《生活垃圾填埋场污染控制标准》(GB16889-2008)相关</w:t>
            </w:r>
            <w:r>
              <w:rPr>
                <w:rFonts w:hint="eastAsia"/>
                <w:szCs w:val="21"/>
              </w:rPr>
              <w:t>封</w:t>
            </w:r>
            <w:r>
              <w:rPr>
                <w:szCs w:val="21"/>
              </w:rPr>
              <w:t>场要求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81" w:hRule="exact"/>
          <w:jc w:val="center"/>
        </w:trPr>
        <w:tc>
          <w:tcPr>
            <w:tcW w:w="645" w:type="dxa"/>
            <w:vMerge w:val="continue"/>
            <w:tcBorders>
              <w:tl2br w:val="nil"/>
              <w:tr2bl w:val="nil"/>
            </w:tcBorders>
            <w:vAlign w:val="center"/>
          </w:tcPr>
          <w:p>
            <w:pPr>
              <w:spacing w:line="280" w:lineRule="exact"/>
              <w:jc w:val="center"/>
              <w:rPr>
                <w:szCs w:val="21"/>
              </w:rPr>
            </w:pPr>
          </w:p>
        </w:tc>
        <w:tc>
          <w:tcPr>
            <w:tcW w:w="655" w:type="dxa"/>
            <w:tcBorders>
              <w:tl2br w:val="nil"/>
              <w:tr2bl w:val="nil"/>
            </w:tcBorders>
            <w:vAlign w:val="center"/>
          </w:tcPr>
          <w:p>
            <w:pPr>
              <w:spacing w:line="240" w:lineRule="exact"/>
              <w:jc w:val="center"/>
              <w:rPr>
                <w:bCs/>
                <w:szCs w:val="21"/>
                <w:lang w:val="zh-CN"/>
              </w:rPr>
            </w:pPr>
            <w:r>
              <w:rPr>
                <w:rFonts w:hint="eastAsia"/>
                <w:bCs/>
                <w:szCs w:val="21"/>
                <w:lang w:val="zh-CN"/>
              </w:rPr>
              <w:t>废水</w:t>
            </w:r>
          </w:p>
        </w:tc>
        <w:tc>
          <w:tcPr>
            <w:tcW w:w="1436" w:type="dxa"/>
            <w:tcBorders>
              <w:tl2br w:val="nil"/>
              <w:tr2bl w:val="nil"/>
            </w:tcBorders>
            <w:vAlign w:val="center"/>
          </w:tcPr>
          <w:p>
            <w:pPr>
              <w:spacing w:line="240" w:lineRule="exact"/>
              <w:jc w:val="center"/>
              <w:rPr>
                <w:color w:val="000000"/>
                <w:szCs w:val="21"/>
              </w:rPr>
            </w:pPr>
            <w:r>
              <w:rPr>
                <w:rFonts w:hint="eastAsia"/>
                <w:color w:val="000000"/>
                <w:szCs w:val="21"/>
              </w:rPr>
              <w:t>垃圾渗滤液</w:t>
            </w:r>
          </w:p>
        </w:tc>
        <w:tc>
          <w:tcPr>
            <w:tcW w:w="1121" w:type="dxa"/>
            <w:vMerge w:val="continue"/>
            <w:tcBorders>
              <w:tl2br w:val="nil"/>
              <w:tr2bl w:val="nil"/>
            </w:tcBorders>
            <w:vAlign w:val="center"/>
          </w:tcPr>
          <w:p>
            <w:pPr>
              <w:spacing w:line="240" w:lineRule="exact"/>
              <w:jc w:val="center"/>
              <w:rPr>
                <w:bCs/>
                <w:kern w:val="0"/>
                <w:szCs w:val="21"/>
              </w:rPr>
            </w:pPr>
          </w:p>
        </w:tc>
        <w:tc>
          <w:tcPr>
            <w:tcW w:w="5904" w:type="dxa"/>
            <w:vMerge w:val="continue"/>
            <w:tcBorders>
              <w:tl2br w:val="nil"/>
              <w:tr2bl w:val="nil"/>
            </w:tcBorders>
            <w:vAlign w:val="center"/>
          </w:tcPr>
          <w:p>
            <w:pPr>
              <w:spacing w:line="240" w:lineRule="exact"/>
              <w:ind w:left="31" w:leftChars="15" w:right="31" w:rightChars="15"/>
              <w:jc w:val="center"/>
              <w:rPr>
                <w:kern w:val="24"/>
                <w:szCs w:val="21"/>
              </w:rPr>
            </w:pPr>
          </w:p>
        </w:tc>
        <w:tc>
          <w:tcPr>
            <w:tcW w:w="1152" w:type="dxa"/>
            <w:vMerge w:val="continue"/>
            <w:tcBorders>
              <w:tl2br w:val="nil"/>
              <w:tr2bl w:val="nil"/>
            </w:tcBorders>
            <w:vAlign w:val="center"/>
          </w:tcPr>
          <w:p>
            <w:pPr>
              <w:spacing w:line="280" w:lineRule="exact"/>
              <w:jc w:val="center"/>
              <w:rPr>
                <w:bCs/>
                <w:kern w:val="0"/>
                <w:szCs w:val="21"/>
              </w:rPr>
            </w:pPr>
          </w:p>
        </w:tc>
        <w:tc>
          <w:tcPr>
            <w:tcW w:w="888" w:type="dxa"/>
            <w:vMerge w:val="continue"/>
            <w:tcBorders>
              <w:tl2br w:val="nil"/>
              <w:tr2bl w:val="nil"/>
            </w:tcBorders>
            <w:vAlign w:val="center"/>
          </w:tcPr>
          <w:p>
            <w:pPr>
              <w:spacing w:line="280" w:lineRule="exact"/>
              <w:jc w:val="center"/>
              <w:rPr>
                <w:szCs w:val="21"/>
              </w:rPr>
            </w:pPr>
          </w:p>
        </w:tc>
        <w:tc>
          <w:tcPr>
            <w:tcW w:w="696" w:type="dxa"/>
            <w:vMerge w:val="continue"/>
            <w:tcBorders>
              <w:tl2br w:val="nil"/>
              <w:tr2bl w:val="nil"/>
            </w:tcBorders>
            <w:vAlign w:val="center"/>
          </w:tcPr>
          <w:p>
            <w:pPr>
              <w:spacing w:line="280" w:lineRule="exact"/>
              <w:jc w:val="center"/>
              <w:rPr>
                <w:szCs w:val="21"/>
              </w:rPr>
            </w:pPr>
          </w:p>
        </w:tc>
        <w:tc>
          <w:tcPr>
            <w:tcW w:w="2397" w:type="dxa"/>
            <w:vMerge w:val="continue"/>
            <w:tcBorders>
              <w:tl2br w:val="nil"/>
              <w:tr2bl w:val="nil"/>
            </w:tcBorders>
            <w:vAlign w:val="center"/>
          </w:tcPr>
          <w:p>
            <w:pPr>
              <w:spacing w:line="280" w:lineRule="exact"/>
              <w:jc w:val="center"/>
              <w:rPr>
                <w:szCs w:val="21"/>
              </w:rPr>
            </w:pPr>
          </w:p>
        </w:tc>
      </w:tr>
    </w:tbl>
    <w:p>
      <w:pPr>
        <w:pStyle w:val="11"/>
        <w:sectPr>
          <w:headerReference r:id="rId23" w:type="default"/>
          <w:pgSz w:w="16838" w:h="11906" w:orient="landscape"/>
          <w:pgMar w:top="1800" w:right="1440" w:bottom="1800" w:left="1440" w:header="851" w:footer="992" w:gutter="0"/>
          <w:cols w:space="720" w:num="1"/>
          <w:docGrid w:type="lines" w:linePitch="312" w:charSpace="0"/>
        </w:sectPr>
      </w:pPr>
    </w:p>
    <w:p>
      <w:pPr>
        <w:pStyle w:val="6"/>
        <w:spacing w:line="500" w:lineRule="exact"/>
      </w:pPr>
      <w:r>
        <w:rPr>
          <w:rFonts w:hint="eastAsia"/>
        </w:rPr>
        <w:t>8</w:t>
      </w:r>
      <w:r>
        <w:t>.1.</w:t>
      </w:r>
      <w:r>
        <w:rPr>
          <w:rFonts w:hint="eastAsia"/>
        </w:rPr>
        <w:t>5</w:t>
      </w:r>
      <w:r>
        <w:t>环境</w:t>
      </w:r>
      <w:r>
        <w:rPr>
          <w:rFonts w:hint="eastAsia"/>
        </w:rPr>
        <w:t>记录</w:t>
      </w:r>
    </w:p>
    <w:p>
      <w:pPr>
        <w:spacing w:line="500" w:lineRule="exact"/>
        <w:ind w:firstLine="480" w:firstLineChars="200"/>
        <w:rPr>
          <w:color w:val="000000"/>
          <w:sz w:val="24"/>
        </w:rPr>
      </w:pPr>
      <w:r>
        <w:rPr>
          <w:rFonts w:hint="eastAsia"/>
          <w:color w:val="000000"/>
          <w:sz w:val="24"/>
        </w:rPr>
        <w:t>生活垃圾填埋场运行期以及封场后期维护与管理期间，应建立运行情况记录制度，如实记载有关运行管理情况，主要包括生活垃圾处理、处置设备工艺控制参数，进入生活垃圾填埋场处置的非生活垃圾的来源、种类、数量、填埋位置，封场及后期维护与管理情况及环境监测数据等。运行情况记录簿应当按照国家有关档案管理等法律法规进行整理和保管。</w:t>
      </w:r>
    </w:p>
    <w:p>
      <w:pPr>
        <w:pStyle w:val="5"/>
        <w:spacing w:beforeLines="0" w:after="120" w:line="500" w:lineRule="exact"/>
        <w:rPr>
          <w:rFonts w:eastAsia="宋体"/>
          <w:b/>
          <w:bCs w:val="0"/>
          <w:color w:val="auto"/>
          <w:szCs w:val="30"/>
        </w:rPr>
      </w:pPr>
      <w:bookmarkStart w:id="190" w:name="_Toc1696312677"/>
      <w:bookmarkStart w:id="191" w:name="_Toc8087"/>
      <w:bookmarkStart w:id="192" w:name="_Toc364787198"/>
      <w:r>
        <w:rPr>
          <w:rFonts w:eastAsia="宋体"/>
          <w:b/>
          <w:bCs w:val="0"/>
          <w:color w:val="auto"/>
          <w:szCs w:val="30"/>
        </w:rPr>
        <w:t>8.2 环境监测</w:t>
      </w:r>
      <w:bookmarkEnd w:id="190"/>
      <w:bookmarkEnd w:id="191"/>
      <w:bookmarkEnd w:id="192"/>
    </w:p>
    <w:p>
      <w:pPr>
        <w:pStyle w:val="6"/>
        <w:spacing w:line="500" w:lineRule="exact"/>
      </w:pPr>
      <w:r>
        <w:rPr>
          <w:rFonts w:hint="eastAsia"/>
        </w:rPr>
        <w:t>8</w:t>
      </w:r>
      <w:r>
        <w:t>.</w:t>
      </w:r>
      <w:r>
        <w:rPr>
          <w:rFonts w:hint="eastAsia"/>
        </w:rPr>
        <w:t>2</w:t>
      </w:r>
      <w:r>
        <w:t>.1环境</w:t>
      </w:r>
      <w:r>
        <w:rPr>
          <w:rFonts w:hint="eastAsia"/>
        </w:rPr>
        <w:t>监测目的</w:t>
      </w:r>
    </w:p>
    <w:p>
      <w:pPr>
        <w:spacing w:line="500" w:lineRule="exact"/>
        <w:ind w:firstLine="480" w:firstLineChars="200"/>
        <w:rPr>
          <w:sz w:val="24"/>
        </w:rPr>
      </w:pPr>
      <w:r>
        <w:rPr>
          <w:rFonts w:hint="eastAsia"/>
          <w:sz w:val="24"/>
        </w:rPr>
        <w:t>制定环境监测计划的目的是为了监测工程各项环保措施的落实情况及工程对周围环境的污染情况，根据监测结果适时调整环境保护行动计划，为环保措施实施方案提供依据，同时针对本工程建设、生产和排污的特征，制定出既合理又具有可操作性的环境管理计划与方案，使其与生产管理融为一体，贯穿于生产全过程。</w:t>
      </w:r>
    </w:p>
    <w:p>
      <w:pPr>
        <w:pStyle w:val="6"/>
        <w:spacing w:line="500" w:lineRule="exact"/>
      </w:pPr>
      <w:r>
        <w:rPr>
          <w:rFonts w:hint="eastAsia"/>
        </w:rPr>
        <w:t>8</w:t>
      </w:r>
      <w:r>
        <w:t>.</w:t>
      </w:r>
      <w:r>
        <w:rPr>
          <w:rFonts w:hint="eastAsia"/>
        </w:rPr>
        <w:t>2</w:t>
      </w:r>
      <w:r>
        <w:t>.</w:t>
      </w:r>
      <w:r>
        <w:rPr>
          <w:rFonts w:hint="eastAsia"/>
        </w:rPr>
        <w:t>2</w:t>
      </w:r>
      <w:r>
        <w:t>环境</w:t>
      </w:r>
      <w:r>
        <w:rPr>
          <w:rFonts w:hint="eastAsia"/>
        </w:rPr>
        <w:t>监测计划</w:t>
      </w:r>
    </w:p>
    <w:p>
      <w:pPr>
        <w:spacing w:line="500" w:lineRule="exact"/>
        <w:ind w:firstLine="480" w:firstLineChars="200"/>
        <w:rPr>
          <w:sz w:val="24"/>
        </w:rPr>
      </w:pPr>
      <w:r>
        <w:rPr>
          <w:rFonts w:hint="eastAsia"/>
          <w:sz w:val="24"/>
        </w:rPr>
        <w:t>监测时间、频率、点位服从当地环保部门的规定和要求，监测项目针对本工程运为检查落实国家和地方的各项环保法规、标准的执行情况，为工程污染控制及管理提供依据，本项目必须建立环境监测计划，建立详细的监测检查环境程序，监测工作委外进行，对监测结果应及时统计汇总并做好监测数据的归档工作，如发现监测结果有异常，应及时反馈相关部门，并迅速查找原因，及时、妥善解决。</w:t>
      </w:r>
    </w:p>
    <w:p>
      <w:pPr>
        <w:spacing w:line="500" w:lineRule="exact"/>
        <w:ind w:firstLine="480" w:firstLineChars="200"/>
        <w:rPr>
          <w:sz w:val="24"/>
        </w:rPr>
        <w:sectPr>
          <w:headerReference r:id="rId24" w:type="default"/>
          <w:pgSz w:w="11906" w:h="16838"/>
          <w:pgMar w:top="1440" w:right="1800" w:bottom="1440" w:left="1800" w:header="851" w:footer="992" w:gutter="0"/>
          <w:cols w:space="720" w:num="1"/>
          <w:docGrid w:type="lines" w:linePitch="312" w:charSpace="0"/>
        </w:sectPr>
      </w:pPr>
      <w:r>
        <w:rPr>
          <w:rFonts w:hint="eastAsia"/>
          <w:sz w:val="24"/>
        </w:rPr>
        <w:t>根据《生活垃圾填埋场污染控制标准》(GB16889-2008)、《排污许可证申请与核发技术规范  环境卫生管理业》(HJ1106-2020)等相关要求，项目环境监测计划详见下表8.2-1、8.2-2。</w:t>
      </w:r>
    </w:p>
    <w:p>
      <w:pPr>
        <w:autoSpaceDE w:val="0"/>
        <w:autoSpaceDN w:val="0"/>
        <w:adjustRightInd w:val="0"/>
        <w:spacing w:line="500" w:lineRule="exact"/>
        <w:jc w:val="center"/>
        <w:rPr>
          <w:b/>
          <w:color w:val="000000" w:themeColor="text1"/>
          <w:spacing w:val="4"/>
          <w:sz w:val="24"/>
          <w:lang w:val="zh-CN"/>
          <w14:textFill>
            <w14:solidFill>
              <w14:schemeClr w14:val="tx1"/>
            </w14:solidFill>
          </w14:textFill>
        </w:rPr>
      </w:pPr>
      <w:r>
        <w:rPr>
          <w:b/>
          <w:color w:val="000000" w:themeColor="text1"/>
          <w:spacing w:val="4"/>
          <w:sz w:val="24"/>
          <w:lang w:val="zh-CN"/>
          <w14:textFill>
            <w14:solidFill>
              <w14:schemeClr w14:val="tx1"/>
            </w14:solidFill>
          </w14:textFill>
        </w:rPr>
        <w:t>表</w:t>
      </w:r>
      <w:r>
        <w:rPr>
          <w:rFonts w:hint="eastAsia"/>
          <w:b/>
          <w:color w:val="000000" w:themeColor="text1"/>
          <w:spacing w:val="4"/>
          <w:sz w:val="24"/>
          <w14:textFill>
            <w14:solidFill>
              <w14:schemeClr w14:val="tx1"/>
            </w14:solidFill>
          </w14:textFill>
        </w:rPr>
        <w:t>8</w:t>
      </w:r>
      <w:r>
        <w:rPr>
          <w:b/>
          <w:color w:val="000000" w:themeColor="text1"/>
          <w:spacing w:val="4"/>
          <w:sz w:val="24"/>
          <w14:textFill>
            <w14:solidFill>
              <w14:schemeClr w14:val="tx1"/>
            </w14:solidFill>
          </w14:textFill>
        </w:rPr>
        <w:t>.2</w:t>
      </w:r>
      <w:r>
        <w:rPr>
          <w:b/>
          <w:color w:val="000000" w:themeColor="text1"/>
          <w:spacing w:val="4"/>
          <w:sz w:val="24"/>
          <w:lang w:val="zh-CN"/>
          <w14:textFill>
            <w14:solidFill>
              <w14:schemeClr w14:val="tx1"/>
            </w14:solidFill>
          </w14:textFill>
        </w:rPr>
        <w:t>-1 项目</w:t>
      </w:r>
      <w:r>
        <w:rPr>
          <w:rFonts w:hint="eastAsia"/>
          <w:b/>
          <w:color w:val="000000" w:themeColor="text1"/>
          <w:spacing w:val="4"/>
          <w:sz w:val="24"/>
          <w:lang w:val="zh-CN"/>
          <w14:textFill>
            <w14:solidFill>
              <w14:schemeClr w14:val="tx1"/>
            </w14:solidFill>
          </w14:textFill>
        </w:rPr>
        <w:t>污染源</w:t>
      </w:r>
      <w:r>
        <w:rPr>
          <w:b/>
          <w:color w:val="000000" w:themeColor="text1"/>
          <w:spacing w:val="4"/>
          <w:sz w:val="24"/>
          <w:lang w:val="zh-CN"/>
          <w14:textFill>
            <w14:solidFill>
              <w14:schemeClr w14:val="tx1"/>
            </w14:solidFill>
          </w14:textFill>
        </w:rPr>
        <w:t>监测计划表</w:t>
      </w:r>
    </w:p>
    <w:tbl>
      <w:tblPr>
        <w:tblStyle w:val="29"/>
        <w:tblW w:w="493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45"/>
        <w:gridCol w:w="1428"/>
        <w:gridCol w:w="1233"/>
        <w:gridCol w:w="3483"/>
        <w:gridCol w:w="1744"/>
        <w:gridCol w:w="1744"/>
        <w:gridCol w:w="33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338" w:type="pct"/>
            <w:tcBorders>
              <w:tl2br w:val="nil"/>
              <w:tr2bl w:val="nil"/>
            </w:tcBorders>
            <w:shd w:val="clear" w:color="auto" w:fill="auto"/>
            <w:vAlign w:val="center"/>
          </w:tcPr>
          <w:p>
            <w:pPr>
              <w:snapToGrid w:val="0"/>
              <w:spacing w:line="280" w:lineRule="exact"/>
              <w:ind w:left="-120" w:leftChars="-57"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511"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监测对象</w:t>
            </w:r>
          </w:p>
        </w:tc>
        <w:tc>
          <w:tcPr>
            <w:tcW w:w="441"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监测时期</w:t>
            </w:r>
          </w:p>
        </w:tc>
        <w:tc>
          <w:tcPr>
            <w:tcW w:w="1246"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r>
              <w:rPr>
                <w:rFonts w:hint="eastAsia"/>
                <w:color w:val="000000" w:themeColor="text1"/>
                <w:szCs w:val="21"/>
                <w14:textFill>
                  <w14:solidFill>
                    <w14:schemeClr w14:val="tx1"/>
                  </w14:solidFill>
                </w14:textFill>
              </w:rPr>
              <w:t>项目</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624"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最低监测频次</w:t>
            </w:r>
          </w:p>
        </w:tc>
        <w:tc>
          <w:tcPr>
            <w:tcW w:w="1217"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5" w:hRule="atLeast"/>
          <w:jc w:val="center"/>
        </w:trPr>
        <w:tc>
          <w:tcPr>
            <w:tcW w:w="338"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11" w:type="pct"/>
            <w:vMerge w:val="restar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渗滤液</w:t>
            </w:r>
          </w:p>
        </w:tc>
        <w:tc>
          <w:tcPr>
            <w:tcW w:w="441"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pH值、流量、化学需氧量、</w:t>
            </w:r>
          </w:p>
          <w:p>
            <w:pPr>
              <w:snapToGrid w:val="0"/>
              <w:spacing w:line="28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氨氮</w:t>
            </w:r>
          </w:p>
        </w:tc>
        <w:tc>
          <w:tcPr>
            <w:tcW w:w="624"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渗滤液处理站进、出水口</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1次/天</w:t>
            </w:r>
          </w:p>
        </w:tc>
        <w:tc>
          <w:tcPr>
            <w:tcW w:w="1217"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《生活垃圾填埋场污染控制标准》(GB16889-2008)</w:t>
            </w:r>
            <w:r>
              <w:rPr>
                <w:rFonts w:hint="eastAsia"/>
                <w:color w:val="000000" w:themeColor="text1"/>
                <w:szCs w:val="21"/>
                <w14:textFill>
                  <w14:solidFill>
                    <w14:schemeClr w14:val="tx1"/>
                  </w14:solidFill>
                </w14:textFill>
              </w:rPr>
              <w:t>和《城市污水再生利用城市杂用水水质》(GB/T18920­2020)中城市绿化、道路清扫相关标准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5" w:hRule="atLeast"/>
          <w:jc w:val="center"/>
        </w:trPr>
        <w:tc>
          <w:tcPr>
            <w:tcW w:w="338"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511" w:type="pct"/>
            <w:vMerge w:val="continue"/>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p>
        </w:tc>
        <w:tc>
          <w:tcPr>
            <w:tcW w:w="441"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色度、悬浮物、五日生化需氧量、总氮、总磷、粪大肠菌群数、总汞、总镉、总铬、六价铬、总砷、总铅</w:t>
            </w:r>
          </w:p>
        </w:tc>
        <w:tc>
          <w:tcPr>
            <w:tcW w:w="624" w:type="pct"/>
            <w:vMerge w:val="continue"/>
            <w:tcBorders>
              <w:tl2br w:val="nil"/>
              <w:tr2bl w:val="nil"/>
            </w:tcBorders>
          </w:tcPr>
          <w:p>
            <w:pPr>
              <w:snapToGrid w:val="0"/>
              <w:spacing w:line="280" w:lineRule="exact"/>
              <w:jc w:val="center"/>
              <w:rPr>
                <w:color w:val="000000" w:themeColor="text1"/>
                <w:szCs w:val="21"/>
                <w14:textFill>
                  <w14:solidFill>
                    <w14:schemeClr w14:val="tx1"/>
                  </w14:solidFill>
                </w14:textFill>
              </w:rPr>
            </w:pP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r>
              <w:rPr>
                <w:rFonts w:hint="eastAsia"/>
                <w:color w:val="000000" w:themeColor="text1"/>
                <w:szCs w:val="21"/>
                <w14:textFill>
                  <w14:solidFill>
                    <w14:schemeClr w14:val="tx1"/>
                  </w14:solidFill>
                </w14:textFill>
              </w:rPr>
              <w:t>/季度</w:t>
            </w:r>
          </w:p>
        </w:tc>
        <w:tc>
          <w:tcPr>
            <w:tcW w:w="1217"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5" w:hRule="atLeast"/>
          <w:jc w:val="center"/>
        </w:trPr>
        <w:tc>
          <w:tcPr>
            <w:tcW w:w="338"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511" w:type="pct"/>
            <w:vMerge w:val="continue"/>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p>
        </w:tc>
        <w:tc>
          <w:tcPr>
            <w:tcW w:w="441"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封场后</w:t>
            </w: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化学需氧量、五日生化需氧量、悬浮物、总氮、氨氮</w:t>
            </w:r>
          </w:p>
        </w:tc>
        <w:tc>
          <w:tcPr>
            <w:tcW w:w="624" w:type="pct"/>
            <w:vMerge w:val="continue"/>
            <w:tcBorders>
              <w:tl2br w:val="nil"/>
              <w:tr2bl w:val="nil"/>
            </w:tcBorders>
          </w:tcPr>
          <w:p>
            <w:pPr>
              <w:snapToGrid w:val="0"/>
              <w:spacing w:line="280" w:lineRule="exact"/>
              <w:jc w:val="center"/>
              <w:rPr>
                <w:color w:val="000000" w:themeColor="text1"/>
                <w:szCs w:val="21"/>
                <w14:textFill>
                  <w14:solidFill>
                    <w14:schemeClr w14:val="tx1"/>
                  </w14:solidFill>
                </w14:textFill>
              </w:rPr>
            </w:pP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r>
              <w:rPr>
                <w:rFonts w:hint="eastAsia"/>
                <w:color w:val="000000" w:themeColor="text1"/>
                <w:szCs w:val="21"/>
                <w14:textFill>
                  <w14:solidFill>
                    <w14:schemeClr w14:val="tx1"/>
                  </w14:solidFill>
                </w14:textFill>
              </w:rPr>
              <w:t>/季度</w:t>
            </w:r>
          </w:p>
        </w:tc>
        <w:tc>
          <w:tcPr>
            <w:tcW w:w="1217"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5" w:hRule="atLeast"/>
          <w:jc w:val="center"/>
        </w:trPr>
        <w:tc>
          <w:tcPr>
            <w:tcW w:w="338"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511" w:type="pct"/>
            <w:vMerge w:val="continue"/>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p>
        </w:tc>
        <w:tc>
          <w:tcPr>
            <w:tcW w:w="441"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pH值、色度、总磷、粪大肠菌群数、总汞、总镉、总铬、六价铬、总砷、总铅</w:t>
            </w:r>
          </w:p>
        </w:tc>
        <w:tc>
          <w:tcPr>
            <w:tcW w:w="624" w:type="pct"/>
            <w:vMerge w:val="continue"/>
            <w:tcBorders>
              <w:tl2br w:val="nil"/>
              <w:tr2bl w:val="nil"/>
            </w:tcBorders>
          </w:tcPr>
          <w:p>
            <w:pPr>
              <w:snapToGrid w:val="0"/>
              <w:spacing w:line="280" w:lineRule="exact"/>
              <w:jc w:val="center"/>
              <w:rPr>
                <w:color w:val="000000" w:themeColor="text1"/>
                <w:szCs w:val="21"/>
                <w14:textFill>
                  <w14:solidFill>
                    <w14:schemeClr w14:val="tx1"/>
                  </w14:solidFill>
                </w14:textFill>
              </w:rPr>
            </w:pP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1次/年</w:t>
            </w:r>
          </w:p>
        </w:tc>
        <w:tc>
          <w:tcPr>
            <w:tcW w:w="1217"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0" w:hRule="atLeast"/>
          <w:jc w:val="center"/>
        </w:trPr>
        <w:tc>
          <w:tcPr>
            <w:tcW w:w="338"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11" w:type="pct"/>
            <w:vMerge w:val="restar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填埋气</w:t>
            </w:r>
          </w:p>
        </w:tc>
        <w:tc>
          <w:tcPr>
            <w:tcW w:w="441" w:type="pct"/>
            <w:vMerge w:val="restar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硫化氢、氨、臭气浓度</w:t>
            </w:r>
          </w:p>
        </w:tc>
        <w:tc>
          <w:tcPr>
            <w:tcW w:w="624" w:type="pct"/>
            <w:tcBorders>
              <w:tl2br w:val="nil"/>
              <w:tr2bl w:val="nil"/>
            </w:tcBorders>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场界上风向设1个点位，下风向设</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个点位</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1次/月</w:t>
            </w:r>
          </w:p>
        </w:tc>
        <w:tc>
          <w:tcPr>
            <w:tcW w:w="121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《恶臭污染物排放标准》（GB14554-1993）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47" w:hRule="atLeast"/>
          <w:jc w:val="center"/>
        </w:trPr>
        <w:tc>
          <w:tcPr>
            <w:tcW w:w="338"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511" w:type="pct"/>
            <w:vMerge w:val="continue"/>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p>
        </w:tc>
        <w:tc>
          <w:tcPr>
            <w:tcW w:w="441"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TSP</w:t>
            </w:r>
          </w:p>
        </w:tc>
        <w:tc>
          <w:tcPr>
            <w:tcW w:w="624" w:type="pct"/>
            <w:tcBorders>
              <w:tl2br w:val="nil"/>
              <w:tr2bl w:val="nil"/>
            </w:tcBorders>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场界上风向设1个点位，下风向设2个点位</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1次/月</w:t>
            </w:r>
          </w:p>
        </w:tc>
        <w:tc>
          <w:tcPr>
            <w:tcW w:w="121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0" w:hRule="atLeast"/>
          <w:jc w:val="center"/>
        </w:trPr>
        <w:tc>
          <w:tcPr>
            <w:tcW w:w="338"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511" w:type="pct"/>
            <w:vMerge w:val="continue"/>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p>
        </w:tc>
        <w:tc>
          <w:tcPr>
            <w:tcW w:w="441" w:type="pct"/>
            <w:vMerge w:val="continue"/>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p>
        </w:tc>
        <w:tc>
          <w:tcPr>
            <w:tcW w:w="1246"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填埋场区、填埋气排放口</w:t>
            </w:r>
            <w:r>
              <w:rPr>
                <w:rFonts w:hint="eastAsia"/>
                <w:color w:val="000000" w:themeColor="text1"/>
                <w:szCs w:val="21"/>
                <w14:textFill>
                  <w14:solidFill>
                    <w14:schemeClr w14:val="tx1"/>
                  </w14:solidFill>
                </w14:textFill>
              </w:rPr>
              <w:t>CH</w:t>
            </w:r>
            <w:r>
              <w:rPr>
                <w:rFonts w:hint="eastAsia"/>
                <w:color w:val="000000" w:themeColor="text1"/>
                <w:szCs w:val="21"/>
                <w:vertAlign w:val="subscript"/>
                <w14:textFill>
                  <w14:solidFill>
                    <w14:schemeClr w14:val="tx1"/>
                  </w14:solidFill>
                </w14:textFill>
              </w:rPr>
              <w:t>4</w:t>
            </w:r>
            <w:r>
              <w:rPr>
                <w:rFonts w:hint="eastAsia"/>
                <w:color w:val="000000" w:themeColor="text1"/>
                <w:szCs w:val="21"/>
                <w14:textFill>
                  <w14:solidFill>
                    <w14:schemeClr w14:val="tx1"/>
                  </w14:solidFill>
                </w14:textFill>
              </w:rPr>
              <w:t>体</w:t>
            </w:r>
          </w:p>
          <w:p>
            <w:pPr>
              <w:snapToGrid w:val="0"/>
              <w:spacing w:line="28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积分数</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1次/天</w:t>
            </w:r>
          </w:p>
        </w:tc>
        <w:tc>
          <w:tcPr>
            <w:tcW w:w="121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《生活垃圾填埋场污染控制标准》(GB16889-2008)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0" w:hRule="atLeast"/>
          <w:jc w:val="center"/>
        </w:trPr>
        <w:tc>
          <w:tcPr>
            <w:tcW w:w="338"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11" w:type="pc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441"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1246"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等效连续声级</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场界四周设4个点位</w:t>
            </w:r>
          </w:p>
        </w:tc>
        <w:tc>
          <w:tcPr>
            <w:tcW w:w="62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1次/月</w:t>
            </w:r>
          </w:p>
        </w:tc>
        <w:tc>
          <w:tcPr>
            <w:tcW w:w="121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《工业企业厂界环境噪声排放标准》（GB12348-2008）2类标准</w:t>
            </w:r>
          </w:p>
        </w:tc>
      </w:tr>
    </w:tbl>
    <w:p>
      <w:pPr>
        <w:autoSpaceDE w:val="0"/>
        <w:autoSpaceDN w:val="0"/>
        <w:adjustRightInd w:val="0"/>
        <w:spacing w:line="500" w:lineRule="exact"/>
        <w:jc w:val="center"/>
        <w:rPr>
          <w:b/>
          <w:spacing w:val="4"/>
          <w:sz w:val="24"/>
        </w:rPr>
      </w:pPr>
    </w:p>
    <w:p>
      <w:pPr>
        <w:autoSpaceDE w:val="0"/>
        <w:autoSpaceDN w:val="0"/>
        <w:adjustRightInd w:val="0"/>
        <w:spacing w:line="500" w:lineRule="exact"/>
        <w:jc w:val="center"/>
        <w:rPr>
          <w:b/>
          <w:color w:val="000000" w:themeColor="text1"/>
          <w:spacing w:val="4"/>
          <w:sz w:val="24"/>
          <w:lang w:val="zh-CN"/>
          <w14:textFill>
            <w14:solidFill>
              <w14:schemeClr w14:val="tx1"/>
            </w14:solidFill>
          </w14:textFill>
        </w:rPr>
      </w:pPr>
      <w:r>
        <w:rPr>
          <w:b/>
          <w:color w:val="000000" w:themeColor="text1"/>
          <w:spacing w:val="4"/>
          <w:sz w:val="24"/>
          <w:lang w:val="zh-CN"/>
          <w14:textFill>
            <w14:solidFill>
              <w14:schemeClr w14:val="tx1"/>
            </w14:solidFill>
          </w14:textFill>
        </w:rPr>
        <w:t>表</w:t>
      </w:r>
      <w:r>
        <w:rPr>
          <w:rFonts w:hint="eastAsia"/>
          <w:b/>
          <w:color w:val="000000" w:themeColor="text1"/>
          <w:spacing w:val="4"/>
          <w:sz w:val="24"/>
          <w14:textFill>
            <w14:solidFill>
              <w14:schemeClr w14:val="tx1"/>
            </w14:solidFill>
          </w14:textFill>
        </w:rPr>
        <w:t>8</w:t>
      </w:r>
      <w:r>
        <w:rPr>
          <w:b/>
          <w:color w:val="000000" w:themeColor="text1"/>
          <w:spacing w:val="4"/>
          <w:sz w:val="24"/>
          <w14:textFill>
            <w14:solidFill>
              <w14:schemeClr w14:val="tx1"/>
            </w14:solidFill>
          </w14:textFill>
        </w:rPr>
        <w:t>.2</w:t>
      </w:r>
      <w:r>
        <w:rPr>
          <w:b/>
          <w:color w:val="000000" w:themeColor="text1"/>
          <w:spacing w:val="4"/>
          <w:sz w:val="24"/>
          <w:lang w:val="zh-CN"/>
          <w14:textFill>
            <w14:solidFill>
              <w14:schemeClr w14:val="tx1"/>
            </w14:solidFill>
          </w14:textFill>
        </w:rPr>
        <w:t>-</w:t>
      </w:r>
      <w:r>
        <w:rPr>
          <w:rFonts w:hint="eastAsia"/>
          <w:b/>
          <w:color w:val="000000" w:themeColor="text1"/>
          <w:spacing w:val="4"/>
          <w:sz w:val="24"/>
          <w:lang w:val="zh-CN"/>
          <w14:textFill>
            <w14:solidFill>
              <w14:schemeClr w14:val="tx1"/>
            </w14:solidFill>
          </w14:textFill>
        </w:rPr>
        <w:t>2</w:t>
      </w:r>
      <w:r>
        <w:rPr>
          <w:b/>
          <w:color w:val="000000" w:themeColor="text1"/>
          <w:spacing w:val="4"/>
          <w:sz w:val="24"/>
          <w:lang w:val="zh-CN"/>
          <w14:textFill>
            <w14:solidFill>
              <w14:schemeClr w14:val="tx1"/>
            </w14:solidFill>
          </w14:textFill>
        </w:rPr>
        <w:t xml:space="preserve"> 项目</w:t>
      </w:r>
      <w:r>
        <w:rPr>
          <w:rFonts w:hint="eastAsia"/>
          <w:b/>
          <w:color w:val="000000" w:themeColor="text1"/>
          <w:spacing w:val="4"/>
          <w:sz w:val="24"/>
          <w:lang w:val="zh-CN"/>
          <w14:textFill>
            <w14:solidFill>
              <w14:schemeClr w14:val="tx1"/>
            </w14:solidFill>
          </w14:textFill>
        </w:rPr>
        <w:t>环境跟踪监测</w:t>
      </w:r>
      <w:r>
        <w:rPr>
          <w:b/>
          <w:color w:val="000000" w:themeColor="text1"/>
          <w:spacing w:val="4"/>
          <w:sz w:val="24"/>
          <w:lang w:val="zh-CN"/>
          <w14:textFill>
            <w14:solidFill>
              <w14:schemeClr w14:val="tx1"/>
            </w14:solidFill>
          </w14:textFill>
        </w:rPr>
        <w:t>计划表</w:t>
      </w:r>
    </w:p>
    <w:tbl>
      <w:tblPr>
        <w:tblStyle w:val="29"/>
        <w:tblW w:w="494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0"/>
        <w:gridCol w:w="1133"/>
        <w:gridCol w:w="1985"/>
        <w:gridCol w:w="2551"/>
        <w:gridCol w:w="2949"/>
        <w:gridCol w:w="1842"/>
        <w:gridCol w:w="28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64" w:type="pct"/>
            <w:tcBorders>
              <w:tl2br w:val="nil"/>
              <w:tr2bl w:val="nil"/>
            </w:tcBorders>
            <w:shd w:val="clear" w:color="auto" w:fill="auto"/>
            <w:vAlign w:val="center"/>
          </w:tcPr>
          <w:p>
            <w:pPr>
              <w:snapToGrid w:val="0"/>
              <w:spacing w:line="280" w:lineRule="exact"/>
              <w:ind w:left="-120" w:leftChars="-57"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404"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监测对象</w:t>
            </w:r>
          </w:p>
        </w:tc>
        <w:tc>
          <w:tcPr>
            <w:tcW w:w="708"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监测时期</w:t>
            </w:r>
          </w:p>
        </w:tc>
        <w:tc>
          <w:tcPr>
            <w:tcW w:w="910"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r>
              <w:rPr>
                <w:rFonts w:hint="eastAsia"/>
                <w:color w:val="000000" w:themeColor="text1"/>
                <w:szCs w:val="21"/>
                <w14:textFill>
                  <w14:solidFill>
                    <w14:schemeClr w14:val="tx1"/>
                  </w14:solidFill>
                </w14:textFill>
              </w:rPr>
              <w:t>项目</w:t>
            </w:r>
          </w:p>
        </w:tc>
        <w:tc>
          <w:tcPr>
            <w:tcW w:w="1052"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657"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c>
          <w:tcPr>
            <w:tcW w:w="1005" w:type="pct"/>
            <w:tcBorders>
              <w:tl2br w:val="nil"/>
              <w:tr2bl w:val="nil"/>
            </w:tcBorders>
            <w:shd w:val="clear" w:color="auto" w:fill="auto"/>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22" w:hRule="atLeast"/>
          <w:jc w:val="center"/>
        </w:trPr>
        <w:tc>
          <w:tcPr>
            <w:tcW w:w="26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04" w:type="pc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708"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填埋期、封场后</w:t>
            </w:r>
            <w:r>
              <w:rPr>
                <w:rFonts w:ascii="FZSSK--GBK1-0" w:hAnsi="FZSSK--GBK1-0"/>
                <w:color w:val="000000" w:themeColor="text1"/>
                <w:szCs w:val="21"/>
                <w14:textFill>
                  <w14:solidFill>
                    <w14:schemeClr w14:val="tx1"/>
                  </w14:solidFill>
                </w14:textFill>
              </w:rPr>
              <w:t>填埋场产生的渗滤液中水污染物质量浓度连续两年低于</w:t>
            </w:r>
            <w:r>
              <w:rPr>
                <w:color w:val="000000" w:themeColor="text1"/>
                <w:szCs w:val="21"/>
                <w14:textFill>
                  <w14:solidFill>
                    <w14:schemeClr w14:val="tx1"/>
                  </w14:solidFill>
                </w14:textFill>
              </w:rPr>
              <w:t>GB16889-2008表</w:t>
            </w:r>
            <w:r>
              <w:rPr>
                <w:rFonts w:hint="eastAsia"/>
                <w:color w:val="000000" w:themeColor="text1"/>
                <w:szCs w:val="21"/>
                <w14:textFill>
                  <w14:solidFill>
                    <w14:schemeClr w14:val="tx1"/>
                  </w14:solidFill>
                </w14:textFill>
              </w:rPr>
              <w:t>2中限值为止。</w:t>
            </w:r>
          </w:p>
        </w:tc>
        <w:tc>
          <w:tcPr>
            <w:tcW w:w="910" w:type="pct"/>
            <w:tcBorders>
              <w:tl2br w:val="nil"/>
              <w:tr2bl w:val="nil"/>
            </w:tcBorders>
            <w:vAlign w:val="center"/>
          </w:tcPr>
          <w:p>
            <w:pPr>
              <w:widowControl/>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pH、总硬度、溶解性总固体、高锰酸盐指数、氨氮、硝酸盐、亚硝酸盐、硫酸盐、氯化物、挥发酚、氰化物、砷、汞、六价铬、铅、氟、镉、铁、锰、铜、锌、粪大肠菌群</w:t>
            </w:r>
          </w:p>
        </w:tc>
        <w:tc>
          <w:tcPr>
            <w:tcW w:w="1052"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场地地下水流向上游30~50m处设置1眼本底井、垂直地下水流行两侧30~50m处各设置1眼污染扩散观察井、地下水流向下游30m、50m处分别设置1眼污染监视井，共计5眼</w:t>
            </w:r>
          </w:p>
        </w:tc>
        <w:tc>
          <w:tcPr>
            <w:tcW w:w="65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污染扩散井和污染监视井的水质监测频率不</w:t>
            </w:r>
            <w:r>
              <w:rPr>
                <w:rFonts w:hint="eastAsia"/>
                <w:color w:val="000000" w:themeColor="text1"/>
                <w:szCs w:val="21"/>
                <w14:textFill>
                  <w14:solidFill>
                    <w14:schemeClr w14:val="tx1"/>
                  </w14:solidFill>
                </w14:textFill>
              </w:rPr>
              <w:t>低于1次/2</w:t>
            </w:r>
            <w:r>
              <w:rPr>
                <w:color w:val="000000" w:themeColor="text1"/>
                <w:szCs w:val="21"/>
                <w14:textFill>
                  <w14:solidFill>
                    <w14:schemeClr w14:val="tx1"/>
                  </w14:solidFill>
                </w14:textFill>
              </w:rPr>
              <w:t>周，本底井的水质监测频率不</w:t>
            </w:r>
            <w:r>
              <w:rPr>
                <w:rFonts w:hint="eastAsia"/>
                <w:color w:val="000000" w:themeColor="text1"/>
                <w:szCs w:val="21"/>
                <w14:textFill>
                  <w14:solidFill>
                    <w14:schemeClr w14:val="tx1"/>
                  </w14:solidFill>
                </w14:textFill>
              </w:rPr>
              <w:t>低于1次/</w:t>
            </w:r>
            <w:r>
              <w:rPr>
                <w:color w:val="000000" w:themeColor="text1"/>
                <w:szCs w:val="21"/>
                <w14:textFill>
                  <w14:solidFill>
                    <w14:schemeClr w14:val="tx1"/>
                  </w14:solidFill>
                </w14:textFill>
              </w:rPr>
              <w:t>每</w:t>
            </w:r>
            <w:r>
              <w:rPr>
                <w:rFonts w:hint="eastAsia"/>
                <w:color w:val="000000" w:themeColor="text1"/>
                <w:szCs w:val="21"/>
                <w14:textFill>
                  <w14:solidFill>
                    <w14:schemeClr w14:val="tx1"/>
                  </w14:solidFill>
                </w14:textFill>
              </w:rPr>
              <w:t>月</w:t>
            </w:r>
          </w:p>
        </w:tc>
        <w:tc>
          <w:tcPr>
            <w:tcW w:w="1005"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《地下水质量标准》（GB/T14848-2017）Ⅲ类标准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0" w:hRule="atLeast"/>
          <w:jc w:val="center"/>
        </w:trPr>
        <w:tc>
          <w:tcPr>
            <w:tcW w:w="26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4" w:type="pc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防渗层完整性监测</w:t>
            </w:r>
          </w:p>
        </w:tc>
        <w:tc>
          <w:tcPr>
            <w:tcW w:w="708"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910"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52"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5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不低于1次/半年</w:t>
            </w:r>
          </w:p>
        </w:tc>
        <w:tc>
          <w:tcPr>
            <w:tcW w:w="1005"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《生活垃圾填埋场污染控制标准》(GB16889-2008)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0" w:hRule="atLeast"/>
          <w:jc w:val="center"/>
        </w:trPr>
        <w:tc>
          <w:tcPr>
            <w:tcW w:w="26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04" w:type="pc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垃圾堆体渗滤液水位</w:t>
            </w:r>
          </w:p>
        </w:tc>
        <w:tc>
          <w:tcPr>
            <w:tcW w:w="708"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910"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52"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依据渗滤液导流层和填埋气体导排管的分布情况确定监测点数量和位置，宜每2000m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布设一个监测点，填埋库区工况复杂时，可适当增加布设点数</w:t>
            </w:r>
          </w:p>
        </w:tc>
        <w:tc>
          <w:tcPr>
            <w:tcW w:w="65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不低于1次/</w:t>
            </w:r>
            <w:r>
              <w:rPr>
                <w:color w:val="000000" w:themeColor="text1"/>
                <w:szCs w:val="21"/>
                <w14:textFill>
                  <w14:solidFill>
                    <w14:schemeClr w14:val="tx1"/>
                  </w14:solidFill>
                </w14:textFill>
              </w:rPr>
              <w:t>每</w:t>
            </w:r>
            <w:r>
              <w:rPr>
                <w:rFonts w:hint="eastAsia"/>
                <w:color w:val="000000" w:themeColor="text1"/>
                <w:szCs w:val="21"/>
                <w14:textFill>
                  <w14:solidFill>
                    <w14:schemeClr w14:val="tx1"/>
                  </w14:solidFill>
                </w14:textFill>
              </w:rPr>
              <w:t>月，雨季不低于2次/</w:t>
            </w:r>
            <w:r>
              <w:rPr>
                <w:color w:val="000000" w:themeColor="text1"/>
                <w:szCs w:val="21"/>
                <w14:textFill>
                  <w14:solidFill>
                    <w14:schemeClr w14:val="tx1"/>
                  </w14:solidFill>
                </w14:textFill>
              </w:rPr>
              <w:t>每</w:t>
            </w:r>
            <w:r>
              <w:rPr>
                <w:rFonts w:hint="eastAsia"/>
                <w:color w:val="000000" w:themeColor="text1"/>
                <w:szCs w:val="21"/>
                <w14:textFill>
                  <w14:solidFill>
                    <w14:schemeClr w14:val="tx1"/>
                  </w14:solidFill>
                </w14:textFill>
              </w:rPr>
              <w:t>月</w:t>
            </w:r>
          </w:p>
        </w:tc>
        <w:tc>
          <w:tcPr>
            <w:tcW w:w="1005"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《生活垃圾卫生填埋场环境监测技术要求》(GB/T18772-2020)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0" w:hRule="atLeast"/>
          <w:jc w:val="center"/>
        </w:trPr>
        <w:tc>
          <w:tcPr>
            <w:tcW w:w="26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4" w:type="pc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w:t>
            </w:r>
          </w:p>
        </w:tc>
        <w:tc>
          <w:tcPr>
            <w:tcW w:w="708"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910" w:type="pct"/>
            <w:tcBorders>
              <w:tl2br w:val="nil"/>
              <w:tr2bl w:val="nil"/>
            </w:tcBorders>
            <w:vAlign w:val="center"/>
          </w:tcPr>
          <w:p>
            <w:pPr>
              <w:snapToGrid w:val="0"/>
              <w:spacing w:line="28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PH、镉、汞、砷、铅、铬、铜、镍、锌、铍、钡、硒、六价铬共13项</w:t>
            </w:r>
          </w:p>
        </w:tc>
        <w:tc>
          <w:tcPr>
            <w:tcW w:w="1052"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场外西北侧下游约50~100m的农田处设1个土壤跟踪监测点</w:t>
            </w:r>
          </w:p>
        </w:tc>
        <w:tc>
          <w:tcPr>
            <w:tcW w:w="65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不低于</w:t>
            </w:r>
            <w:r>
              <w:rPr>
                <w:color w:val="000000" w:themeColor="text1"/>
                <w:szCs w:val="21"/>
                <w14:textFill>
                  <w14:solidFill>
                    <w14:schemeClr w14:val="tx1"/>
                  </w14:solidFill>
                </w14:textFill>
              </w:rPr>
              <w:t>1次</w:t>
            </w:r>
            <w:r>
              <w:rPr>
                <w:rFonts w:hint="eastAsia"/>
                <w:color w:val="000000" w:themeColor="text1"/>
                <w:szCs w:val="21"/>
                <w14:textFill>
                  <w14:solidFill>
                    <w14:schemeClr w14:val="tx1"/>
                  </w14:solidFill>
                </w14:textFill>
              </w:rPr>
              <w:t>/5年</w:t>
            </w:r>
          </w:p>
        </w:tc>
        <w:tc>
          <w:tcPr>
            <w:tcW w:w="1005"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《土壤环境质量农用地土壤污染风险管控标准（试行）》（GB/15618-2018）中的筛选值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0" w:hRule="atLeast"/>
          <w:jc w:val="center"/>
        </w:trPr>
        <w:tc>
          <w:tcPr>
            <w:tcW w:w="264"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04" w:type="pct"/>
            <w:tcBorders>
              <w:tl2br w:val="nil"/>
              <w:tr2bl w:val="nil"/>
            </w:tcBorders>
            <w:vAlign w:val="center"/>
          </w:tcPr>
          <w:p>
            <w:pPr>
              <w:snapToGrid w:val="0"/>
              <w:spacing w:line="280" w:lineRule="exac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苍蝇密度</w:t>
            </w:r>
          </w:p>
        </w:tc>
        <w:tc>
          <w:tcPr>
            <w:tcW w:w="708"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填埋期</w:t>
            </w:r>
          </w:p>
        </w:tc>
        <w:tc>
          <w:tcPr>
            <w:tcW w:w="910"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苍蝇密度</w:t>
            </w:r>
          </w:p>
        </w:tc>
        <w:tc>
          <w:tcPr>
            <w:tcW w:w="1052"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依据填埋区作业面积及特征确定监测点位和数量，应在作业面、临时覆土面、封场面设点，宜每隔30m</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50m设一点，每个面不应少于3点，在每个监测点上放置诱蝇笼诱取苍蝇</w:t>
            </w:r>
          </w:p>
        </w:tc>
        <w:tc>
          <w:tcPr>
            <w:tcW w:w="657"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根据气候特征，一般4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10月每月监测2次，其他时间每月1次</w:t>
            </w:r>
          </w:p>
        </w:tc>
        <w:tc>
          <w:tcPr>
            <w:tcW w:w="1005" w:type="pct"/>
            <w:tcBorders>
              <w:tl2br w:val="nil"/>
              <w:tr2bl w:val="nil"/>
            </w:tcBorders>
            <w:vAlign w:val="center"/>
          </w:tcPr>
          <w:p>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《生活垃圾卫生填埋场环境监测技术要求》(GB/T18772-2020)</w:t>
            </w:r>
          </w:p>
        </w:tc>
      </w:tr>
    </w:tbl>
    <w:p>
      <w:pPr>
        <w:pStyle w:val="11"/>
        <w:ind w:firstLine="0" w:firstLineChars="0"/>
        <w:rPr>
          <w:rFonts w:eastAsia="宋体"/>
          <w:sz w:val="21"/>
          <w:szCs w:val="21"/>
        </w:rPr>
        <w:sectPr>
          <w:headerReference r:id="rId25" w:type="default"/>
          <w:pgSz w:w="16838" w:h="11906" w:orient="landscape"/>
          <w:pgMar w:top="1800" w:right="1440" w:bottom="1800" w:left="1440" w:header="851" w:footer="992" w:gutter="0"/>
          <w:cols w:space="720" w:num="1"/>
          <w:docGrid w:type="lines" w:linePitch="312" w:charSpace="0"/>
        </w:sectPr>
      </w:pPr>
    </w:p>
    <w:p>
      <w:pPr>
        <w:pStyle w:val="5"/>
        <w:spacing w:beforeLines="0" w:after="120"/>
        <w:rPr>
          <w:rFonts w:eastAsia="宋体"/>
          <w:b/>
          <w:bCs w:val="0"/>
          <w:color w:val="auto"/>
          <w:szCs w:val="30"/>
        </w:rPr>
      </w:pPr>
      <w:bookmarkStart w:id="193" w:name="_Toc1332697850"/>
      <w:r>
        <w:rPr>
          <w:rFonts w:eastAsia="宋体"/>
          <w:b/>
          <w:bCs w:val="0"/>
          <w:color w:val="auto"/>
          <w:szCs w:val="30"/>
        </w:rPr>
        <w:t>8.</w:t>
      </w:r>
      <w:r>
        <w:rPr>
          <w:rFonts w:hint="eastAsia" w:eastAsia="宋体"/>
          <w:b/>
          <w:bCs w:val="0"/>
          <w:color w:val="auto"/>
          <w:szCs w:val="30"/>
        </w:rPr>
        <w:t>3</w:t>
      </w:r>
      <w:r>
        <w:rPr>
          <w:rFonts w:eastAsia="宋体"/>
          <w:b/>
          <w:bCs w:val="0"/>
          <w:color w:val="auto"/>
          <w:szCs w:val="30"/>
        </w:rPr>
        <w:t xml:space="preserve"> 环境</w:t>
      </w:r>
      <w:r>
        <w:rPr>
          <w:rFonts w:hint="eastAsia" w:eastAsia="宋体"/>
          <w:b/>
          <w:bCs w:val="0"/>
          <w:color w:val="auto"/>
          <w:szCs w:val="30"/>
        </w:rPr>
        <w:t>保护竣工验收建议</w:t>
      </w:r>
      <w:bookmarkEnd w:id="193"/>
    </w:p>
    <w:p>
      <w:pPr>
        <w:spacing w:line="480" w:lineRule="exact"/>
        <w:ind w:firstLine="480" w:firstLineChars="200"/>
        <w:rPr>
          <w:sz w:val="24"/>
        </w:rPr>
      </w:pPr>
      <w:r>
        <w:rPr>
          <w:rFonts w:hint="eastAsia"/>
          <w:sz w:val="24"/>
        </w:rPr>
        <w:t>本项目环境保护竣工验收建议详见下表。</w:t>
      </w:r>
    </w:p>
    <w:p>
      <w:pPr>
        <w:spacing w:line="50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8.3-1项目环保竣工验收建议内容表</w:t>
      </w:r>
    </w:p>
    <w:tbl>
      <w:tblPr>
        <w:tblStyle w:val="30"/>
        <w:tblW w:w="574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6"/>
        <w:gridCol w:w="1736"/>
        <w:gridCol w:w="4517"/>
        <w:gridCol w:w="25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3" w:type="pct"/>
            <w:tcBorders>
              <w:tl2br w:val="nil"/>
              <w:tr2bl w:val="nil"/>
            </w:tcBorders>
            <w:vAlign w:val="center"/>
          </w:tcPr>
          <w:p>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类别</w:t>
            </w:r>
          </w:p>
        </w:tc>
        <w:tc>
          <w:tcPr>
            <w:tcW w:w="886" w:type="pc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排放源</w:t>
            </w:r>
          </w:p>
        </w:tc>
        <w:tc>
          <w:tcPr>
            <w:tcW w:w="2304" w:type="pc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主要环保设施及治理措施</w:t>
            </w:r>
          </w:p>
        </w:tc>
        <w:tc>
          <w:tcPr>
            <w:tcW w:w="1305" w:type="pc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验收标准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spacing w:line="32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施工期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3" w:type="pct"/>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遗留弃土堆</w:t>
            </w:r>
          </w:p>
        </w:tc>
        <w:tc>
          <w:tcPr>
            <w:tcW w:w="886"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扬尘、水土流失等</w:t>
            </w:r>
          </w:p>
        </w:tc>
        <w:tc>
          <w:tcPr>
            <w:tcW w:w="2304"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土堆进行整形，对边坡及坡脚进行防护，周边设临时截排水沟，土堆表面进行覆盖或播撒草籽等</w:t>
            </w:r>
          </w:p>
        </w:tc>
        <w:tc>
          <w:tcPr>
            <w:tcW w:w="1305"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按要求设置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5000" w:type="pct"/>
            <w:gridSpan w:val="4"/>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5" w:hRule="atLeast"/>
          <w:jc w:val="center"/>
        </w:trPr>
        <w:tc>
          <w:tcPr>
            <w:tcW w:w="503" w:type="pct"/>
            <w:vMerge w:val="restart"/>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废气</w:t>
            </w:r>
          </w:p>
        </w:tc>
        <w:tc>
          <w:tcPr>
            <w:tcW w:w="886" w:type="pct"/>
            <w:vMerge w:val="restart"/>
            <w:tcBorders>
              <w:tl2br w:val="nil"/>
              <w:tr2bl w:val="nil"/>
            </w:tcBorders>
            <w:vAlign w:val="center"/>
          </w:tcPr>
          <w:p>
            <w:pPr>
              <w:pStyle w:val="3"/>
              <w:spacing w:line="280" w:lineRule="exact"/>
              <w:ind w:left="63" w:leftChars="30" w:right="63" w:rightChars="30" w:firstLine="17"/>
              <w:jc w:val="both"/>
              <w:rPr>
                <w:color w:val="000000" w:themeColor="text1"/>
                <w:szCs w:val="21"/>
                <w14:textFill>
                  <w14:solidFill>
                    <w14:schemeClr w14:val="tx1"/>
                  </w14:solidFill>
                </w14:textFill>
              </w:rPr>
            </w:pPr>
            <w:r>
              <w:rPr>
                <w:rFonts w:hint="eastAsia" w:eastAsiaTheme="minorEastAsia"/>
                <w:kern w:val="2"/>
                <w:szCs w:val="21"/>
              </w:rPr>
              <w:t>填埋气及恶臭、粉尘、蚊蝇滋扰等</w:t>
            </w:r>
          </w:p>
        </w:tc>
        <w:tc>
          <w:tcPr>
            <w:tcW w:w="2304" w:type="pct"/>
            <w:tcBorders>
              <w:tl2br w:val="nil"/>
              <w:tr2bl w:val="nil"/>
            </w:tcBorders>
            <w:vAlign w:val="center"/>
          </w:tcPr>
          <w:p>
            <w:pPr>
              <w:pStyle w:val="3"/>
              <w:spacing w:line="280" w:lineRule="exact"/>
              <w:ind w:left="105" w:leftChars="50" w:right="105" w:rightChars="50" w:firstLine="17"/>
              <w:rPr>
                <w:color w:val="000000" w:themeColor="text1"/>
                <w:szCs w:val="21"/>
                <w14:textFill>
                  <w14:solidFill>
                    <w14:schemeClr w14:val="tx1"/>
                  </w14:solidFill>
                </w14:textFill>
              </w:rPr>
            </w:pPr>
            <w:r>
              <w:rPr>
                <w:rFonts w:hint="eastAsia"/>
                <w:szCs w:val="21"/>
              </w:rPr>
              <w:t>填埋气导排收集处理设施：主要包括25座导气石笼井、水平导气管、1座抽气机房、1套火炬式燃烧器</w:t>
            </w:r>
          </w:p>
        </w:tc>
        <w:tc>
          <w:tcPr>
            <w:tcW w:w="1305" w:type="pct"/>
            <w:vMerge w:val="restar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CH</w:t>
            </w:r>
            <w:r>
              <w:rPr>
                <w:rFonts w:hint="eastAsia"/>
                <w:bCs/>
                <w:color w:val="000000" w:themeColor="text1"/>
                <w:szCs w:val="21"/>
                <w:vertAlign w:val="subscript"/>
                <w14:textFill>
                  <w14:solidFill>
                    <w14:schemeClr w14:val="tx1"/>
                  </w14:solidFill>
                </w14:textFill>
              </w:rPr>
              <w:t>4</w:t>
            </w:r>
            <w:r>
              <w:rPr>
                <w:rFonts w:hint="eastAsia"/>
                <w:bCs/>
                <w:color w:val="000000" w:themeColor="text1"/>
                <w:szCs w:val="21"/>
                <w14:textFill>
                  <w14:solidFill>
                    <w14:schemeClr w14:val="tx1"/>
                  </w14:solidFill>
                </w14:textFill>
              </w:rPr>
              <w:t>满足《生活垃圾填埋场污染控制标准》(GB16889-2008)中9.2排放控制要求；厂界无组织硫化氢、氨、臭气浓度满足《恶臭污染物排放标准》（GB14554-93）标准限值要求；厂界无组织粉尘满足《大气污染物综合排放标准》（GB16297-1996）标准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9" w:hRule="atLeast"/>
          <w:jc w:val="center"/>
        </w:trPr>
        <w:tc>
          <w:tcPr>
            <w:tcW w:w="503" w:type="pct"/>
            <w:vMerge w:val="continue"/>
            <w:tcBorders>
              <w:tl2br w:val="nil"/>
              <w:tr2bl w:val="nil"/>
            </w:tcBorders>
            <w:vAlign w:val="center"/>
          </w:tcPr>
          <w:p>
            <w:pPr>
              <w:pStyle w:val="3"/>
              <w:spacing w:line="280" w:lineRule="exact"/>
              <w:ind w:left="105" w:leftChars="50" w:right="105" w:rightChars="50" w:firstLine="17"/>
              <w:jc w:val="left"/>
              <w:rPr>
                <w:b/>
              </w:rPr>
            </w:pPr>
          </w:p>
        </w:tc>
        <w:tc>
          <w:tcPr>
            <w:tcW w:w="886" w:type="pct"/>
            <w:vMerge w:val="continue"/>
            <w:tcBorders>
              <w:tl2br w:val="nil"/>
              <w:tr2bl w:val="nil"/>
            </w:tcBorders>
            <w:vAlign w:val="center"/>
          </w:tcPr>
          <w:p>
            <w:pPr>
              <w:pStyle w:val="3"/>
              <w:spacing w:line="280" w:lineRule="exact"/>
              <w:ind w:left="105" w:leftChars="50" w:right="105" w:rightChars="50" w:firstLine="17"/>
              <w:jc w:val="left"/>
            </w:pPr>
          </w:p>
        </w:tc>
        <w:tc>
          <w:tcPr>
            <w:tcW w:w="2304" w:type="pct"/>
            <w:tcBorders>
              <w:tl2br w:val="nil"/>
              <w:tr2bl w:val="nil"/>
            </w:tcBorders>
            <w:vAlign w:val="center"/>
          </w:tcPr>
          <w:p>
            <w:pPr>
              <w:pStyle w:val="3"/>
              <w:spacing w:line="280" w:lineRule="exact"/>
              <w:ind w:left="105" w:leftChars="50" w:right="105" w:rightChars="50" w:firstLine="17"/>
              <w:rPr>
                <w:szCs w:val="21"/>
              </w:rPr>
            </w:pPr>
            <w:r>
              <w:rPr>
                <w:rFonts w:hint="eastAsia"/>
                <w:szCs w:val="21"/>
              </w:rPr>
              <w:t>按要求科学填埋作业</w:t>
            </w:r>
          </w:p>
        </w:tc>
        <w:tc>
          <w:tcPr>
            <w:tcW w:w="1305" w:type="pct"/>
            <w:vMerge w:val="continue"/>
            <w:tcBorders>
              <w:tl2br w:val="nil"/>
              <w:tr2bl w:val="nil"/>
            </w:tcBorders>
            <w:vAlign w:val="center"/>
          </w:tcPr>
          <w:p>
            <w:pPr>
              <w:pStyle w:val="3"/>
              <w:spacing w:line="280" w:lineRule="exact"/>
              <w:ind w:left="105" w:leftChars="50" w:right="105" w:rightChars="50" w:firstLine="17"/>
              <w:jc w:val="left"/>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5" w:hRule="atLeast"/>
          <w:jc w:val="center"/>
        </w:trPr>
        <w:tc>
          <w:tcPr>
            <w:tcW w:w="503" w:type="pct"/>
            <w:vMerge w:val="continue"/>
            <w:tcBorders>
              <w:tl2br w:val="nil"/>
              <w:tr2bl w:val="nil"/>
            </w:tcBorders>
            <w:vAlign w:val="center"/>
          </w:tcPr>
          <w:p>
            <w:pPr>
              <w:pStyle w:val="3"/>
              <w:spacing w:line="280" w:lineRule="exact"/>
              <w:ind w:left="105" w:leftChars="50" w:right="105" w:rightChars="50" w:firstLine="17"/>
              <w:jc w:val="left"/>
              <w:rPr>
                <w:b/>
                <w:szCs w:val="21"/>
              </w:rPr>
            </w:pPr>
          </w:p>
        </w:tc>
        <w:tc>
          <w:tcPr>
            <w:tcW w:w="886" w:type="pct"/>
            <w:vMerge w:val="continue"/>
            <w:tcBorders>
              <w:tl2br w:val="nil"/>
              <w:tr2bl w:val="nil"/>
            </w:tcBorders>
            <w:vAlign w:val="center"/>
          </w:tcPr>
          <w:p>
            <w:pPr>
              <w:pStyle w:val="3"/>
              <w:spacing w:line="280" w:lineRule="exact"/>
              <w:ind w:left="105" w:leftChars="50" w:right="105" w:rightChars="50" w:firstLine="17"/>
              <w:jc w:val="left"/>
              <w:rPr>
                <w:szCs w:val="21"/>
              </w:rPr>
            </w:pPr>
          </w:p>
        </w:tc>
        <w:tc>
          <w:tcPr>
            <w:tcW w:w="2304" w:type="pct"/>
            <w:tcBorders>
              <w:tl2br w:val="nil"/>
              <w:tr2bl w:val="nil"/>
            </w:tcBorders>
            <w:vAlign w:val="center"/>
          </w:tcPr>
          <w:p>
            <w:pPr>
              <w:pStyle w:val="3"/>
              <w:spacing w:line="280" w:lineRule="exact"/>
              <w:ind w:left="105" w:leftChars="50" w:right="105" w:rightChars="50" w:firstLine="17"/>
              <w:jc w:val="left"/>
              <w:rPr>
                <w:szCs w:val="21"/>
              </w:rPr>
            </w:pPr>
            <w:r>
              <w:rPr>
                <w:rFonts w:hint="eastAsia"/>
                <w:szCs w:val="21"/>
              </w:rPr>
              <w:t>作业时设移动防尘网，场地四周设防飞网（685m铁丝围墙）；场区出入口配套建设洗车平台，1辆洒水车场地及道路洒水抑尘等。</w:t>
            </w:r>
          </w:p>
        </w:tc>
        <w:tc>
          <w:tcPr>
            <w:tcW w:w="1305" w:type="pct"/>
            <w:vMerge w:val="continue"/>
            <w:tcBorders>
              <w:tl2br w:val="nil"/>
              <w:tr2bl w:val="nil"/>
            </w:tcBorders>
            <w:vAlign w:val="center"/>
          </w:tcPr>
          <w:p>
            <w:pPr>
              <w:pStyle w:val="3"/>
              <w:spacing w:line="280" w:lineRule="exact"/>
              <w:ind w:left="105" w:leftChars="50" w:right="105" w:rightChars="50" w:firstLine="17"/>
              <w:jc w:val="left"/>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503" w:type="pct"/>
            <w:vMerge w:val="continue"/>
            <w:tcBorders>
              <w:tl2br w:val="nil"/>
              <w:tr2bl w:val="nil"/>
            </w:tcBorders>
            <w:vAlign w:val="center"/>
          </w:tcPr>
          <w:p>
            <w:pPr>
              <w:pStyle w:val="3"/>
              <w:spacing w:line="280" w:lineRule="exact"/>
              <w:ind w:left="105" w:leftChars="50" w:right="105" w:rightChars="50" w:firstLine="17"/>
              <w:jc w:val="left"/>
              <w:rPr>
                <w:b/>
                <w:szCs w:val="21"/>
              </w:rPr>
            </w:pPr>
          </w:p>
        </w:tc>
        <w:tc>
          <w:tcPr>
            <w:tcW w:w="886" w:type="pct"/>
            <w:vMerge w:val="continue"/>
            <w:tcBorders>
              <w:tl2br w:val="nil"/>
              <w:tr2bl w:val="nil"/>
            </w:tcBorders>
            <w:vAlign w:val="center"/>
          </w:tcPr>
          <w:p>
            <w:pPr>
              <w:pStyle w:val="3"/>
              <w:spacing w:line="280" w:lineRule="exact"/>
              <w:ind w:left="105" w:leftChars="50" w:right="105" w:rightChars="50" w:firstLine="17"/>
              <w:jc w:val="left"/>
              <w:rPr>
                <w:szCs w:val="21"/>
              </w:rPr>
            </w:pPr>
          </w:p>
        </w:tc>
        <w:tc>
          <w:tcPr>
            <w:tcW w:w="2304" w:type="pct"/>
            <w:tcBorders>
              <w:tl2br w:val="nil"/>
              <w:tr2bl w:val="nil"/>
            </w:tcBorders>
            <w:vAlign w:val="center"/>
          </w:tcPr>
          <w:p>
            <w:pPr>
              <w:pStyle w:val="3"/>
              <w:spacing w:line="280" w:lineRule="exact"/>
              <w:ind w:left="105" w:leftChars="50" w:right="105" w:rightChars="50" w:firstLine="17"/>
              <w:rPr>
                <w:szCs w:val="21"/>
              </w:rPr>
            </w:pPr>
            <w:r>
              <w:rPr>
                <w:rFonts w:hint="eastAsia"/>
                <w:szCs w:val="21"/>
              </w:rPr>
              <w:t>1辆喷药车随时进行喷药灭杀</w:t>
            </w:r>
          </w:p>
        </w:tc>
        <w:tc>
          <w:tcPr>
            <w:tcW w:w="1305" w:type="pct"/>
            <w:vMerge w:val="continue"/>
            <w:tcBorders>
              <w:tl2br w:val="nil"/>
              <w:tr2bl w:val="nil"/>
            </w:tcBorders>
            <w:vAlign w:val="center"/>
          </w:tcPr>
          <w:p>
            <w:pPr>
              <w:pStyle w:val="3"/>
              <w:spacing w:line="280" w:lineRule="exact"/>
              <w:ind w:left="105" w:leftChars="50" w:right="105" w:rightChars="50" w:firstLine="17"/>
              <w:jc w:val="left"/>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503" w:type="pct"/>
            <w:vMerge w:val="restart"/>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w:t>
            </w:r>
          </w:p>
        </w:tc>
        <w:tc>
          <w:tcPr>
            <w:tcW w:w="886" w:type="pct"/>
            <w:vMerge w:val="restar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渗滤液及少量生活废水、洗车废水</w:t>
            </w:r>
          </w:p>
        </w:tc>
        <w:tc>
          <w:tcPr>
            <w:tcW w:w="2304"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填埋区按要求建设防渗系统和渗滤液收集导排系统</w:t>
            </w:r>
          </w:p>
        </w:tc>
        <w:tc>
          <w:tcPr>
            <w:tcW w:w="1305" w:type="pct"/>
            <w:vMerge w:val="restar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按要求设置；无外排废水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503" w:type="pct"/>
            <w:vMerge w:val="continue"/>
            <w:tcBorders>
              <w:tl2br w:val="nil"/>
              <w:tr2bl w:val="nil"/>
            </w:tcBorders>
            <w:vAlign w:val="center"/>
          </w:tcPr>
          <w:p>
            <w:pPr>
              <w:spacing w:line="280" w:lineRule="exact"/>
              <w:jc w:val="center"/>
            </w:pPr>
          </w:p>
        </w:tc>
        <w:tc>
          <w:tcPr>
            <w:tcW w:w="886" w:type="pct"/>
            <w:vMerge w:val="continue"/>
            <w:tcBorders>
              <w:tl2br w:val="nil"/>
              <w:tr2bl w:val="nil"/>
            </w:tcBorders>
            <w:vAlign w:val="center"/>
          </w:tcPr>
          <w:p>
            <w:pPr>
              <w:spacing w:line="280" w:lineRule="exact"/>
              <w:jc w:val="center"/>
            </w:pPr>
          </w:p>
        </w:tc>
        <w:tc>
          <w:tcPr>
            <w:tcW w:w="2304"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规模不小于1800m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的渗滤液调节池</w:t>
            </w:r>
          </w:p>
        </w:tc>
        <w:tc>
          <w:tcPr>
            <w:tcW w:w="1305"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503"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c>
          <w:tcPr>
            <w:tcW w:w="886"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c>
          <w:tcPr>
            <w:tcW w:w="2304"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1座40m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/d的渗滤液处理车间（预处理+两级DTRO反渗透）</w:t>
            </w:r>
          </w:p>
        </w:tc>
        <w:tc>
          <w:tcPr>
            <w:tcW w:w="1305"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503"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c>
          <w:tcPr>
            <w:tcW w:w="886"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c>
          <w:tcPr>
            <w:tcW w:w="2304"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职工生活废水和洗车废水</w:t>
            </w:r>
            <w:r>
              <w:rPr>
                <w:rFonts w:hint="eastAsia"/>
                <w:bCs/>
                <w:kern w:val="0"/>
                <w:szCs w:val="21"/>
              </w:rPr>
              <w:t>随渗滤液一起进入调节池和渗滤液处理车间进行处理</w:t>
            </w:r>
          </w:p>
        </w:tc>
        <w:tc>
          <w:tcPr>
            <w:tcW w:w="1305"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503" w:type="pct"/>
            <w:vMerge w:val="continue"/>
            <w:tcBorders>
              <w:tl2br w:val="nil"/>
              <w:tr2bl w:val="nil"/>
            </w:tcBorders>
            <w:vAlign w:val="center"/>
          </w:tcPr>
          <w:p>
            <w:pPr>
              <w:spacing w:line="280" w:lineRule="exact"/>
              <w:jc w:val="center"/>
            </w:pPr>
          </w:p>
        </w:tc>
        <w:tc>
          <w:tcPr>
            <w:tcW w:w="886" w:type="pct"/>
            <w:vMerge w:val="continue"/>
            <w:tcBorders>
              <w:tl2br w:val="nil"/>
              <w:tr2bl w:val="nil"/>
            </w:tcBorders>
            <w:vAlign w:val="center"/>
          </w:tcPr>
          <w:p>
            <w:pPr>
              <w:spacing w:line="280" w:lineRule="exact"/>
              <w:jc w:val="center"/>
            </w:pPr>
          </w:p>
        </w:tc>
        <w:tc>
          <w:tcPr>
            <w:tcW w:w="2304"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szCs w:val="21"/>
              </w:rPr>
              <w:t>场地东侧即地下水流向上游30~50m处设置1眼本底井，场地南、北侧即垂直地下水流行两侧30~50m处各设置1眼污染扩散观察井，场地西侧即地下水流向下游30m、50m处分别设置1眼污染监视井，共计5眼，其中污染扩散井和污染监视井的水质监测频率不低于1次/2周，本底井的水质监测频率不低于1次/每月</w:t>
            </w:r>
          </w:p>
        </w:tc>
        <w:tc>
          <w:tcPr>
            <w:tcW w:w="1305" w:type="pct"/>
            <w:vMerge w:val="continue"/>
            <w:tcBorders>
              <w:tl2br w:val="nil"/>
              <w:tr2bl w:val="nil"/>
            </w:tcBorders>
            <w:vAlign w:val="center"/>
          </w:tcPr>
          <w:p>
            <w:pPr>
              <w:spacing w:line="280" w:lineRule="exact"/>
              <w:jc w:val="center"/>
              <w:rPr>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3" w:type="pct"/>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噪声</w:t>
            </w:r>
          </w:p>
        </w:tc>
        <w:tc>
          <w:tcPr>
            <w:tcW w:w="886"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szCs w:val="21"/>
              </w:rPr>
              <w:t>填埋作业车辆机械、渗滤液处理站水泵、填埋气抽气机房风机等</w:t>
            </w:r>
          </w:p>
        </w:tc>
        <w:tc>
          <w:tcPr>
            <w:tcW w:w="2304" w:type="pct"/>
            <w:tcBorders>
              <w:tl2br w:val="nil"/>
              <w:tr2bl w:val="nil"/>
            </w:tcBorders>
            <w:vAlign w:val="center"/>
          </w:tcPr>
          <w:p>
            <w:pPr>
              <w:spacing w:line="260" w:lineRule="exact"/>
              <w:ind w:left="105" w:leftChars="50" w:right="105" w:rightChars="50" w:firstLine="15"/>
              <w:jc w:val="center"/>
              <w:rPr>
                <w:bCs/>
                <w:color w:val="000000" w:themeColor="text1"/>
                <w:szCs w:val="21"/>
                <w14:textFill>
                  <w14:solidFill>
                    <w14:schemeClr w14:val="tx1"/>
                  </w14:solidFill>
                </w14:textFill>
              </w:rPr>
            </w:pPr>
            <w:r>
              <w:rPr>
                <w:rFonts w:hint="eastAsia"/>
                <w:bCs/>
                <w:kern w:val="0"/>
                <w:szCs w:val="21"/>
              </w:rPr>
              <w:t>加强机械、车辆管理，合理安排填埋作业时间，制定操作规程；各水泵、风机均进行基础减震，布置在密闭车间内，风机安装柔性接头；加强场地及周边绿化，形成隔离带等</w:t>
            </w:r>
          </w:p>
        </w:tc>
        <w:tc>
          <w:tcPr>
            <w:tcW w:w="1305"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厂界噪声满足《工业企业厂界环境噪声 排放标准》（GB12348-2008）中2类标准限值要求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3" w:type="pct"/>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土壤</w:t>
            </w:r>
          </w:p>
        </w:tc>
        <w:tc>
          <w:tcPr>
            <w:tcW w:w="3191" w:type="pct"/>
            <w:gridSpan w:val="2"/>
            <w:tcBorders>
              <w:tl2br w:val="nil"/>
              <w:tr2bl w:val="nil"/>
            </w:tcBorders>
            <w:vAlign w:val="center"/>
          </w:tcPr>
          <w:p>
            <w:pPr>
              <w:spacing w:line="260" w:lineRule="exact"/>
              <w:ind w:left="105" w:leftChars="50" w:right="105" w:rightChars="50" w:firstLine="15"/>
              <w:jc w:val="center"/>
              <w:rPr>
                <w:bCs/>
                <w:kern w:val="0"/>
                <w:szCs w:val="21"/>
              </w:rPr>
            </w:pPr>
            <w:r>
              <w:rPr>
                <w:rFonts w:hint="eastAsia"/>
                <w:szCs w:val="21"/>
              </w:rPr>
              <w:t>在场外西北侧下游约50~100m的农田处设1个土壤跟踪监测点，监测频率为1次/5年</w:t>
            </w:r>
          </w:p>
        </w:tc>
        <w:tc>
          <w:tcPr>
            <w:tcW w:w="1305" w:type="pct"/>
            <w:tcBorders>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bCs/>
                <w:szCs w:val="21"/>
              </w:rPr>
              <w:t>按要求设置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3" w:type="pct"/>
            <w:tcBorders>
              <w:tl2br w:val="nil"/>
              <w:tr2bl w:val="nil"/>
            </w:tcBorders>
            <w:vAlign w:val="center"/>
          </w:tcPr>
          <w:p>
            <w:pPr>
              <w:spacing w:line="280" w:lineRule="exact"/>
              <w:jc w:val="center"/>
              <w:rPr>
                <w:b/>
                <w:bCs/>
                <w:szCs w:val="21"/>
              </w:rPr>
            </w:pPr>
            <w:r>
              <w:rPr>
                <w:rFonts w:hint="eastAsia"/>
                <w:b/>
                <w:bCs/>
                <w:szCs w:val="21"/>
              </w:rPr>
              <w:t>环境风险</w:t>
            </w:r>
          </w:p>
        </w:tc>
        <w:tc>
          <w:tcPr>
            <w:tcW w:w="3191" w:type="pct"/>
            <w:gridSpan w:val="2"/>
            <w:tcBorders>
              <w:tl2br w:val="nil"/>
              <w:tr2bl w:val="nil"/>
            </w:tcBorders>
            <w:vAlign w:val="center"/>
          </w:tcPr>
          <w:p>
            <w:pPr>
              <w:spacing w:line="280" w:lineRule="exact"/>
              <w:jc w:val="center"/>
              <w:rPr>
                <w:bCs/>
                <w:szCs w:val="21"/>
              </w:rPr>
            </w:pPr>
            <w:r>
              <w:rPr>
                <w:rFonts w:hint="eastAsia"/>
                <w:bCs/>
                <w:szCs w:val="21"/>
              </w:rPr>
              <w:t>库区周围设5套气体报警装置、编制环境风险突发事故应急预案、按要求落实各项风险防范措施及应急处置措施等</w:t>
            </w:r>
          </w:p>
        </w:tc>
        <w:tc>
          <w:tcPr>
            <w:tcW w:w="1305" w:type="pct"/>
            <w:tcBorders>
              <w:tl2br w:val="nil"/>
              <w:tr2bl w:val="nil"/>
            </w:tcBorders>
            <w:vAlign w:val="center"/>
          </w:tcPr>
          <w:p>
            <w:pPr>
              <w:spacing w:line="280" w:lineRule="exact"/>
              <w:jc w:val="center"/>
              <w:rPr>
                <w:bCs/>
                <w:szCs w:val="21"/>
              </w:rPr>
            </w:pPr>
            <w:r>
              <w:rPr>
                <w:rFonts w:hint="eastAsia"/>
                <w:bCs/>
                <w:szCs w:val="21"/>
              </w:rPr>
              <w:t>按要求设置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封场后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503" w:type="pct"/>
            <w:tcBorders>
              <w:tl2br w:val="nil"/>
              <w:tr2bl w:val="nil"/>
            </w:tcBorders>
            <w:vAlign w:val="center"/>
          </w:tcPr>
          <w:p>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封场工程</w:t>
            </w:r>
          </w:p>
        </w:tc>
        <w:tc>
          <w:tcPr>
            <w:tcW w:w="3191" w:type="pct"/>
            <w:gridSpan w:val="2"/>
            <w:tcBorders>
              <w:right w:val="single" w:color="auto" w:sz="4" w:space="0"/>
              <w:tl2br w:val="nil"/>
              <w:tr2bl w:val="nil"/>
            </w:tcBorders>
            <w:vAlign w:val="center"/>
          </w:tcPr>
          <w:p>
            <w:pPr>
              <w:spacing w:line="280" w:lineRule="exact"/>
              <w:jc w:val="center"/>
              <w:rPr>
                <w:bCs/>
                <w:color w:val="000000" w:themeColor="text1"/>
                <w:szCs w:val="21"/>
                <w14:textFill>
                  <w14:solidFill>
                    <w14:schemeClr w14:val="tx1"/>
                  </w14:solidFill>
                </w14:textFill>
              </w:rPr>
            </w:pPr>
            <w:r>
              <w:rPr>
                <w:rFonts w:hint="eastAsia"/>
                <w:szCs w:val="21"/>
              </w:rPr>
              <w:t>垃圾堆体整形、终场覆盖层、堆体表面敷设排水沟、生态恢复等</w:t>
            </w:r>
          </w:p>
        </w:tc>
        <w:tc>
          <w:tcPr>
            <w:tcW w:w="1305" w:type="pct"/>
            <w:tcBorders>
              <w:left w:val="single" w:color="auto" w:sz="4" w:space="0"/>
              <w:tl2br w:val="nil"/>
              <w:tr2bl w:val="nil"/>
            </w:tcBorders>
            <w:vAlign w:val="center"/>
          </w:tcPr>
          <w:p>
            <w:pPr>
              <w:spacing w:line="260" w:lineRule="exact"/>
              <w:jc w:val="center"/>
              <w:rPr>
                <w:bCs/>
                <w:color w:val="000000" w:themeColor="text1"/>
                <w:szCs w:val="21"/>
                <w14:textFill>
                  <w14:solidFill>
                    <w14:schemeClr w14:val="tx1"/>
                  </w14:solidFill>
                </w14:textFill>
              </w:rPr>
            </w:pPr>
            <w:r>
              <w:rPr>
                <w:rFonts w:hint="eastAsia"/>
                <w:bCs/>
                <w:szCs w:val="21"/>
              </w:rPr>
              <w:t>按要求设置</w:t>
            </w:r>
          </w:p>
        </w:tc>
      </w:tr>
    </w:tbl>
    <w:p>
      <w:pPr>
        <w:pStyle w:val="11"/>
        <w:ind w:firstLine="0" w:firstLineChars="0"/>
        <w:rPr>
          <w:rFonts w:eastAsia="宋体"/>
          <w:sz w:val="21"/>
          <w:szCs w:val="21"/>
        </w:rPr>
        <w:sectPr>
          <w:headerReference r:id="rId26" w:type="default"/>
          <w:pgSz w:w="11906" w:h="16838"/>
          <w:pgMar w:top="1440" w:right="1800" w:bottom="1440" w:left="1800" w:header="851" w:footer="992" w:gutter="0"/>
          <w:cols w:space="720" w:num="1"/>
          <w:docGrid w:type="lines" w:linePitch="312" w:charSpace="0"/>
        </w:sectPr>
      </w:pPr>
    </w:p>
    <w:bookmarkEnd w:id="173"/>
    <w:bookmarkEnd w:id="174"/>
    <w:bookmarkEnd w:id="175"/>
    <w:bookmarkEnd w:id="176"/>
    <w:bookmarkEnd w:id="177"/>
    <w:bookmarkEnd w:id="178"/>
    <w:p>
      <w:pPr>
        <w:pStyle w:val="4"/>
        <w:spacing w:after="260" w:line="579" w:lineRule="auto"/>
        <w:jc w:val="center"/>
      </w:pPr>
      <w:bookmarkStart w:id="194" w:name="_Toc20852"/>
      <w:bookmarkStart w:id="195" w:name="_Toc1547850512"/>
      <w:r>
        <w:rPr>
          <w:rFonts w:hint="eastAsia"/>
        </w:rPr>
        <w:t>9</w:t>
      </w:r>
      <w:r>
        <w:t xml:space="preserve">  结 论</w:t>
      </w:r>
      <w:bookmarkEnd w:id="194"/>
      <w:bookmarkEnd w:id="195"/>
    </w:p>
    <w:p>
      <w:pPr>
        <w:pStyle w:val="5"/>
        <w:spacing w:beforeLines="0" w:after="120" w:line="500" w:lineRule="exact"/>
        <w:rPr>
          <w:rFonts w:eastAsia="宋体"/>
          <w:b/>
          <w:bCs w:val="0"/>
          <w:color w:val="auto"/>
          <w:szCs w:val="30"/>
        </w:rPr>
      </w:pPr>
      <w:bookmarkStart w:id="196" w:name="_Toc264428793"/>
      <w:bookmarkStart w:id="197" w:name="_Toc30774"/>
      <w:r>
        <w:rPr>
          <w:rFonts w:hint="eastAsia" w:eastAsia="宋体"/>
          <w:b/>
          <w:bCs w:val="0"/>
          <w:color w:val="auto"/>
          <w:szCs w:val="30"/>
        </w:rPr>
        <w:t>9</w:t>
      </w:r>
      <w:r>
        <w:rPr>
          <w:rFonts w:eastAsia="宋体"/>
          <w:b/>
          <w:bCs w:val="0"/>
          <w:color w:val="auto"/>
          <w:szCs w:val="30"/>
        </w:rPr>
        <w:t>.1项目概况</w:t>
      </w:r>
      <w:bookmarkEnd w:id="196"/>
      <w:bookmarkEnd w:id="197"/>
    </w:p>
    <w:p>
      <w:pPr>
        <w:adjustRightInd w:val="0"/>
        <w:snapToGrid w:val="0"/>
        <w:spacing w:line="480" w:lineRule="exact"/>
        <w:ind w:firstLine="496" w:firstLineChars="200"/>
        <w:rPr>
          <w:sz w:val="24"/>
        </w:rPr>
      </w:pPr>
      <w:r>
        <w:rPr>
          <w:rFonts w:hint="eastAsia"/>
          <w:spacing w:val="4"/>
          <w:sz w:val="24"/>
        </w:rPr>
        <w:t>本项目为壶关县城生活垃圾卫生填埋工程，工程类型为平原型填埋场，场地位于壶关县集店镇辛村村东约700m处，</w:t>
      </w:r>
      <w:r>
        <w:rPr>
          <w:rFonts w:hint="eastAsia"/>
          <w:sz w:val="24"/>
        </w:rPr>
        <w:t>占地面积</w:t>
      </w:r>
      <w:r>
        <w:rPr>
          <w:sz w:val="24"/>
        </w:rPr>
        <w:t>约53397.44</w:t>
      </w:r>
      <w:r>
        <w:rPr>
          <w:rFonts w:hint="eastAsia"/>
          <w:sz w:val="24"/>
        </w:rPr>
        <w:t>m</w:t>
      </w:r>
      <w:r>
        <w:rPr>
          <w:rFonts w:hint="eastAsia"/>
          <w:sz w:val="24"/>
          <w:vertAlign w:val="superscript"/>
        </w:rPr>
        <w:t>2</w:t>
      </w:r>
      <w:r>
        <w:rPr>
          <w:sz w:val="24"/>
        </w:rPr>
        <w:t>（</w:t>
      </w:r>
      <w:r>
        <w:rPr>
          <w:rFonts w:hint="eastAsia"/>
          <w:sz w:val="24"/>
        </w:rPr>
        <w:t>其中填埋库区面积约36600m</w:t>
      </w:r>
      <w:r>
        <w:rPr>
          <w:rFonts w:hint="eastAsia"/>
          <w:sz w:val="24"/>
          <w:vertAlign w:val="superscript"/>
        </w:rPr>
        <w:t>2</w:t>
      </w:r>
      <w:r>
        <w:rPr>
          <w:sz w:val="24"/>
        </w:rPr>
        <w:t>）</w:t>
      </w:r>
      <w:r>
        <w:rPr>
          <w:rFonts w:hint="eastAsia"/>
          <w:sz w:val="24"/>
        </w:rPr>
        <w:t>，总库容60万m</w:t>
      </w:r>
      <w:r>
        <w:rPr>
          <w:rFonts w:hint="eastAsia"/>
          <w:sz w:val="24"/>
          <w:vertAlign w:val="superscript"/>
        </w:rPr>
        <w:t>3</w:t>
      </w:r>
      <w:r>
        <w:rPr>
          <w:rFonts w:hint="eastAsia"/>
          <w:sz w:val="24"/>
        </w:rPr>
        <w:t>，服务范围主要为壶关县城及周边的集店镇、常平开发区，日处理垃圾量125t/d，设计服务年限约12年。</w:t>
      </w:r>
    </w:p>
    <w:p>
      <w:pPr>
        <w:spacing w:line="500" w:lineRule="exact"/>
        <w:ind w:firstLine="480" w:firstLineChars="200"/>
        <w:rPr>
          <w:spacing w:val="4"/>
          <w:sz w:val="24"/>
        </w:rPr>
      </w:pPr>
      <w:r>
        <w:rPr>
          <w:rFonts w:hint="eastAsia"/>
          <w:sz w:val="24"/>
        </w:rPr>
        <w:t>项目工程</w:t>
      </w:r>
      <w:r>
        <w:rPr>
          <w:sz w:val="24"/>
        </w:rPr>
        <w:t>建设内容主要包括</w:t>
      </w:r>
      <w:r>
        <w:rPr>
          <w:rFonts w:hint="eastAsia"/>
          <w:sz w:val="24"/>
        </w:rPr>
        <w:t>填埋库区（含围合坝、防渗系统、渗滤液收集导排、填埋气收集导排等）、渗滤液处理系统、填埋气处理系统、办公管理区及道路工程、公用工程等，总投资估算约2638.82万元。</w:t>
      </w:r>
    </w:p>
    <w:p>
      <w:pPr>
        <w:pStyle w:val="5"/>
        <w:spacing w:beforeLines="0" w:after="120" w:line="500" w:lineRule="exact"/>
        <w:rPr>
          <w:rFonts w:eastAsia="宋体"/>
          <w:b/>
          <w:bCs w:val="0"/>
          <w:color w:val="auto"/>
          <w:szCs w:val="30"/>
        </w:rPr>
      </w:pPr>
      <w:bookmarkStart w:id="198" w:name="_Toc578421647"/>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2</w:t>
      </w:r>
      <w:r>
        <w:rPr>
          <w:rFonts w:eastAsia="宋体"/>
          <w:b/>
          <w:bCs w:val="0"/>
          <w:color w:val="auto"/>
          <w:szCs w:val="30"/>
        </w:rPr>
        <w:t>产业政策、规划符合型及选址合理性</w:t>
      </w:r>
      <w:bookmarkEnd w:id="198"/>
    </w:p>
    <w:p>
      <w:pPr>
        <w:adjustRightInd w:val="0"/>
        <w:spacing w:line="500" w:lineRule="exact"/>
        <w:ind w:firstLine="480" w:firstLineChars="200"/>
        <w:textAlignment w:val="baseline"/>
        <w:rPr>
          <w:sz w:val="24"/>
        </w:rPr>
      </w:pPr>
      <w:r>
        <w:rPr>
          <w:rFonts w:hint="eastAsia"/>
          <w:sz w:val="24"/>
        </w:rPr>
        <w:t>本项目为城市生活垃圾卫生填埋工程，对照《产业结构调整指导目录(2019年本)》，本项目属于鼓励类项目，符合国家产业政策。</w:t>
      </w:r>
    </w:p>
    <w:p>
      <w:pPr>
        <w:spacing w:line="500" w:lineRule="exact"/>
        <w:ind w:firstLine="480" w:firstLineChars="200"/>
        <w:rPr>
          <w:sz w:val="24"/>
        </w:rPr>
      </w:pPr>
      <w:r>
        <w:rPr>
          <w:rFonts w:hint="eastAsia"/>
          <w:sz w:val="24"/>
        </w:rPr>
        <w:t>项目场地位于县城总体规划规划范围内，壶关县住房和城乡建设管理局以选字第402100019号文对本项目出具了选址意见书，项目建设不违背《壶关县县城总体规划》（2011-2030）。</w:t>
      </w:r>
    </w:p>
    <w:p>
      <w:pPr>
        <w:pStyle w:val="10"/>
        <w:spacing w:line="500" w:lineRule="exact"/>
        <w:ind w:firstLine="480"/>
        <w:rPr>
          <w:sz w:val="24"/>
          <w:szCs w:val="24"/>
        </w:rPr>
      </w:pPr>
      <w:r>
        <w:rPr>
          <w:rFonts w:hint="eastAsia"/>
          <w:sz w:val="24"/>
          <w:szCs w:val="24"/>
        </w:rPr>
        <w:t>对照</w:t>
      </w:r>
      <w:r>
        <w:rPr>
          <w:sz w:val="24"/>
          <w:szCs w:val="24"/>
        </w:rPr>
        <w:t>《生活垃圾填埋场污染控制标准》(GB16889-2008)</w:t>
      </w:r>
      <w:r>
        <w:rPr>
          <w:rFonts w:hint="eastAsia"/>
          <w:sz w:val="24"/>
          <w:szCs w:val="24"/>
        </w:rPr>
        <w:t>，项目场地符合其相关选址要求，选址可行。</w:t>
      </w:r>
    </w:p>
    <w:p>
      <w:pPr>
        <w:pStyle w:val="5"/>
        <w:spacing w:beforeLines="0" w:after="120" w:line="500" w:lineRule="exact"/>
        <w:rPr>
          <w:rFonts w:eastAsia="宋体"/>
          <w:b/>
          <w:bCs w:val="0"/>
          <w:color w:val="auto"/>
          <w:szCs w:val="30"/>
        </w:rPr>
      </w:pPr>
      <w:bookmarkStart w:id="199" w:name="_Toc1536649161"/>
      <w:bookmarkStart w:id="200" w:name="_Toc7082"/>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3</w:t>
      </w:r>
      <w:r>
        <w:rPr>
          <w:rFonts w:eastAsia="宋体"/>
          <w:b/>
          <w:bCs w:val="0"/>
          <w:color w:val="auto"/>
          <w:szCs w:val="30"/>
        </w:rPr>
        <w:t>环境质量现状</w:t>
      </w:r>
      <w:bookmarkEnd w:id="199"/>
      <w:bookmarkEnd w:id="200"/>
    </w:p>
    <w:p>
      <w:pPr>
        <w:spacing w:line="500" w:lineRule="exact"/>
        <w:ind w:firstLine="482" w:firstLineChars="200"/>
        <w:rPr>
          <w:b/>
          <w:bCs/>
          <w:sz w:val="24"/>
        </w:rPr>
      </w:pPr>
      <w:r>
        <w:rPr>
          <w:rFonts w:hint="eastAsia"/>
          <w:b/>
          <w:bCs/>
          <w:sz w:val="24"/>
        </w:rPr>
        <w:t>1、</w:t>
      </w:r>
      <w:r>
        <w:rPr>
          <w:b/>
          <w:bCs/>
          <w:sz w:val="24"/>
        </w:rPr>
        <w:t>环境空气质量现状</w:t>
      </w:r>
    </w:p>
    <w:p>
      <w:pPr>
        <w:spacing w:line="500" w:lineRule="exact"/>
        <w:ind w:firstLine="496" w:firstLineChars="200"/>
        <w:rPr>
          <w:sz w:val="24"/>
        </w:rPr>
      </w:pPr>
      <w:r>
        <w:rPr>
          <w:rFonts w:hint="eastAsia"/>
          <w:spacing w:val="4"/>
          <w:sz w:val="24"/>
        </w:rPr>
        <w:t>项目场地西南距壶关县城约8.1km，《长治市大气污染防治工作领导组办公室、长治市水污染防治工作领导小组办公室关于2022年1-12月及12月长治市环境空气质量和地表水水质情况的通报》（长气防办〔2023〕1号）中壶关县2022年1-12月环境空气质量监测数据</w:t>
      </w:r>
      <w:r>
        <w:rPr>
          <w:spacing w:val="4"/>
          <w:sz w:val="24"/>
        </w:rPr>
        <w:t>，</w:t>
      </w:r>
      <w:r>
        <w:rPr>
          <w:rFonts w:hint="eastAsia"/>
          <w:sz w:val="24"/>
        </w:rPr>
        <w:t>壶关县2022年</w:t>
      </w:r>
      <w:r>
        <w:rPr>
          <w:sz w:val="24"/>
        </w:rPr>
        <w:t>SO</w:t>
      </w:r>
      <w:r>
        <w:rPr>
          <w:sz w:val="24"/>
          <w:vertAlign w:val="subscript"/>
        </w:rPr>
        <w:t>2</w:t>
      </w:r>
      <w:r>
        <w:rPr>
          <w:rFonts w:hint="eastAsia"/>
          <w:sz w:val="24"/>
        </w:rPr>
        <w:t>年均浓度</w:t>
      </w:r>
      <w:r>
        <w:rPr>
          <w:sz w:val="24"/>
        </w:rPr>
        <w:t>、NO</w:t>
      </w:r>
      <w:r>
        <w:rPr>
          <w:sz w:val="24"/>
          <w:vertAlign w:val="subscript"/>
        </w:rPr>
        <w:t>2</w:t>
      </w:r>
      <w:r>
        <w:rPr>
          <w:rFonts w:hint="eastAsia"/>
          <w:sz w:val="24"/>
        </w:rPr>
        <w:t>年平均浓度</w:t>
      </w:r>
      <w:r>
        <w:rPr>
          <w:sz w:val="24"/>
        </w:rPr>
        <w:t>、CO（</w:t>
      </w:r>
      <w:r>
        <w:rPr>
          <w:rFonts w:hint="eastAsia"/>
          <w:sz w:val="24"/>
        </w:rPr>
        <w:t>24小时平均第95</w:t>
      </w:r>
      <w:r>
        <w:rPr>
          <w:sz w:val="24"/>
        </w:rPr>
        <w:t>百分位数）可达《环境空气质量标准》（GB3095-2012）中二级标准，PM</w:t>
      </w:r>
      <w:r>
        <w:rPr>
          <w:sz w:val="24"/>
          <w:vertAlign w:val="subscript"/>
        </w:rPr>
        <w:t>10</w:t>
      </w:r>
      <w:r>
        <w:rPr>
          <w:rFonts w:hint="eastAsia"/>
          <w:sz w:val="24"/>
        </w:rPr>
        <w:t>年均浓度、</w:t>
      </w:r>
      <w:r>
        <w:rPr>
          <w:sz w:val="24"/>
        </w:rPr>
        <w:t>PM</w:t>
      </w:r>
      <w:r>
        <w:rPr>
          <w:sz w:val="24"/>
          <w:vertAlign w:val="subscript"/>
        </w:rPr>
        <w:t>2.5</w:t>
      </w:r>
      <w:r>
        <w:rPr>
          <w:rFonts w:hint="eastAsia"/>
          <w:sz w:val="24"/>
        </w:rPr>
        <w:t>年均浓度和O</w:t>
      </w:r>
      <w:r>
        <w:rPr>
          <w:rFonts w:hint="eastAsia"/>
          <w:sz w:val="24"/>
          <w:vertAlign w:val="subscript"/>
        </w:rPr>
        <w:t>3</w:t>
      </w:r>
      <w:r>
        <w:rPr>
          <w:rFonts w:hint="eastAsia"/>
          <w:sz w:val="24"/>
        </w:rPr>
        <w:t>-8h百分位数（日最大8小时滑动平均值的第90百分位数）超标，壶关县为不达标区。</w:t>
      </w:r>
    </w:p>
    <w:p>
      <w:pPr>
        <w:spacing w:line="500" w:lineRule="exact"/>
        <w:ind w:firstLine="480" w:firstLineChars="200"/>
        <w:rPr>
          <w:spacing w:val="4"/>
          <w:sz w:val="24"/>
        </w:rPr>
      </w:pPr>
      <w:r>
        <w:rPr>
          <w:rFonts w:hint="eastAsia"/>
          <w:kern w:val="28"/>
          <w:sz w:val="24"/>
        </w:rPr>
        <w:t>项目委托监测单位对场地周边区域辛村村、逢善村的</w:t>
      </w:r>
      <w:r>
        <w:rPr>
          <w:kern w:val="28"/>
          <w:sz w:val="24"/>
        </w:rPr>
        <w:t>TSP</w:t>
      </w:r>
      <w:r>
        <w:rPr>
          <w:rFonts w:hint="eastAsia"/>
          <w:kern w:val="28"/>
          <w:sz w:val="24"/>
        </w:rPr>
        <w:t>、</w:t>
      </w:r>
      <w:r>
        <w:rPr>
          <w:sz w:val="24"/>
        </w:rPr>
        <w:t>H</w:t>
      </w:r>
      <w:r>
        <w:rPr>
          <w:sz w:val="24"/>
          <w:vertAlign w:val="subscript"/>
        </w:rPr>
        <w:t>2</w:t>
      </w:r>
      <w:r>
        <w:rPr>
          <w:sz w:val="24"/>
        </w:rPr>
        <w:t>S、NH</w:t>
      </w:r>
      <w:r>
        <w:rPr>
          <w:sz w:val="24"/>
          <w:vertAlign w:val="subscript"/>
        </w:rPr>
        <w:t>3</w:t>
      </w:r>
      <w:r>
        <w:rPr>
          <w:sz w:val="24"/>
        </w:rPr>
        <w:t>、甲硫醇</w:t>
      </w:r>
      <w:r>
        <w:rPr>
          <w:rFonts w:hint="eastAsia"/>
          <w:sz w:val="24"/>
        </w:rPr>
        <w:t>、CH</w:t>
      </w:r>
      <w:r>
        <w:rPr>
          <w:rFonts w:hint="eastAsia"/>
          <w:sz w:val="24"/>
          <w:vertAlign w:val="subscript"/>
        </w:rPr>
        <w:t>4</w:t>
      </w:r>
      <w:r>
        <w:rPr>
          <w:rFonts w:hint="eastAsia"/>
          <w:sz w:val="24"/>
        </w:rPr>
        <w:t>、非甲烷总烃等因子进行了现状监测，各监测因子均满足其相应标准限值要求，满足达标。</w:t>
      </w:r>
    </w:p>
    <w:p>
      <w:pPr>
        <w:pStyle w:val="39"/>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地表水环境质量现状</w:t>
      </w:r>
    </w:p>
    <w:p>
      <w:pPr>
        <w:adjustRightInd w:val="0"/>
        <w:spacing w:line="50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区域最近的地表水体为场址东侧20m处的南大河，南大河为浊漳南源一级支流平顺河的支流，平顺河在辛安村附近汇入浊漳河。根据《山西省地表水环境功能区划》（DB14/67-2019），项目所在区域属浊漳河实会断面，水环境功能为保留区水源保护，水质目标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ROMAN</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类。</w:t>
      </w:r>
    </w:p>
    <w:p>
      <w:pPr>
        <w:adjustRightInd w:val="0"/>
        <w:spacing w:line="500" w:lineRule="exact"/>
        <w:ind w:firstLine="496" w:firstLineChars="200"/>
        <w:textAlignment w:val="baseline"/>
        <w:rPr>
          <w:color w:val="000000" w:themeColor="text1"/>
          <w:sz w:val="24"/>
          <w14:textFill>
            <w14:solidFill>
              <w14:schemeClr w14:val="tx1"/>
            </w14:solidFill>
          </w14:textFill>
        </w:rPr>
      </w:pPr>
      <w:r>
        <w:rPr>
          <w:rFonts w:hint="eastAsia"/>
          <w:color w:val="000000" w:themeColor="text1"/>
          <w:spacing w:val="4"/>
          <w:sz w:val="24"/>
          <w14:textFill>
            <w14:solidFill>
              <w14:schemeClr w14:val="tx1"/>
            </w14:solidFill>
          </w14:textFill>
        </w:rPr>
        <w:t>本项目无废水直接外排，</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长治市生态环境局网站公开发布的长治市2023年4月地表水环境质量状况，实会断面为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ROMAN</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水质，水质状况为良好，满足水质目标要求。</w:t>
      </w:r>
    </w:p>
    <w:p>
      <w:pPr>
        <w:pStyle w:val="39"/>
        <w:ind w:firstLine="482"/>
        <w:rPr>
          <w:b/>
          <w:bCs/>
        </w:rPr>
      </w:pPr>
      <w:r>
        <w:rPr>
          <w:rFonts w:hint="eastAsia"/>
          <w:b/>
          <w:bCs/>
        </w:rPr>
        <w:t>3、</w:t>
      </w:r>
      <w:r>
        <w:rPr>
          <w:b/>
          <w:bCs/>
        </w:rPr>
        <w:t>地下水环境质量现状</w:t>
      </w:r>
    </w:p>
    <w:p>
      <w:pPr>
        <w:widowControl/>
        <w:spacing w:line="480" w:lineRule="exact"/>
        <w:ind w:firstLine="480" w:firstLineChars="200"/>
        <w:jc w:val="left"/>
        <w:rPr>
          <w:sz w:val="24"/>
        </w:rPr>
      </w:pPr>
      <w:bookmarkStart w:id="201" w:name="_Toc351018110"/>
      <w:bookmarkStart w:id="202" w:name="_Toc349660944"/>
      <w:bookmarkStart w:id="203" w:name="_Toc349661302"/>
      <w:bookmarkStart w:id="204" w:name="_Toc349662610"/>
      <w:bookmarkStart w:id="205" w:name="_Toc364787212"/>
      <w:bookmarkStart w:id="206" w:name="_Toc413076051"/>
      <w:r>
        <w:rPr>
          <w:rFonts w:hint="eastAsia"/>
          <w:sz w:val="24"/>
        </w:rPr>
        <w:t>项目委托监测单位对区域地下水环境进行现状监测，共设7个潜水水质监测点，14个潜水水位监测点，丰水季、枯水季共监测二期，监测项目包括导则中规定的八大离子和21项基本水质因子。</w:t>
      </w:r>
    </w:p>
    <w:p>
      <w:pPr>
        <w:pStyle w:val="10"/>
        <w:spacing w:line="500" w:lineRule="exact"/>
        <w:ind w:firstLine="480"/>
        <w:rPr>
          <w:bCs/>
          <w:kern w:val="0"/>
          <w:sz w:val="24"/>
        </w:rPr>
      </w:pPr>
      <w:r>
        <w:rPr>
          <w:rFonts w:hint="eastAsia" w:cstheme="minorEastAsia"/>
          <w:bCs/>
          <w:kern w:val="0"/>
          <w:sz w:val="24"/>
        </w:rPr>
        <w:t>根据监测结果，</w:t>
      </w:r>
      <w:r>
        <w:rPr>
          <w:rFonts w:hint="eastAsia"/>
          <w:bCs/>
          <w:kern w:val="0"/>
          <w:sz w:val="24"/>
        </w:rPr>
        <w:t>各点位监测指标枯水期和丰水期均可满足《地下水质量标准》（GB/T14848-2017）中III类标准限值。</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4、</w:t>
      </w:r>
      <w:r>
        <w:rPr>
          <w:rFonts w:ascii="Times New Roman" w:hAnsi="Times New Roman" w:eastAsia="宋体" w:cs="Times New Roman"/>
          <w:color w:val="auto"/>
          <w:kern w:val="2"/>
          <w:sz w:val="24"/>
        </w:rPr>
        <w:t>声环境质量现状</w:t>
      </w:r>
    </w:p>
    <w:p>
      <w:pPr>
        <w:spacing w:line="500" w:lineRule="exact"/>
        <w:ind w:firstLine="480" w:firstLineChars="200"/>
        <w:rPr>
          <w:sz w:val="24"/>
        </w:rPr>
      </w:pPr>
      <w:r>
        <w:rPr>
          <w:rFonts w:hint="eastAsia"/>
          <w:sz w:val="24"/>
        </w:rPr>
        <w:t>项目委托监测单位对场地周边的声环境质量进行了现状监测，共设4个监测点位，均为场界监测点，根据监测结果，4个监测点昼间噪声值范围为50.7~54.0dB(A)，夜间噪声值范围为39.0~43.6dB(A)，均可满足《声环境质量标准》（GB3096-2008）中的1类标准限值要求。</w:t>
      </w:r>
    </w:p>
    <w:p>
      <w:pPr>
        <w:pStyle w:val="38"/>
        <w:ind w:firstLine="482" w:firstLineChars="200"/>
        <w:rPr>
          <w:rFonts w:ascii="Times New Roman" w:hAnsi="Times New Roman" w:eastAsia="宋体" w:cs="Times New Roman"/>
          <w:color w:val="auto"/>
          <w:kern w:val="2"/>
          <w:sz w:val="24"/>
        </w:rPr>
      </w:pPr>
      <w:bookmarkStart w:id="207" w:name="_Toc10323"/>
      <w:r>
        <w:rPr>
          <w:rFonts w:hint="eastAsia" w:ascii="Times New Roman" w:hAnsi="Times New Roman" w:eastAsia="宋体" w:cs="Times New Roman"/>
          <w:color w:val="auto"/>
          <w:kern w:val="2"/>
          <w:sz w:val="24"/>
        </w:rPr>
        <w:t>5、</w:t>
      </w:r>
      <w:r>
        <w:rPr>
          <w:rFonts w:ascii="Times New Roman" w:hAnsi="Times New Roman" w:eastAsia="宋体" w:cs="Times New Roman"/>
          <w:color w:val="auto"/>
          <w:kern w:val="2"/>
          <w:sz w:val="24"/>
        </w:rPr>
        <w:t>土壤环境质量现状</w:t>
      </w:r>
    </w:p>
    <w:p>
      <w:pPr>
        <w:spacing w:line="480" w:lineRule="exact"/>
        <w:ind w:firstLine="480" w:firstLineChars="200"/>
        <w:rPr>
          <w:sz w:val="24"/>
        </w:rPr>
      </w:pPr>
      <w:r>
        <w:rPr>
          <w:rFonts w:hint="eastAsia"/>
          <w:sz w:val="24"/>
        </w:rPr>
        <w:t>项目委托监测单位对拟建场地及其周边的土壤环境进行了现状监测，共6个监测点位，其中场地内4个监测点（3个柱状，1个表层），场外200m范围的南侧、北侧耕地各设1个监测点。</w:t>
      </w:r>
    </w:p>
    <w:p>
      <w:pPr>
        <w:spacing w:line="480" w:lineRule="exact"/>
        <w:ind w:firstLine="480" w:firstLineChars="200"/>
        <w:rPr>
          <w:sz w:val="24"/>
        </w:rPr>
      </w:pPr>
      <w:r>
        <w:rPr>
          <w:rFonts w:hint="eastAsia"/>
          <w:sz w:val="24"/>
        </w:rPr>
        <w:t>根据监测结果，厂内土壤均达到《土壤环境质量  建设用地土壤污染风险管控标准（试行）》（GB36600-2018）中筛选值第二类用地对应的标准限值。厂外土壤均达到《土壤环境质量  农用地土壤污染风险管控标准（试行）》（GB15618-2018）表1农用地土壤风险筛选值（基本项目）中的标准限值。</w:t>
      </w:r>
    </w:p>
    <w:p>
      <w:pPr>
        <w:pStyle w:val="5"/>
        <w:spacing w:beforeLines="0" w:after="120" w:line="500" w:lineRule="exact"/>
        <w:rPr>
          <w:rFonts w:eastAsia="宋体"/>
          <w:b/>
          <w:bCs w:val="0"/>
          <w:color w:val="auto"/>
          <w:szCs w:val="30"/>
        </w:rPr>
      </w:pPr>
      <w:bookmarkStart w:id="208" w:name="_Toc2608533"/>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4</w:t>
      </w:r>
      <w:r>
        <w:rPr>
          <w:rFonts w:eastAsia="宋体"/>
          <w:b/>
          <w:bCs w:val="0"/>
          <w:color w:val="auto"/>
          <w:szCs w:val="30"/>
        </w:rPr>
        <w:t>环境影响</w:t>
      </w:r>
      <w:bookmarkEnd w:id="207"/>
      <w:r>
        <w:rPr>
          <w:rFonts w:hint="eastAsia" w:eastAsia="宋体"/>
          <w:b/>
          <w:bCs w:val="0"/>
          <w:color w:val="auto"/>
          <w:szCs w:val="30"/>
        </w:rPr>
        <w:t>及预测评价结果</w:t>
      </w:r>
      <w:bookmarkEnd w:id="208"/>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1、大气</w:t>
      </w:r>
      <w:r>
        <w:rPr>
          <w:rFonts w:ascii="Times New Roman" w:hAnsi="Times New Roman" w:eastAsia="宋体" w:cs="Times New Roman"/>
          <w:color w:val="auto"/>
          <w:kern w:val="2"/>
          <w:sz w:val="24"/>
        </w:rPr>
        <w:t>环境</w:t>
      </w:r>
    </w:p>
    <w:p>
      <w:pPr>
        <w:spacing w:line="480" w:lineRule="exact"/>
        <w:ind w:firstLine="480" w:firstLineChars="200"/>
        <w:rPr>
          <w:sz w:val="24"/>
        </w:rPr>
      </w:pPr>
      <w:r>
        <w:rPr>
          <w:sz w:val="24"/>
          <w:lang w:val="zh-CN"/>
        </w:rPr>
        <w:t>项目运营过程中大气污染源主要为垃圾压实后垃圾中有机物发酵产生的填埋气及由此产生的恶臭，其次为垃圾运输、倾倒、覆土等过程产生的扬尘等，</w:t>
      </w:r>
      <w:r>
        <w:rPr>
          <w:rFonts w:hint="eastAsia"/>
          <w:sz w:val="24"/>
          <w:lang w:val="zh-CN"/>
        </w:rPr>
        <w:t>严格落实各环保措施后，</w:t>
      </w:r>
      <w:r>
        <w:rPr>
          <w:rFonts w:hint="eastAsia"/>
          <w:sz w:val="24"/>
        </w:rPr>
        <w:t>根据预测结果，项目各污染物最大浓度占标率均相对较低，其中最大为</w:t>
      </w:r>
      <w:r>
        <w:rPr>
          <w:sz w:val="24"/>
        </w:rPr>
        <w:t>P</w:t>
      </w:r>
      <w:r>
        <w:rPr>
          <w:sz w:val="24"/>
          <w:vertAlign w:val="subscript"/>
        </w:rPr>
        <w:t>NH3</w:t>
      </w:r>
      <w:r>
        <w:rPr>
          <w:rFonts w:hint="eastAsia"/>
          <w:sz w:val="24"/>
        </w:rPr>
        <w:t>=7.85</w:t>
      </w:r>
      <w:r>
        <w:rPr>
          <w:sz w:val="24"/>
        </w:rPr>
        <w:t>%</w:t>
      </w:r>
      <w:r>
        <w:rPr>
          <w:rFonts w:hint="eastAsia"/>
          <w:sz w:val="24"/>
        </w:rPr>
        <w:t>，对区域大气环境及村庄等产生的影响可以接受，</w:t>
      </w:r>
      <w:r>
        <w:rPr>
          <w:rFonts w:hint="eastAsia"/>
          <w:sz w:val="24"/>
          <w:lang w:val="zh-CN"/>
        </w:rPr>
        <w:t>各</w:t>
      </w:r>
      <w:r>
        <w:rPr>
          <w:sz w:val="24"/>
          <w:lang w:val="zh-CN"/>
        </w:rPr>
        <w:t>污染因子在项目场界及周围均无超标点，本项目不需设置大气环境防护距离。</w:t>
      </w:r>
      <w:r>
        <w:rPr>
          <w:rFonts w:hint="eastAsia"/>
          <w:sz w:val="24"/>
        </w:rPr>
        <w:t>另外，根据项目场界无组织H</w:t>
      </w:r>
      <w:r>
        <w:rPr>
          <w:rFonts w:hint="eastAsia"/>
          <w:sz w:val="24"/>
          <w:vertAlign w:val="subscript"/>
        </w:rPr>
        <w:t>2</w:t>
      </w:r>
      <w:r>
        <w:rPr>
          <w:rFonts w:hint="eastAsia"/>
          <w:sz w:val="24"/>
        </w:rPr>
        <w:t>S、NH</w:t>
      </w:r>
      <w:r>
        <w:rPr>
          <w:rFonts w:hint="eastAsia"/>
          <w:sz w:val="24"/>
          <w:vertAlign w:val="subscript"/>
        </w:rPr>
        <w:t>3</w:t>
      </w:r>
      <w:r>
        <w:rPr>
          <w:rFonts w:hint="eastAsia"/>
          <w:sz w:val="24"/>
        </w:rPr>
        <w:t>、颗粒物的现状监测结果</w:t>
      </w:r>
      <w:r>
        <w:rPr>
          <w:sz w:val="24"/>
        </w:rPr>
        <w:t>，</w:t>
      </w:r>
      <w:r>
        <w:rPr>
          <w:rFonts w:hint="eastAsia"/>
          <w:sz w:val="24"/>
        </w:rPr>
        <w:t>场界浓度均可达标。</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2、地表</w:t>
      </w:r>
      <w:r>
        <w:rPr>
          <w:rFonts w:ascii="Times New Roman" w:hAnsi="Times New Roman" w:eastAsia="宋体" w:cs="Times New Roman"/>
          <w:color w:val="auto"/>
          <w:kern w:val="2"/>
          <w:sz w:val="24"/>
        </w:rPr>
        <w:t>水环境</w:t>
      </w:r>
    </w:p>
    <w:p>
      <w:pPr>
        <w:spacing w:line="480" w:lineRule="exact"/>
        <w:ind w:firstLine="480" w:firstLineChars="200"/>
        <w:rPr>
          <w:sz w:val="24"/>
        </w:rPr>
      </w:pPr>
      <w:r>
        <w:rPr>
          <w:rFonts w:hint="eastAsia"/>
          <w:sz w:val="24"/>
        </w:rPr>
        <w:t>项目运营过程中废水主要为库区的垃圾渗滤液，以及管理区的少量职工生活废水和洗车废水等，上述废水均随垃圾渗滤液进入渗滤液调节池和渗滤液处理站，经“预处理+两级DTRO反渗透”处理达标后，出水全部回用于场内及县城道路洒水、环卫绿化等，处理过程中的反渗透浓水全部回喷库区，本项目无外排废水。</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3、地下</w:t>
      </w:r>
      <w:r>
        <w:rPr>
          <w:rFonts w:ascii="Times New Roman" w:hAnsi="Times New Roman" w:eastAsia="宋体" w:cs="Times New Roman"/>
          <w:color w:val="auto"/>
          <w:kern w:val="2"/>
          <w:sz w:val="24"/>
        </w:rPr>
        <w:t>水环境</w:t>
      </w:r>
    </w:p>
    <w:p>
      <w:pPr>
        <w:spacing w:line="480" w:lineRule="exact"/>
        <w:ind w:firstLine="480" w:firstLineChars="200"/>
        <w:rPr>
          <w:sz w:val="24"/>
        </w:rPr>
      </w:pPr>
      <w:r>
        <w:rPr>
          <w:rFonts w:hint="eastAsia"/>
          <w:sz w:val="24"/>
        </w:rPr>
        <w:t>项目正常运营状况下，填埋场防渗及渗滤液收集导排处理正常运行情况下，场内渗滤液及职工生活、洗车废水经处理达标后全部回用于场内及县城道路洒水、环卫绿化，无外排废水，不会对地下水环境产生污染影响。</w:t>
      </w:r>
    </w:p>
    <w:p>
      <w:pPr>
        <w:spacing w:line="480" w:lineRule="exact"/>
        <w:ind w:firstLine="480" w:firstLineChars="200"/>
        <w:rPr>
          <w:sz w:val="24"/>
        </w:rPr>
      </w:pPr>
      <w:r>
        <w:rPr>
          <w:rFonts w:hint="eastAsia"/>
          <w:sz w:val="24"/>
        </w:rPr>
        <w:t>非正常状况下，预设库区防渗膜破裂，垃圾渗滤液发生渗漏，直接进入包气带，向下渗透进入奥灰含水层，根据模拟预测结果，渗滤液中氨氮沿地下水流方向向下游迁移，且随着时间累计迁移距离逐渐变长，最大运移距离473m，在污染源下游473m及更远距离处污染物浓度达到地下水Ⅲ类水质标准要求，影响范围相对较小，项目场地周边及评价范围内无具有供水意义的村庄分散式水源井，壶关县北关深井水源地、集店镇集中供水水源地、常平开发区集中供水水源地均位于场地的西南方向，不属于地下水流向下游位置且与项目场地距离相对均较远，模拟预测结果对上述敏感目标不会产生大的影响。</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4、</w:t>
      </w:r>
      <w:r>
        <w:rPr>
          <w:rFonts w:ascii="Times New Roman" w:hAnsi="Times New Roman" w:eastAsia="宋体" w:cs="Times New Roman"/>
          <w:color w:val="auto"/>
          <w:kern w:val="2"/>
          <w:sz w:val="24"/>
        </w:rPr>
        <w:t>声环境</w:t>
      </w:r>
    </w:p>
    <w:p>
      <w:pPr>
        <w:spacing w:line="500" w:lineRule="exact"/>
        <w:ind w:firstLine="480" w:firstLineChars="200"/>
        <w:rPr>
          <w:sz w:val="24"/>
        </w:rPr>
      </w:pPr>
      <w:r>
        <w:rPr>
          <w:rFonts w:hint="eastAsia"/>
          <w:sz w:val="24"/>
        </w:rPr>
        <w:t>项目运营过程中场内噪声源主要为填埋作业机械、渗滤液处理站水泵、填埋气抽气机房风机等，噪声源强数量及高噪声源强相对较少，且多为间歇运行，项目为白天8小时工作制，场地周边主要为农田及荒地，距离最近的敏感点为南侧约670m处的逢善村，其次为西侧约700m处的辛村村，在落实各降噪措施后，项目场地运营对区域声环境及村庄等敏感点影响较小。另外，根据项目场界噪声现状监测结果</w:t>
      </w:r>
      <w:r>
        <w:rPr>
          <w:sz w:val="24"/>
        </w:rPr>
        <w:t>，</w:t>
      </w:r>
      <w:r>
        <w:rPr>
          <w:rFonts w:hint="eastAsia"/>
          <w:sz w:val="24"/>
        </w:rPr>
        <w:t>场界噪声满足达标排放。</w:t>
      </w:r>
    </w:p>
    <w:p>
      <w:pPr>
        <w:spacing w:line="480" w:lineRule="exact"/>
        <w:ind w:firstLine="480" w:firstLineChars="200"/>
        <w:rPr>
          <w:sz w:val="24"/>
        </w:rPr>
      </w:pPr>
      <w:r>
        <w:rPr>
          <w:rFonts w:hint="eastAsia"/>
          <w:sz w:val="24"/>
        </w:rPr>
        <w:t>项目生活垃圾运输路线主要为“县城西城路—省道李东线（S325）—进场道路”，采用厢式压缩车进行运输，车辆驶离城区后在省道李东线沿线分布有北皇村和辛村村两个村庄敏感点，项目垃圾运输车不穿越上述村庄，运输时间正常情况下均在白天8小时工作时间内，且频次较低（平均约10车次/天），对沿线村庄等敏感点影响较小。</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5、固废处置</w:t>
      </w:r>
    </w:p>
    <w:p>
      <w:pPr>
        <w:spacing w:line="480" w:lineRule="exact"/>
        <w:ind w:firstLine="480" w:firstLineChars="200"/>
        <w:rPr>
          <w:sz w:val="24"/>
        </w:rPr>
      </w:pPr>
      <w:r>
        <w:rPr>
          <w:rFonts w:hint="eastAsia"/>
          <w:sz w:val="24"/>
        </w:rPr>
        <w:t>项目运营产生的固废主要为渗滤液处理车间废水处理过程产生的部分过滤渣及少量职工生活垃圾，数量较少，性质较为简单，均送至场内库区进行填埋处置。</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6、</w:t>
      </w:r>
      <w:r>
        <w:rPr>
          <w:rFonts w:ascii="Times New Roman" w:hAnsi="Times New Roman" w:eastAsia="宋体" w:cs="Times New Roman"/>
          <w:color w:val="auto"/>
          <w:kern w:val="2"/>
          <w:sz w:val="24"/>
        </w:rPr>
        <w:t>生态环境</w:t>
      </w:r>
    </w:p>
    <w:p>
      <w:pPr>
        <w:spacing w:line="500" w:lineRule="exact"/>
        <w:ind w:firstLine="496" w:firstLineChars="200"/>
        <w:jc w:val="left"/>
        <w:rPr>
          <w:color w:val="FF0000"/>
          <w:spacing w:val="4"/>
          <w:sz w:val="24"/>
          <w:lang w:val="zh-CN"/>
        </w:rPr>
      </w:pPr>
      <w:r>
        <w:rPr>
          <w:rFonts w:hint="eastAsia"/>
          <w:spacing w:val="4"/>
          <w:sz w:val="24"/>
          <w:lang w:val="zh-CN"/>
        </w:rPr>
        <w:t>项目生态环境影响主要为占地施工破坏区域植被，影响区域景观，填埋作业粉尘沉降影响周边农田、土壤，导致蚊蝇鼠类繁殖滋扰，以及施工遗留堆土场水土流失等，项目生态影响环节和程度相对较轻，在落实各防护措施后，对区域生态环境影响较小，且多为暂时性的，随着场地封场生态恢复，上述影响将逐渐减弱和消失。</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7、土壤</w:t>
      </w:r>
      <w:r>
        <w:rPr>
          <w:rFonts w:ascii="Times New Roman" w:hAnsi="Times New Roman" w:eastAsia="宋体" w:cs="Times New Roman"/>
          <w:color w:val="auto"/>
          <w:kern w:val="2"/>
          <w:sz w:val="24"/>
        </w:rPr>
        <w:t>环境</w:t>
      </w:r>
    </w:p>
    <w:p>
      <w:pPr>
        <w:spacing w:line="480" w:lineRule="exact"/>
        <w:ind w:firstLine="480" w:firstLineChars="200"/>
        <w:rPr>
          <w:sz w:val="24"/>
        </w:rPr>
      </w:pPr>
      <w:r>
        <w:rPr>
          <w:rFonts w:hint="eastAsia"/>
          <w:sz w:val="24"/>
        </w:rPr>
        <w:t>项目正常运营状况下，填埋场防渗及渗滤液收集导排处理设施正常运行情况下，场内渗滤液及职工生活、洗车废水经处理达标后全部回用于场内及县城道路洒水、环卫绿化，无外排废水，不会对土壤环境产生污染影响。</w:t>
      </w:r>
    </w:p>
    <w:p>
      <w:pPr>
        <w:spacing w:line="500" w:lineRule="exact"/>
        <w:ind w:firstLine="480" w:firstLineChars="200"/>
        <w:rPr>
          <w:spacing w:val="-4"/>
          <w:kern w:val="0"/>
          <w:sz w:val="24"/>
          <w:lang w:bidi="zh-CN"/>
        </w:rPr>
      </w:pPr>
      <w:r>
        <w:rPr>
          <w:rFonts w:hint="eastAsia"/>
          <w:sz w:val="24"/>
        </w:rPr>
        <w:t>非正常状况下，预设库区防渗膜破裂，垃圾渗滤液发生渗漏，向下进入包气带和土壤层，根据模拟预测结果，</w:t>
      </w:r>
      <w:r>
        <w:rPr>
          <w:spacing w:val="-4"/>
          <w:kern w:val="0"/>
          <w:sz w:val="24"/>
          <w:lang w:bidi="zh-CN"/>
        </w:rPr>
        <w:t>场地六价铬在进入土壤100d后，垂向最远迁移距离（深度）约为90cm，</w:t>
      </w:r>
      <w:r>
        <w:rPr>
          <w:rFonts w:hint="eastAsia"/>
          <w:spacing w:val="-4"/>
          <w:kern w:val="0"/>
          <w:sz w:val="24"/>
          <w:lang w:bidi="zh-CN"/>
        </w:rPr>
        <w:t>500</w:t>
      </w:r>
      <w:r>
        <w:rPr>
          <w:spacing w:val="-4"/>
          <w:kern w:val="0"/>
          <w:sz w:val="24"/>
          <w:lang w:bidi="zh-CN"/>
        </w:rPr>
        <w:t>d后，垂向最远运移距离约为</w:t>
      </w:r>
      <w:r>
        <w:rPr>
          <w:rFonts w:hint="eastAsia"/>
          <w:spacing w:val="-4"/>
          <w:kern w:val="0"/>
          <w:sz w:val="24"/>
          <w:lang w:bidi="zh-CN"/>
        </w:rPr>
        <w:t>170</w:t>
      </w:r>
      <w:r>
        <w:rPr>
          <w:spacing w:val="-4"/>
          <w:kern w:val="0"/>
          <w:sz w:val="24"/>
          <w:lang w:bidi="zh-CN"/>
        </w:rPr>
        <w:t>cm，</w:t>
      </w:r>
      <w:r>
        <w:rPr>
          <w:rFonts w:hint="eastAsia"/>
          <w:spacing w:val="-4"/>
          <w:kern w:val="0"/>
          <w:sz w:val="24"/>
          <w:lang w:bidi="zh-CN"/>
        </w:rPr>
        <w:t>10</w:t>
      </w:r>
      <w:r>
        <w:rPr>
          <w:spacing w:val="-4"/>
          <w:kern w:val="0"/>
          <w:sz w:val="24"/>
          <w:lang w:bidi="zh-CN"/>
        </w:rPr>
        <w:t>00d后，垂向最远运移距离约为2</w:t>
      </w:r>
      <w:r>
        <w:rPr>
          <w:rFonts w:hint="eastAsia"/>
          <w:spacing w:val="-4"/>
          <w:kern w:val="0"/>
          <w:sz w:val="24"/>
          <w:lang w:bidi="zh-CN"/>
        </w:rPr>
        <w:t>1</w:t>
      </w:r>
      <w:r>
        <w:rPr>
          <w:spacing w:val="-4"/>
          <w:kern w:val="0"/>
          <w:sz w:val="24"/>
          <w:lang w:bidi="zh-CN"/>
        </w:rPr>
        <w:t>5cm，</w:t>
      </w:r>
      <w:r>
        <w:rPr>
          <w:rFonts w:hint="eastAsia"/>
          <w:spacing w:val="-4"/>
          <w:kern w:val="0"/>
          <w:sz w:val="24"/>
          <w:lang w:bidi="zh-CN"/>
        </w:rPr>
        <w:t>365</w:t>
      </w:r>
      <w:r>
        <w:rPr>
          <w:spacing w:val="-4"/>
          <w:kern w:val="0"/>
          <w:sz w:val="24"/>
          <w:lang w:bidi="zh-CN"/>
        </w:rPr>
        <w:t>0d后，垂向最远运移距离约为</w:t>
      </w:r>
      <w:r>
        <w:rPr>
          <w:rFonts w:hint="eastAsia"/>
          <w:spacing w:val="-4"/>
          <w:kern w:val="0"/>
          <w:sz w:val="24"/>
          <w:lang w:bidi="zh-CN"/>
        </w:rPr>
        <w:t>360</w:t>
      </w:r>
      <w:r>
        <w:rPr>
          <w:spacing w:val="-4"/>
          <w:kern w:val="0"/>
          <w:sz w:val="24"/>
          <w:lang w:bidi="zh-CN"/>
        </w:rPr>
        <w:t>cm</w:t>
      </w:r>
      <w:r>
        <w:rPr>
          <w:rFonts w:hint="eastAsia"/>
          <w:spacing w:val="-4"/>
          <w:kern w:val="0"/>
          <w:sz w:val="24"/>
          <w:lang w:bidi="zh-CN"/>
        </w:rPr>
        <w:t>。</w:t>
      </w:r>
      <w:r>
        <w:rPr>
          <w:spacing w:val="-4"/>
          <w:kern w:val="0"/>
          <w:sz w:val="24"/>
          <w:lang w:bidi="zh-CN"/>
        </w:rPr>
        <w:t>总体来看，污染物</w:t>
      </w:r>
      <w:r>
        <w:rPr>
          <w:rFonts w:eastAsiaTheme="minorEastAsia"/>
          <w:spacing w:val="-4"/>
          <w:kern w:val="0"/>
          <w:sz w:val="24"/>
          <w:lang w:bidi="zh-CN"/>
        </w:rPr>
        <w:t>六价铬</w:t>
      </w:r>
      <w:r>
        <w:rPr>
          <w:spacing w:val="-4"/>
          <w:kern w:val="0"/>
          <w:sz w:val="24"/>
          <w:lang w:bidi="zh-CN"/>
        </w:rPr>
        <w:t>进入土壤垂向迁移过程中，浓度随运移距离呈先逐渐增大，到达最大值后逐渐变小的趋势，场地浓度最大值为</w:t>
      </w:r>
      <w:r>
        <w:rPr>
          <w:rFonts w:eastAsiaTheme="minorEastAsia"/>
          <w:spacing w:val="-4"/>
          <w:kern w:val="0"/>
          <w:sz w:val="24"/>
          <w:lang w:bidi="zh-CN"/>
        </w:rPr>
        <w:t>0.00</w:t>
      </w:r>
      <w:r>
        <w:rPr>
          <w:rFonts w:hint="eastAsia"/>
          <w:spacing w:val="-4"/>
          <w:kern w:val="0"/>
          <w:sz w:val="24"/>
          <w:lang w:bidi="zh-CN"/>
        </w:rPr>
        <w:t>93m</w:t>
      </w:r>
      <w:r>
        <w:rPr>
          <w:rFonts w:eastAsiaTheme="minorEastAsia"/>
          <w:spacing w:val="-4"/>
          <w:kern w:val="0"/>
          <w:sz w:val="24"/>
          <w:lang w:bidi="zh-CN"/>
        </w:rPr>
        <w:t>g/cm</w:t>
      </w:r>
      <w:r>
        <w:rPr>
          <w:rFonts w:eastAsiaTheme="minorEastAsia"/>
          <w:spacing w:val="-4"/>
          <w:kern w:val="0"/>
          <w:sz w:val="24"/>
          <w:vertAlign w:val="superscript"/>
          <w:lang w:bidi="zh-CN"/>
        </w:rPr>
        <w:t>3</w:t>
      </w:r>
      <w:r>
        <w:rPr>
          <w:spacing w:val="-4"/>
          <w:kern w:val="0"/>
          <w:sz w:val="24"/>
          <w:lang w:bidi="zh-CN"/>
        </w:rPr>
        <w:t>，经换算得出</w:t>
      </w:r>
      <w:r>
        <w:rPr>
          <w:rFonts w:eastAsiaTheme="minorEastAsia"/>
          <w:spacing w:val="-4"/>
          <w:kern w:val="0"/>
          <w:sz w:val="24"/>
          <w:lang w:bidi="zh-CN"/>
        </w:rPr>
        <w:t>六价铬</w:t>
      </w:r>
      <w:r>
        <w:rPr>
          <w:spacing w:val="-4"/>
          <w:kern w:val="0"/>
          <w:sz w:val="24"/>
          <w:lang w:bidi="zh-CN"/>
        </w:rPr>
        <w:t>最大预测浓度为</w:t>
      </w:r>
      <w:r>
        <w:rPr>
          <w:rFonts w:hint="eastAsia"/>
          <w:spacing w:val="-4"/>
          <w:kern w:val="0"/>
          <w:sz w:val="24"/>
          <w:lang w:bidi="zh-CN"/>
        </w:rPr>
        <w:t>2.56</w:t>
      </w:r>
      <w:r>
        <w:rPr>
          <w:spacing w:val="-4"/>
          <w:kern w:val="0"/>
          <w:sz w:val="24"/>
          <w:lang w:bidi="zh-CN"/>
        </w:rPr>
        <w:t>mg/kg，叠加背景值</w:t>
      </w:r>
      <w:r>
        <w:rPr>
          <w:rFonts w:hint="eastAsia"/>
          <w:spacing w:val="-4"/>
          <w:kern w:val="0"/>
          <w:sz w:val="24"/>
          <w:lang w:bidi="zh-CN"/>
        </w:rPr>
        <w:t>后小于</w:t>
      </w:r>
      <w:r>
        <w:rPr>
          <w:spacing w:val="-4"/>
          <w:kern w:val="0"/>
          <w:sz w:val="24"/>
          <w:lang w:bidi="zh-CN"/>
        </w:rPr>
        <w:t xml:space="preserve">《土壤环境质量 </w:t>
      </w:r>
      <w:r>
        <w:rPr>
          <w:rFonts w:hint="eastAsia"/>
          <w:spacing w:val="-4"/>
          <w:kern w:val="0"/>
          <w:sz w:val="24"/>
          <w:lang w:bidi="zh-CN"/>
        </w:rPr>
        <w:t>建设用</w:t>
      </w:r>
      <w:r>
        <w:rPr>
          <w:spacing w:val="-4"/>
          <w:kern w:val="0"/>
          <w:sz w:val="24"/>
          <w:lang w:bidi="zh-CN"/>
        </w:rPr>
        <w:t>地土壤污染风险管控标准（试行）》（GB</w:t>
      </w:r>
      <w:r>
        <w:rPr>
          <w:rFonts w:hint="eastAsia"/>
          <w:spacing w:val="-4"/>
          <w:kern w:val="0"/>
          <w:sz w:val="24"/>
          <w:lang w:bidi="zh-CN"/>
        </w:rPr>
        <w:t>36600</w:t>
      </w:r>
      <w:r>
        <w:rPr>
          <w:spacing w:val="-4"/>
          <w:kern w:val="0"/>
          <w:sz w:val="24"/>
          <w:lang w:bidi="zh-CN"/>
        </w:rPr>
        <w:t>-2018）</w:t>
      </w:r>
      <w:r>
        <w:rPr>
          <w:rFonts w:hint="eastAsia"/>
          <w:spacing w:val="-4"/>
          <w:kern w:val="0"/>
          <w:sz w:val="24"/>
          <w:lang w:bidi="zh-CN"/>
        </w:rPr>
        <w:t>第二类用地筛选值5.7</w:t>
      </w:r>
      <w:r>
        <w:rPr>
          <w:spacing w:val="-4"/>
          <w:kern w:val="0"/>
          <w:sz w:val="24"/>
          <w:lang w:bidi="zh-CN"/>
        </w:rPr>
        <w:t>mg/kg</w:t>
      </w:r>
      <w:r>
        <w:rPr>
          <w:rFonts w:hint="eastAsia"/>
          <w:spacing w:val="-4"/>
          <w:kern w:val="0"/>
          <w:sz w:val="24"/>
          <w:lang w:bidi="zh-CN"/>
        </w:rPr>
        <w:t>的限值</w:t>
      </w:r>
      <w:r>
        <w:rPr>
          <w:spacing w:val="-4"/>
          <w:kern w:val="0"/>
          <w:sz w:val="24"/>
          <w:lang w:bidi="zh-CN"/>
        </w:rPr>
        <w:t>要求，预设情景下，渗滤液下渗对区域土壤环境质量影响可接受。</w:t>
      </w:r>
    </w:p>
    <w:p>
      <w:pPr>
        <w:pStyle w:val="38"/>
        <w:ind w:firstLine="482" w:firstLineChars="200"/>
        <w:rPr>
          <w:rFonts w:ascii="Times New Roman" w:hAnsi="Times New Roman" w:eastAsia="宋体" w:cs="Times New Roman"/>
          <w:color w:val="auto"/>
          <w:kern w:val="2"/>
          <w:sz w:val="24"/>
        </w:rPr>
      </w:pPr>
      <w:r>
        <w:rPr>
          <w:rFonts w:hint="eastAsia" w:ascii="Times New Roman" w:hAnsi="Times New Roman" w:eastAsia="宋体" w:cs="Times New Roman"/>
          <w:color w:val="auto"/>
          <w:kern w:val="2"/>
          <w:sz w:val="24"/>
        </w:rPr>
        <w:t>8、环境风险</w:t>
      </w:r>
    </w:p>
    <w:p>
      <w:pPr>
        <w:autoSpaceDE w:val="0"/>
        <w:autoSpaceDN w:val="0"/>
        <w:adjustRightInd w:val="0"/>
        <w:spacing w:line="500" w:lineRule="exact"/>
        <w:ind w:firstLine="480" w:firstLineChars="200"/>
        <w:rPr>
          <w:b/>
          <w:bCs/>
          <w:kern w:val="24"/>
          <w:sz w:val="24"/>
        </w:rPr>
      </w:pPr>
      <w:r>
        <w:rPr>
          <w:sz w:val="24"/>
          <w:lang w:val="zh-CN"/>
        </w:rPr>
        <w:t>项目环境风险源项主要为垃圾填埋气火灾爆炸、渗滤液系统事故泄露及垃圾堆体沉降滑坡等，</w:t>
      </w:r>
      <w:r>
        <w:rPr>
          <w:rFonts w:hint="eastAsia"/>
          <w:sz w:val="24"/>
          <w:lang w:val="zh-CN"/>
        </w:rPr>
        <w:t>在</w:t>
      </w:r>
      <w:r>
        <w:rPr>
          <w:rFonts w:hint="eastAsia"/>
          <w:sz w:val="24"/>
        </w:rPr>
        <w:t>严格落实各风险防范措施，按要求制定和执行环境风险应急预案后，可有效降低事故发生的几率，项目风险事故的环境影响也可控制在可防控范围内。</w:t>
      </w:r>
    </w:p>
    <w:p>
      <w:pPr>
        <w:pStyle w:val="5"/>
        <w:spacing w:beforeLines="0" w:after="120" w:line="500" w:lineRule="exact"/>
        <w:rPr>
          <w:rFonts w:eastAsia="宋体"/>
          <w:b/>
          <w:bCs w:val="0"/>
          <w:color w:val="auto"/>
          <w:szCs w:val="30"/>
        </w:rPr>
      </w:pPr>
      <w:bookmarkStart w:id="209" w:name="_Toc52117402"/>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5主要环境保护措施</w:t>
      </w:r>
      <w:bookmarkEnd w:id="209"/>
    </w:p>
    <w:p>
      <w:pPr>
        <w:snapToGrid w:val="0"/>
        <w:spacing w:line="500" w:lineRule="exact"/>
        <w:ind w:firstLine="482" w:firstLineChars="200"/>
        <w:rPr>
          <w:b/>
          <w:bCs/>
          <w:sz w:val="24"/>
        </w:rPr>
      </w:pPr>
      <w:r>
        <w:rPr>
          <w:rFonts w:hint="eastAsia"/>
          <w:b/>
          <w:bCs/>
          <w:sz w:val="24"/>
        </w:rPr>
        <w:t>1、大气环境：</w:t>
      </w:r>
    </w:p>
    <w:p>
      <w:pPr>
        <w:snapToGrid w:val="0"/>
        <w:spacing w:line="500" w:lineRule="exact"/>
        <w:ind w:firstLine="482" w:firstLineChars="200"/>
        <w:rPr>
          <w:sz w:val="24"/>
        </w:rPr>
      </w:pPr>
      <w:r>
        <w:rPr>
          <w:b/>
          <w:bCs/>
          <w:sz w:val="24"/>
        </w:rPr>
        <w:t>（1）爆炸隐患和填埋气污染防治</w:t>
      </w:r>
      <w:r>
        <w:rPr>
          <w:sz w:val="24"/>
        </w:rPr>
        <w:t>：配套完善导气石笼井、水平导气管和抽气机房、火炬式燃烧器等收集导排处理设施，初期少量低浓度填埋气经导气石笼中心管放空，随着场内运行、垃圾填埋气产量及甲烷等有机气体含量增加后，填埋气经导气支管、抽气机房主动收集后，送至火炬式燃烧器进行燃烧处理；场内设置可燃气体报警装置。</w:t>
      </w:r>
    </w:p>
    <w:p>
      <w:pPr>
        <w:snapToGrid w:val="0"/>
        <w:spacing w:line="500" w:lineRule="exact"/>
        <w:ind w:firstLine="482" w:firstLineChars="200"/>
        <w:rPr>
          <w:sz w:val="24"/>
        </w:rPr>
      </w:pPr>
      <w:r>
        <w:rPr>
          <w:b/>
          <w:bCs/>
          <w:sz w:val="24"/>
        </w:rPr>
        <w:t>（</w:t>
      </w:r>
      <w:r>
        <w:rPr>
          <w:rFonts w:hint="eastAsia"/>
          <w:b/>
          <w:bCs/>
          <w:sz w:val="24"/>
        </w:rPr>
        <w:t>2</w:t>
      </w:r>
      <w:r>
        <w:rPr>
          <w:b/>
          <w:bCs/>
          <w:sz w:val="24"/>
        </w:rPr>
        <w:t>）恶臭防治</w:t>
      </w:r>
      <w:r>
        <w:rPr>
          <w:sz w:val="24"/>
        </w:rPr>
        <w:t>：渗滤液收集池及提升井为埋地封闭机构，渗滤液处理间利用排风扇加强通风；填埋作业过程中要求垃圾层层压实，每日覆盖土层，随时通过喷药车进行喷药灭杀。</w:t>
      </w:r>
    </w:p>
    <w:p>
      <w:pPr>
        <w:snapToGrid w:val="0"/>
        <w:spacing w:line="500" w:lineRule="exact"/>
        <w:ind w:firstLine="482" w:firstLineChars="200"/>
        <w:rPr>
          <w:sz w:val="24"/>
        </w:rPr>
      </w:pPr>
      <w:r>
        <w:rPr>
          <w:b/>
          <w:bCs/>
          <w:sz w:val="24"/>
        </w:rPr>
        <w:t>（</w:t>
      </w:r>
      <w:r>
        <w:rPr>
          <w:rFonts w:hint="eastAsia"/>
          <w:b/>
          <w:bCs/>
          <w:sz w:val="24"/>
        </w:rPr>
        <w:t>3</w:t>
      </w:r>
      <w:r>
        <w:rPr>
          <w:b/>
          <w:bCs/>
          <w:sz w:val="24"/>
        </w:rPr>
        <w:t>）</w:t>
      </w:r>
      <w:r>
        <w:rPr>
          <w:b/>
          <w:bCs/>
          <w:sz w:val="24"/>
          <w:lang w:val="zh-CN"/>
        </w:rPr>
        <w:t>填埋场粉尘</w:t>
      </w:r>
      <w:r>
        <w:rPr>
          <w:rFonts w:hint="eastAsia"/>
          <w:b/>
          <w:bCs/>
          <w:sz w:val="24"/>
          <w:lang w:val="zh-CN"/>
        </w:rPr>
        <w:t>防治：</w:t>
      </w:r>
      <w:r>
        <w:rPr>
          <w:sz w:val="24"/>
        </w:rPr>
        <w:t>加强场地及道路清扫、洒水，保证频次；场区出入口配套建设洗车平台，运输车辆出场前进行冲洗；填埋区分单元科学作业，尽量缩小堆存作业面积、表面增湿、及时覆盖及垃圾卸车等作业点设移动防飞网；场地四周设防飞散网；场内临时弃土堆表面进行覆盖或播撒草籽；土方场内倒运过程中落实湿法作业，车辆减速慢行，土方覆盖后及时压实等。</w:t>
      </w:r>
    </w:p>
    <w:p>
      <w:pPr>
        <w:snapToGrid w:val="0"/>
        <w:spacing w:line="500" w:lineRule="exact"/>
        <w:ind w:firstLine="482" w:firstLineChars="200"/>
        <w:rPr>
          <w:sz w:val="24"/>
        </w:rPr>
      </w:pPr>
      <w:r>
        <w:rPr>
          <w:b/>
          <w:bCs/>
          <w:sz w:val="24"/>
        </w:rPr>
        <w:t>（</w:t>
      </w:r>
      <w:r>
        <w:rPr>
          <w:rFonts w:hint="eastAsia"/>
          <w:b/>
          <w:bCs/>
          <w:sz w:val="24"/>
        </w:rPr>
        <w:t>4</w:t>
      </w:r>
      <w:r>
        <w:rPr>
          <w:b/>
          <w:bCs/>
          <w:sz w:val="24"/>
        </w:rPr>
        <w:t>）蚊蝇滋扰</w:t>
      </w:r>
      <w:r>
        <w:rPr>
          <w:sz w:val="24"/>
        </w:rPr>
        <w:t>：及时喷洒药物；对蚊蝇实行分季度、有重点的杀灭成虫，减少蚊蝇和鼠类繁殖等。</w:t>
      </w:r>
    </w:p>
    <w:p>
      <w:pPr>
        <w:spacing w:line="500" w:lineRule="exact"/>
        <w:ind w:firstLine="482" w:firstLineChars="200"/>
        <w:rPr>
          <w:sz w:val="24"/>
        </w:rPr>
      </w:pPr>
      <w:r>
        <w:rPr>
          <w:rFonts w:hint="eastAsia"/>
          <w:b/>
          <w:bCs/>
          <w:sz w:val="24"/>
        </w:rPr>
        <w:t>2、地表水环境：</w:t>
      </w:r>
      <w:r>
        <w:rPr>
          <w:rFonts w:hint="eastAsia"/>
          <w:sz w:val="24"/>
        </w:rPr>
        <w:t>填埋区垃圾圾滤液经盲沟导排后自流进入北侧坝前提升井，先被泵入渗滤液调节池，然后进入渗滤液处理车间进行处理，设计处理能力40m</w:t>
      </w:r>
      <w:r>
        <w:rPr>
          <w:rFonts w:hint="eastAsia"/>
          <w:sz w:val="24"/>
          <w:vertAlign w:val="superscript"/>
        </w:rPr>
        <w:t>3</w:t>
      </w:r>
      <w:r>
        <w:rPr>
          <w:rFonts w:hint="eastAsia"/>
          <w:sz w:val="24"/>
        </w:rPr>
        <w:t>/d，处理工艺为“预处理+两级DTRO反渗透”，出水满足《城市污水再生利用 城市杂用水水质》(GB/T18920­2020)标准要求后全部回用于场地及县城绿化、道路清扫，少量职工生活废水和车辆冲洗废水分别经化粪池和沉淀池预处理后进入渗滤液调节池随垃圾渗滤液一起处理，反渗透浓水由吸污车定期运至库区回喷垃圾堆体，本项目不外排废水。</w:t>
      </w:r>
    </w:p>
    <w:p>
      <w:pPr>
        <w:spacing w:line="500" w:lineRule="exact"/>
        <w:ind w:firstLine="482" w:firstLineChars="200"/>
        <w:rPr>
          <w:b/>
          <w:bCs/>
          <w:sz w:val="24"/>
        </w:rPr>
      </w:pPr>
      <w:r>
        <w:rPr>
          <w:rFonts w:hint="eastAsia"/>
          <w:b/>
          <w:bCs/>
          <w:sz w:val="24"/>
        </w:rPr>
        <w:t>3、地下水环境：</w:t>
      </w:r>
    </w:p>
    <w:p>
      <w:pPr>
        <w:spacing w:line="480" w:lineRule="exact"/>
        <w:ind w:firstLine="480" w:firstLineChars="200"/>
        <w:jc w:val="left"/>
        <w:rPr>
          <w:sz w:val="24"/>
        </w:rPr>
      </w:pPr>
      <w:r>
        <w:rPr>
          <w:sz w:val="24"/>
        </w:rPr>
        <w:t>本项目地下水污染防治措施按照“源头控制、末端防治、污染监控、应急响应”相结合的原则，从污染物的产生、入渗、扩散、应急响应进行控制。</w:t>
      </w:r>
    </w:p>
    <w:p>
      <w:pPr>
        <w:widowControl/>
        <w:spacing w:line="480" w:lineRule="exact"/>
        <w:ind w:firstLine="482" w:firstLineChars="200"/>
        <w:jc w:val="left"/>
        <w:rPr>
          <w:b/>
          <w:bCs/>
          <w:sz w:val="24"/>
        </w:rPr>
      </w:pPr>
      <w:r>
        <w:rPr>
          <w:b/>
          <w:bCs/>
          <w:sz w:val="24"/>
        </w:rPr>
        <w:t>（1）源头控制</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加强进场废物的管理，除环卫部门收集、转运的生活垃圾外，其他废物进场必须满足《生活垃圾填埋场污染控制标准》(GB16889-2008)第6条中“填埋废物的入场要求”的相关规定</w:t>
      </w:r>
      <w:r>
        <w:rPr>
          <w:sz w:val="24"/>
        </w:rPr>
        <w:t>。</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运行过程填埋作业应分区、分单元进行，不运行作业面应及时覆盖，不得同时进行多作业面填埋作业或者不分区全场敞开式作业，中间覆盖应形成一定的坡度，每天填埋作业结束后，应对作业面进行覆盖，雨季等特殊气象条件下应加强对作业面的覆盖，填埋作业应采取雨污分流措施，场后堆体表面应按要求敷设封场排水沟，尽量减少渗滤液的产生和下渗。</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加强渗滤液输送管线及相应阀门、管件等导流系统部件的巡视检查，避免渗滤液输送管道因腐蚀等发生破裂和跑、冒、滴、漏</w:t>
      </w:r>
      <w:r>
        <w:rPr>
          <w:sz w:val="24"/>
        </w:rPr>
        <w:t>。</w:t>
      </w:r>
    </w:p>
    <w:p>
      <w:pPr>
        <w:widowControl/>
        <w:spacing w:line="480" w:lineRule="exact"/>
        <w:ind w:firstLine="482" w:firstLineChars="200"/>
        <w:jc w:val="left"/>
        <w:rPr>
          <w:b/>
          <w:bCs/>
          <w:sz w:val="24"/>
        </w:rPr>
      </w:pPr>
      <w:r>
        <w:rPr>
          <w:b/>
          <w:bCs/>
          <w:sz w:val="24"/>
        </w:rPr>
        <w:t>（</w:t>
      </w:r>
      <w:r>
        <w:rPr>
          <w:rFonts w:hint="eastAsia"/>
          <w:b/>
          <w:bCs/>
          <w:sz w:val="24"/>
        </w:rPr>
        <w:t>2</w:t>
      </w:r>
      <w:r>
        <w:rPr>
          <w:b/>
          <w:bCs/>
          <w:sz w:val="24"/>
        </w:rPr>
        <w:t>）</w:t>
      </w:r>
      <w:r>
        <w:rPr>
          <w:rFonts w:hint="eastAsia"/>
          <w:b/>
          <w:bCs/>
          <w:sz w:val="24"/>
        </w:rPr>
        <w:t>场地防渗和渗滤液收集处理</w:t>
      </w:r>
    </w:p>
    <w:p>
      <w:pPr>
        <w:autoSpaceDE w:val="0"/>
        <w:autoSpaceDN w:val="0"/>
        <w:adjustRightInd w:val="0"/>
        <w:spacing w:line="480" w:lineRule="exact"/>
        <w:ind w:firstLine="480" w:firstLineChars="200"/>
        <w:jc w:val="left"/>
        <w:rPr>
          <w:sz w:val="24"/>
          <w:szCs w:val="28"/>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库区防渗：</w:t>
      </w:r>
      <w:r>
        <w:rPr>
          <w:sz w:val="24"/>
        </w:rPr>
        <w:t>包括场底防渗和边坡防渗</w:t>
      </w:r>
      <w:r>
        <w:rPr>
          <w:rFonts w:hint="eastAsia"/>
          <w:sz w:val="24"/>
        </w:rPr>
        <w:t>，其中场底防渗结构由下至上依次为300mm厚压实粘土+5000g/m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无纺土工布；边坡防渗结构由下至上依次为300mm厚压实粘土+5000g/m</w:t>
      </w:r>
      <w:r>
        <w:rPr>
          <w:rFonts w:hint="eastAsia"/>
          <w:sz w:val="24"/>
          <w:vertAlign w:val="superscript"/>
        </w:rPr>
        <w:t>2</w:t>
      </w:r>
      <w:r>
        <w:rPr>
          <w:rFonts w:hint="eastAsia"/>
          <w:sz w:val="24"/>
        </w:rPr>
        <w:t>钠基膨润土+2.0mm厚HDPE土工膜+600g/m</w:t>
      </w:r>
      <w:r>
        <w:rPr>
          <w:rFonts w:hint="eastAsia"/>
          <w:sz w:val="24"/>
          <w:vertAlign w:val="superscript"/>
        </w:rPr>
        <w:t>2</w:t>
      </w:r>
      <w:r>
        <w:rPr>
          <w:rFonts w:hint="eastAsia"/>
          <w:sz w:val="24"/>
        </w:rPr>
        <w:t>无纺土工布+300mm厚袋装土缓冲保护层</w:t>
      </w:r>
      <w:r>
        <w:rPr>
          <w:sz w:val="24"/>
          <w:szCs w:val="28"/>
        </w:rPr>
        <w:t>。</w:t>
      </w:r>
    </w:p>
    <w:p>
      <w:pPr>
        <w:spacing w:line="48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渗滤液调节池</w:t>
      </w:r>
      <w:r>
        <w:rPr>
          <w:rFonts w:hint="eastAsia"/>
          <w:sz w:val="24"/>
        </w:rPr>
        <w:t>及提升井</w:t>
      </w:r>
      <w:r>
        <w:rPr>
          <w:sz w:val="24"/>
        </w:rPr>
        <w:t>防渗</w:t>
      </w:r>
      <w:r>
        <w:rPr>
          <w:rFonts w:hint="eastAsia"/>
          <w:sz w:val="24"/>
        </w:rPr>
        <w:t>：调节池和提升井均为埋地钢混结构。</w:t>
      </w:r>
    </w:p>
    <w:p>
      <w:pPr>
        <w:spacing w:line="480" w:lineRule="exact"/>
        <w:ind w:firstLine="480" w:firstLineChars="200"/>
        <w:jc w:val="left"/>
        <w:rPr>
          <w:b/>
          <w:bCs/>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终场覆盖</w:t>
      </w:r>
      <w:r>
        <w:rPr>
          <w:rFonts w:hint="eastAsia"/>
          <w:sz w:val="24"/>
        </w:rPr>
        <w:t>：场地终场覆盖层由上至下依次为：100cm厚表层土层+排水层+防渗层（2.0mm厚HDPE复合衬层）+膜下保护层（30cm厚粘土层）+排气层（20～40mm河卵石）。</w:t>
      </w:r>
      <w:r>
        <w:rPr>
          <w:rFonts w:hint="eastAsia"/>
          <w:sz w:val="24"/>
        </w:rPr>
        <w:br w:type="textWrapping"/>
      </w:r>
      <w:r>
        <w:rPr>
          <w:rFonts w:hint="eastAsia"/>
          <w:sz w:val="24"/>
        </w:rPr>
        <w:t xml:space="preserve">    </w:t>
      </w: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渗滤液收集处理：</w:t>
      </w:r>
    </w:p>
    <w:p>
      <w:pPr>
        <w:spacing w:line="480" w:lineRule="exact"/>
        <w:ind w:firstLine="482" w:firstLineChars="200"/>
        <w:jc w:val="left"/>
        <w:rPr>
          <w:sz w:val="24"/>
        </w:rPr>
      </w:pPr>
      <w:r>
        <w:rPr>
          <w:rFonts w:hint="eastAsia"/>
          <w:b/>
          <w:bCs/>
          <w:sz w:val="24"/>
        </w:rPr>
        <w:t>渗滤液收集导排</w:t>
      </w:r>
      <w:r>
        <w:rPr>
          <w:rFonts w:hint="eastAsia"/>
          <w:sz w:val="24"/>
        </w:rPr>
        <w:t>：库区场底防渗层上方设水平导流盲沟和导流层。导流盲沟包括主盲沟和支盲沟，主盲沟1条，长约200m，设于库区中央，南北走向，坡向北侧渗滤液提升井，穿越围合坝底部后接坝前渗滤液提升井，断面尺寸为倒梯形，上底宽3m，下底宽1m，深0.5m，沟内铺设300mmHDPE穿孔花管；支盲沟呈树枝状横向分布于主盲沟两侧并坡向主盲沟，多条，长度共约730m，断面尺寸为倒梯形，上底宽2.5m，下底宽1m，深0.5m，沟内铺设200mmHDPE穿孔花管，上述主盲沟和支盲沟内四周均敷设200g/m</w:t>
      </w:r>
      <w:r>
        <w:rPr>
          <w:rFonts w:hint="eastAsia"/>
          <w:sz w:val="24"/>
          <w:vertAlign w:val="superscript"/>
        </w:rPr>
        <w:t>2</w:t>
      </w:r>
      <w:r>
        <w:rPr>
          <w:rFonts w:hint="eastAsia"/>
          <w:sz w:val="24"/>
        </w:rPr>
        <w:t>土工覆盖膜，沟内HDPE穿孔管外均填充直径50-100mm碎石作为过滤层，填充碎石粒径由上至下逐渐加大。</w:t>
      </w:r>
      <w:r>
        <w:rPr>
          <w:sz w:val="24"/>
        </w:rPr>
        <w:t>盲沟上方设</w:t>
      </w:r>
      <w:r>
        <w:rPr>
          <w:rFonts w:hint="eastAsia"/>
          <w:sz w:val="24"/>
        </w:rPr>
        <w:t>有</w:t>
      </w:r>
      <w:r>
        <w:rPr>
          <w:sz w:val="24"/>
        </w:rPr>
        <w:t>导流层，导流层厚度约400mm</w:t>
      </w:r>
      <w:r>
        <w:rPr>
          <w:rFonts w:hint="eastAsia"/>
          <w:sz w:val="24"/>
        </w:rPr>
        <w:t>，结构</w:t>
      </w:r>
      <w:r>
        <w:rPr>
          <w:sz w:val="24"/>
        </w:rPr>
        <w:t>从下至上</w:t>
      </w:r>
      <w:r>
        <w:rPr>
          <w:rFonts w:hint="eastAsia"/>
          <w:sz w:val="24"/>
        </w:rPr>
        <w:t>依次</w:t>
      </w:r>
      <w:r>
        <w:rPr>
          <w:sz w:val="24"/>
        </w:rPr>
        <w:t>为100mm厚粗砂+300mm厚碎石。</w:t>
      </w:r>
    </w:p>
    <w:p>
      <w:pPr>
        <w:pStyle w:val="2"/>
        <w:spacing w:line="480" w:lineRule="exact"/>
        <w:ind w:firstLine="480" w:firstLineChars="200"/>
      </w:pPr>
      <w:r>
        <w:t>另外，除上述水平收集外，场内导气石笼井还兼做渗滤液的垂直收集。</w:t>
      </w:r>
    </w:p>
    <w:p>
      <w:pPr>
        <w:spacing w:line="480" w:lineRule="exact"/>
        <w:ind w:firstLine="482" w:firstLineChars="200"/>
        <w:jc w:val="left"/>
        <w:rPr>
          <w:sz w:val="24"/>
        </w:rPr>
      </w:pPr>
      <w:r>
        <w:rPr>
          <w:rFonts w:hint="eastAsia"/>
          <w:b/>
          <w:bCs/>
          <w:sz w:val="24"/>
        </w:rPr>
        <w:t>渗滤液处理：</w:t>
      </w:r>
      <w:r>
        <w:rPr>
          <w:rFonts w:hint="eastAsia"/>
          <w:sz w:val="24"/>
        </w:rPr>
        <w:t>库区垃圾渗滤液经盲沟导排后自流进入北侧坝前提升井，先被泵入渗滤液调节池，然后进入渗滤液处理车间进行处理，另外，场内管理区少量职工生活废水和垃圾运输车辆洗车废水经收集预处理后均进入渗滤液调节池随垃圾渗滤液一起处理。本项目渗滤液平均产生量约20.24m</w:t>
      </w:r>
      <w:r>
        <w:rPr>
          <w:rFonts w:hint="eastAsia"/>
          <w:sz w:val="24"/>
          <w:vertAlign w:val="superscript"/>
        </w:rPr>
        <w:t>3</w:t>
      </w:r>
      <w:r>
        <w:rPr>
          <w:rFonts w:hint="eastAsia"/>
          <w:sz w:val="24"/>
        </w:rPr>
        <w:t>/d，生活废水排放量约0.88m</w:t>
      </w:r>
      <w:r>
        <w:rPr>
          <w:rFonts w:hint="eastAsia"/>
          <w:sz w:val="24"/>
          <w:vertAlign w:val="superscript"/>
        </w:rPr>
        <w:t>3</w:t>
      </w:r>
      <w:r>
        <w:rPr>
          <w:rFonts w:hint="eastAsia"/>
          <w:sz w:val="24"/>
        </w:rPr>
        <w:t>/d，洗车废水排放量约0.68m</w:t>
      </w:r>
      <w:r>
        <w:rPr>
          <w:rFonts w:hint="eastAsia"/>
          <w:sz w:val="24"/>
          <w:vertAlign w:val="superscript"/>
        </w:rPr>
        <w:t>3</w:t>
      </w:r>
      <w:r>
        <w:rPr>
          <w:rFonts w:hint="eastAsia"/>
          <w:sz w:val="24"/>
        </w:rPr>
        <w:t>/d，项目渗滤液处理车间设计处理能力40m</w:t>
      </w:r>
      <w:r>
        <w:rPr>
          <w:rFonts w:hint="eastAsia"/>
          <w:sz w:val="24"/>
          <w:vertAlign w:val="superscript"/>
        </w:rPr>
        <w:t>3</w:t>
      </w:r>
      <w:r>
        <w:rPr>
          <w:rFonts w:hint="eastAsia"/>
          <w:sz w:val="24"/>
        </w:rPr>
        <w:t>/d，</w:t>
      </w:r>
      <w:r>
        <w:rPr>
          <w:rFonts w:hint="eastAsia"/>
          <w:sz w:val="24"/>
          <w:lang w:val="zh-CN"/>
        </w:rPr>
        <w:t>采用“预处理+两级DTRO反渗透”的处理工艺，处理过程中产生的反渗透浓水进入浓缩液池，由吸污车定期回喷填埋库区垃圾堆体，处理后的清水进入清水池，水质可以满足《生活垃圾填埋场污染控制标准》(GB16889-2008)和《城市污水再生利用城市杂用水水质》(GB/T18920­2020)中城市绿化、道路清扫的标准要求，全部回用于项目场地、县城城市绿化和道路清扫用水，不外排。</w:t>
      </w:r>
    </w:p>
    <w:p>
      <w:pPr>
        <w:spacing w:line="480" w:lineRule="exact"/>
        <w:ind w:firstLine="482" w:firstLineChars="200"/>
        <w:jc w:val="left"/>
        <w:rPr>
          <w:b/>
          <w:bCs/>
          <w:sz w:val="24"/>
        </w:rPr>
      </w:pPr>
      <w:r>
        <w:rPr>
          <w:b/>
          <w:bCs/>
          <w:sz w:val="24"/>
        </w:rPr>
        <w:t>（</w:t>
      </w:r>
      <w:r>
        <w:rPr>
          <w:rFonts w:hint="eastAsia"/>
          <w:b/>
          <w:bCs/>
          <w:sz w:val="24"/>
        </w:rPr>
        <w:t>3</w:t>
      </w:r>
      <w:r>
        <w:rPr>
          <w:b/>
          <w:bCs/>
          <w:sz w:val="24"/>
        </w:rPr>
        <w:t>）地下水跟踪监测</w:t>
      </w:r>
    </w:p>
    <w:p>
      <w:pPr>
        <w:spacing w:line="480" w:lineRule="exact"/>
        <w:ind w:firstLine="480" w:firstLineChars="200"/>
        <w:rPr>
          <w:sz w:val="24"/>
        </w:rPr>
      </w:pPr>
      <w:r>
        <w:rPr>
          <w:rFonts w:hint="eastAsia"/>
          <w:sz w:val="24"/>
        </w:rPr>
        <w:t>根据</w:t>
      </w:r>
      <w:r>
        <w:rPr>
          <w:sz w:val="24"/>
        </w:rPr>
        <w:t>《生活垃圾填埋场污染控制标准》(GB16889-2008)</w:t>
      </w:r>
      <w:r>
        <w:rPr>
          <w:rFonts w:hint="eastAsia"/>
          <w:sz w:val="24"/>
        </w:rPr>
        <w:t>等相关要求</w:t>
      </w:r>
      <w:r>
        <w:rPr>
          <w:sz w:val="24"/>
        </w:rPr>
        <w:t>，项目</w:t>
      </w:r>
      <w:r>
        <w:rPr>
          <w:rFonts w:hint="eastAsia"/>
          <w:sz w:val="24"/>
        </w:rPr>
        <w:t>地下水跟踪</w:t>
      </w:r>
      <w:r>
        <w:rPr>
          <w:sz w:val="24"/>
        </w:rPr>
        <w:t>监测内容</w:t>
      </w:r>
      <w:r>
        <w:rPr>
          <w:rFonts w:hint="eastAsia"/>
          <w:sz w:val="24"/>
        </w:rPr>
        <w:t>如下</w:t>
      </w:r>
      <w:r>
        <w:rPr>
          <w:sz w:val="24"/>
        </w:rPr>
        <w:t>。</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监测点布设：场地东侧即地下水流向上游30~50m处设置1眼本底井，场地南、北侧即垂直地下水流行两侧30~50m处各设置1眼污染扩散观察井，场地西侧即地下水流向下游30m、50m处分别设置1眼污染监视井，共计5眼（其中4眼现状已设，在场地西侧即地下水流向下游50m处要求补设1眼）。</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监测项目</w:t>
      </w:r>
      <w:r>
        <w:rPr>
          <w:rFonts w:hint="eastAsia" w:ascii="Calibri" w:hAnsi="宋体"/>
          <w:sz w:val="24"/>
        </w:rPr>
        <w:t>：</w:t>
      </w:r>
      <w:r>
        <w:rPr>
          <w:sz w:val="24"/>
        </w:rPr>
        <w:t>地下水导则中规定的八大离子和21项基本水质因子</w:t>
      </w:r>
      <w:r>
        <w:rPr>
          <w:rFonts w:hint="eastAsia"/>
          <w:sz w:val="24"/>
        </w:rPr>
        <w:t>，即</w:t>
      </w:r>
      <w:r>
        <w:rPr>
          <w:color w:val="000000"/>
          <w:sz w:val="24"/>
        </w:rPr>
        <w:t>K</w:t>
      </w:r>
      <w:r>
        <w:rPr>
          <w:color w:val="000000"/>
          <w:sz w:val="24"/>
          <w:vertAlign w:val="superscript"/>
        </w:rPr>
        <w:t>＋</w:t>
      </w:r>
      <w:r>
        <w:rPr>
          <w:color w:val="000000"/>
          <w:sz w:val="24"/>
        </w:rPr>
        <w:t>、Na</w:t>
      </w:r>
      <w:r>
        <w:rPr>
          <w:color w:val="000000"/>
          <w:sz w:val="24"/>
          <w:vertAlign w:val="superscript"/>
        </w:rPr>
        <w:t>＋</w:t>
      </w:r>
      <w:r>
        <w:rPr>
          <w:color w:val="000000"/>
          <w:sz w:val="24"/>
        </w:rPr>
        <w:t>、Ca</w:t>
      </w:r>
      <w:r>
        <w:rPr>
          <w:color w:val="000000"/>
          <w:sz w:val="24"/>
          <w:vertAlign w:val="superscript"/>
        </w:rPr>
        <w:t>2＋</w:t>
      </w:r>
      <w:r>
        <w:rPr>
          <w:color w:val="000000"/>
          <w:sz w:val="24"/>
        </w:rPr>
        <w:t>、Mg</w:t>
      </w:r>
      <w:r>
        <w:rPr>
          <w:color w:val="000000"/>
          <w:sz w:val="24"/>
          <w:vertAlign w:val="superscript"/>
        </w:rPr>
        <w:t>2＋</w:t>
      </w:r>
      <w:r>
        <w:rPr>
          <w:color w:val="000000"/>
          <w:sz w:val="24"/>
        </w:rPr>
        <w:t>、CO</w:t>
      </w:r>
      <w:r>
        <w:rPr>
          <w:color w:val="000000"/>
          <w:sz w:val="24"/>
          <w:vertAlign w:val="subscript"/>
        </w:rPr>
        <w:t>3</w:t>
      </w:r>
      <w:r>
        <w:rPr>
          <w:color w:val="000000"/>
          <w:sz w:val="24"/>
          <w:vertAlign w:val="superscript"/>
        </w:rPr>
        <w:t>2－</w:t>
      </w:r>
      <w:r>
        <w:rPr>
          <w:color w:val="000000"/>
          <w:sz w:val="24"/>
        </w:rPr>
        <w:t>、HCO</w:t>
      </w:r>
      <w:r>
        <w:rPr>
          <w:color w:val="000000"/>
          <w:sz w:val="24"/>
          <w:vertAlign w:val="subscript"/>
        </w:rPr>
        <w:t>3</w:t>
      </w:r>
      <w:r>
        <w:rPr>
          <w:color w:val="000000"/>
          <w:sz w:val="24"/>
          <w:vertAlign w:val="superscript"/>
        </w:rPr>
        <w:t>－</w:t>
      </w:r>
      <w:r>
        <w:rPr>
          <w:color w:val="000000"/>
          <w:sz w:val="24"/>
        </w:rPr>
        <w:t>、Cl</w:t>
      </w:r>
      <w:r>
        <w:rPr>
          <w:color w:val="000000"/>
          <w:sz w:val="24"/>
          <w:vertAlign w:val="superscript"/>
        </w:rPr>
        <w:t>－</w:t>
      </w:r>
      <w:r>
        <w:rPr>
          <w:color w:val="000000"/>
          <w:sz w:val="24"/>
        </w:rPr>
        <w:t>、SO</w:t>
      </w:r>
      <w:r>
        <w:rPr>
          <w:color w:val="000000"/>
          <w:sz w:val="24"/>
          <w:vertAlign w:val="subscript"/>
        </w:rPr>
        <w:t>4</w:t>
      </w:r>
      <w:r>
        <w:rPr>
          <w:color w:val="000000"/>
          <w:sz w:val="24"/>
          <w:vertAlign w:val="superscript"/>
        </w:rPr>
        <w:t>2－</w:t>
      </w:r>
      <w:r>
        <w:rPr>
          <w:rFonts w:hint="eastAsia"/>
          <w:sz w:val="24"/>
        </w:rPr>
        <w:t>和PH</w:t>
      </w:r>
      <w:r>
        <w:rPr>
          <w:rFonts w:hint="eastAsia" w:cstheme="minorEastAsia"/>
          <w:color w:val="000000"/>
          <w:sz w:val="24"/>
        </w:rPr>
        <w:t>值、氨氮、硝酸盐、亚硝酸盐、挥发性酚类、氰化物、砷、汞、铬（六价）、总硬度、铅、氟、镉、铁、锰、溶解性总固体、高锰酸盐指数、硫酸盐、氯化物、总大肠菌群、细菌总数等</w:t>
      </w:r>
      <w:r>
        <w:rPr>
          <w:sz w:val="24"/>
        </w:rPr>
        <w:t>。</w:t>
      </w:r>
    </w:p>
    <w:p>
      <w:pPr>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监测时间和频次：</w:t>
      </w:r>
    </w:p>
    <w:p>
      <w:pPr>
        <w:spacing w:line="480" w:lineRule="exact"/>
        <w:ind w:firstLine="480" w:firstLineChars="200"/>
        <w:rPr>
          <w:sz w:val="24"/>
        </w:rPr>
      </w:pPr>
      <w:r>
        <w:rPr>
          <w:sz w:val="24"/>
        </w:rPr>
        <w:t>在生活垃圾填埋场投入使用之时即对地下水进行持续监测</w:t>
      </w:r>
      <w:r>
        <w:rPr>
          <w:rFonts w:hint="eastAsia"/>
          <w:sz w:val="24"/>
        </w:rPr>
        <w:t>，</w:t>
      </w:r>
      <w:r>
        <w:rPr>
          <w:sz w:val="24"/>
        </w:rPr>
        <w:t>直至封场后填埋场产生的渗滤液中水污染物质量浓度连续两年</w:t>
      </w:r>
      <w:r>
        <w:rPr>
          <w:rFonts w:hint="eastAsia"/>
          <w:sz w:val="24"/>
        </w:rPr>
        <w:t>低于</w:t>
      </w:r>
      <w:r>
        <w:rPr>
          <w:sz w:val="24"/>
        </w:rPr>
        <w:t>GB16889-2008表</w:t>
      </w:r>
      <w:r>
        <w:rPr>
          <w:rFonts w:hint="eastAsia"/>
          <w:sz w:val="24"/>
        </w:rPr>
        <w:t>2中的</w:t>
      </w:r>
      <w:r>
        <w:rPr>
          <w:sz w:val="24"/>
        </w:rPr>
        <w:t>限值时为止</w:t>
      </w:r>
      <w:r>
        <w:rPr>
          <w:rFonts w:hint="eastAsia"/>
          <w:sz w:val="24"/>
        </w:rPr>
        <w:t>，期间</w:t>
      </w:r>
      <w:r>
        <w:rPr>
          <w:sz w:val="24"/>
        </w:rPr>
        <w:t>污染扩散井和污染监视井的水质监测频率不低于1次/2周，本底井的水质监测频率不低于1次/每月。</w:t>
      </w:r>
    </w:p>
    <w:p>
      <w:pPr>
        <w:spacing w:line="480" w:lineRule="exact"/>
        <w:ind w:firstLine="480" w:firstLineChars="200"/>
        <w:rPr>
          <w:rFonts w:ascii="Calibri" w:hAnsi="宋体"/>
          <w:sz w:val="24"/>
        </w:rPr>
      </w:pPr>
      <w:r>
        <w:rPr>
          <w:rFonts w:hint="eastAsia" w:ascii="Calibri" w:hAnsi="宋体"/>
          <w:sz w:val="24"/>
        </w:rPr>
        <w:t>本项目应严格落实地下水跟踪监测工作，建立完善的监测制度，设置专职人员进行水环境监测工作，加强地下水水质的长期动态监测，做好</w:t>
      </w:r>
      <w:r>
        <w:rPr>
          <w:bCs/>
          <w:sz w:val="24"/>
        </w:rPr>
        <w:t>监测数据</w:t>
      </w:r>
      <w:r>
        <w:rPr>
          <w:rFonts w:hint="eastAsia"/>
          <w:bCs/>
          <w:sz w:val="24"/>
        </w:rPr>
        <w:t>的反馈，做到</w:t>
      </w:r>
      <w:r>
        <w:rPr>
          <w:rFonts w:hint="eastAsia" w:ascii="Calibri" w:hAnsi="宋体"/>
          <w:sz w:val="24"/>
        </w:rPr>
        <w:t>及时发现污染、及时控制。</w:t>
      </w:r>
    </w:p>
    <w:p>
      <w:pPr>
        <w:spacing w:line="480" w:lineRule="exact"/>
        <w:ind w:left="420" w:leftChars="200"/>
        <w:jc w:val="left"/>
        <w:rPr>
          <w:b/>
          <w:bCs/>
          <w:sz w:val="24"/>
        </w:rPr>
      </w:pPr>
      <w:r>
        <w:rPr>
          <w:b/>
          <w:bCs/>
          <w:sz w:val="24"/>
        </w:rPr>
        <w:t>（</w:t>
      </w:r>
      <w:r>
        <w:rPr>
          <w:rFonts w:hint="eastAsia"/>
          <w:b/>
          <w:bCs/>
          <w:sz w:val="24"/>
        </w:rPr>
        <w:t>4</w:t>
      </w:r>
      <w:r>
        <w:rPr>
          <w:b/>
          <w:bCs/>
          <w:sz w:val="24"/>
        </w:rPr>
        <w:t>）应急响应</w:t>
      </w:r>
    </w:p>
    <w:p>
      <w:pPr>
        <w:spacing w:line="480" w:lineRule="exact"/>
        <w:ind w:firstLine="480" w:firstLineChars="200"/>
        <w:jc w:val="left"/>
        <w:rPr>
          <w:bCs/>
          <w:sz w:val="24"/>
        </w:rPr>
      </w:pPr>
      <w:r>
        <w:rPr>
          <w:rFonts w:hint="eastAsia"/>
          <w:bCs/>
          <w:sz w:val="24"/>
        </w:rPr>
        <w:t>一旦发现发现地下水监测数据出现异常或渗滤液泄露等事故时，应立即停止填埋场运行，第一时间启动应急预案，开展地下水污染应急治理工作。另外，</w:t>
      </w:r>
      <w:r>
        <w:rPr>
          <w:rFonts w:hint="eastAsia"/>
          <w:sz w:val="24"/>
        </w:rPr>
        <w:t>渗滤液调节池可考虑作为渗滤液处理站事故或检修期间等渗滤液的临时集蓄池。</w:t>
      </w:r>
    </w:p>
    <w:p>
      <w:pPr>
        <w:snapToGrid w:val="0"/>
        <w:spacing w:line="500" w:lineRule="exact"/>
        <w:ind w:firstLine="482" w:firstLineChars="200"/>
        <w:rPr>
          <w:sz w:val="24"/>
        </w:rPr>
      </w:pPr>
      <w:r>
        <w:rPr>
          <w:rFonts w:hint="eastAsia"/>
          <w:b/>
          <w:bCs/>
          <w:sz w:val="24"/>
        </w:rPr>
        <w:t>4、声环境：</w:t>
      </w:r>
      <w:r>
        <w:rPr>
          <w:rFonts w:hint="eastAsia"/>
          <w:sz w:val="24"/>
        </w:rPr>
        <w:t>加强机械、车辆管理，合理安排填埋作业时间，制定操作规程；各水泵、风机均进行基础减震，布置在密闭车间内，风机安装柔性接头；加强场地及周边绿化，形成隔离带等。</w:t>
      </w:r>
    </w:p>
    <w:p>
      <w:pPr>
        <w:snapToGrid w:val="0"/>
        <w:spacing w:line="500" w:lineRule="exact"/>
        <w:ind w:firstLine="482" w:firstLineChars="200"/>
        <w:rPr>
          <w:sz w:val="24"/>
        </w:rPr>
      </w:pPr>
      <w:r>
        <w:rPr>
          <w:rFonts w:hint="eastAsia"/>
          <w:b/>
          <w:bCs/>
          <w:sz w:val="24"/>
        </w:rPr>
        <w:t>5、固废：</w:t>
      </w:r>
      <w:r>
        <w:rPr>
          <w:rFonts w:hint="eastAsia"/>
          <w:sz w:val="24"/>
        </w:rPr>
        <w:t>项目运营产生的固废主要为渗滤液处理车间废水处理过程产生的部分过滤渣、职工生活垃圾和化粪池粪渣。滤渣和生活垃圾数量较少，性质较为简单，均送至场内库区进行填埋处置，化粪池由环卫部门定期清掏，妥善处置后送农田施肥。</w:t>
      </w:r>
    </w:p>
    <w:p>
      <w:pPr>
        <w:spacing w:line="480" w:lineRule="exact"/>
        <w:ind w:firstLine="482" w:firstLineChars="200"/>
        <w:rPr>
          <w:b/>
          <w:bCs/>
          <w:sz w:val="24"/>
        </w:rPr>
      </w:pPr>
      <w:r>
        <w:rPr>
          <w:rFonts w:hint="eastAsia"/>
          <w:b/>
          <w:bCs/>
          <w:sz w:val="24"/>
        </w:rPr>
        <w:t>6、土壤环境：</w:t>
      </w:r>
    </w:p>
    <w:p>
      <w:pPr>
        <w:spacing w:line="480" w:lineRule="exact"/>
        <w:ind w:firstLine="480" w:firstLineChars="200"/>
        <w:jc w:val="left"/>
        <w:rPr>
          <w:sz w:val="24"/>
        </w:rPr>
      </w:pPr>
      <w:r>
        <w:rPr>
          <w:rFonts w:hint="eastAsia"/>
          <w:sz w:val="24"/>
        </w:rPr>
        <w:t>项目以“源头控制、过程防控、跟踪监测”为原则，主要提出以下措施：</w:t>
      </w:r>
    </w:p>
    <w:p>
      <w:pPr>
        <w:spacing w:line="480" w:lineRule="exact"/>
        <w:ind w:left="630"/>
        <w:rPr>
          <w:b/>
          <w:bCs/>
          <w:sz w:val="24"/>
        </w:rPr>
      </w:pPr>
      <w:r>
        <w:rPr>
          <w:b/>
          <w:bCs/>
          <w:sz w:val="24"/>
        </w:rPr>
        <w:t>（</w:t>
      </w:r>
      <w:r>
        <w:rPr>
          <w:rFonts w:hint="eastAsia"/>
          <w:b/>
          <w:bCs/>
          <w:sz w:val="24"/>
        </w:rPr>
        <w:t>1</w:t>
      </w:r>
      <w:r>
        <w:rPr>
          <w:b/>
          <w:bCs/>
          <w:sz w:val="24"/>
        </w:rPr>
        <w:t>）源头控制</w:t>
      </w:r>
    </w:p>
    <w:p>
      <w:pPr>
        <w:spacing w:line="480" w:lineRule="exact"/>
        <w:ind w:firstLine="480" w:firstLineChars="200"/>
        <w:rPr>
          <w:sz w:val="24"/>
        </w:rPr>
      </w:pPr>
      <w:r>
        <w:rPr>
          <w:rFonts w:hint="eastAsia"/>
          <w:sz w:val="24"/>
        </w:rPr>
        <w:t>加强进场废物的管理，除环卫部门收集、转运的生活垃圾外，其他废物进场必须满足《生活垃圾填埋场污染控制标准》(GB16889-2008)第6条中“填埋废物的入场要求”的相关规定；严格按要求落实库区、渗滤液调节池及渗滤液提升井、渗滤液处理车间等的防渗措施，水平导流盲沟、导流层、</w:t>
      </w:r>
      <w:r>
        <w:rPr>
          <w:sz w:val="24"/>
        </w:rPr>
        <w:t>导气石笼井</w:t>
      </w:r>
      <w:r>
        <w:rPr>
          <w:rFonts w:hint="eastAsia"/>
          <w:sz w:val="24"/>
        </w:rPr>
        <w:t>等渗滤液收集导排设施的建设，库区、场地、封场排水沟等各项雨水导排工程等，运营过程中加强防渗、渗滤液导排、渗滤液处理等设施系统的保养维护。</w:t>
      </w:r>
    </w:p>
    <w:p>
      <w:pPr>
        <w:spacing w:line="480" w:lineRule="exact"/>
        <w:ind w:firstLine="482" w:firstLineChars="200"/>
        <w:rPr>
          <w:b/>
          <w:bCs/>
          <w:sz w:val="24"/>
        </w:rPr>
      </w:pPr>
      <w:r>
        <w:rPr>
          <w:b/>
          <w:bCs/>
          <w:sz w:val="24"/>
        </w:rPr>
        <w:t>（</w:t>
      </w:r>
      <w:r>
        <w:rPr>
          <w:rFonts w:hint="eastAsia"/>
          <w:b/>
          <w:bCs/>
          <w:sz w:val="24"/>
        </w:rPr>
        <w:t>2</w:t>
      </w:r>
      <w:r>
        <w:rPr>
          <w:b/>
          <w:bCs/>
          <w:sz w:val="24"/>
        </w:rPr>
        <w:t>）过程防控</w:t>
      </w:r>
    </w:p>
    <w:p>
      <w:pPr>
        <w:spacing w:line="480" w:lineRule="exact"/>
        <w:ind w:firstLine="480" w:firstLineChars="200"/>
        <w:rPr>
          <w:sz w:val="24"/>
        </w:rPr>
      </w:pPr>
      <w:r>
        <w:rPr>
          <w:rFonts w:hint="eastAsia"/>
          <w:sz w:val="24"/>
        </w:rPr>
        <w:t>规范填埋作业，根据《生活垃圾卫生填埋处理技术规范》（GB50869-2013），严格落实分层摊铺、分层碾压、分单元逐日覆土的作业方式，做好日覆盖、中间覆盖和终场覆盖，特别是雨季的覆盖工作；严格按要求作好渗滤液的收集处理，保证经处理后的</w:t>
      </w:r>
      <w:r>
        <w:rPr>
          <w:rFonts w:hint="eastAsia"/>
          <w:sz w:val="24"/>
          <w:lang w:val="zh-CN"/>
        </w:rPr>
        <w:t>水质满足《生活垃圾填埋场污染控制标准》(GB16889-2008)和《城市污水再生利用城市杂用水水质》(GB/T18920­2020)中城市绿化、道路清扫的标准要求，全部回用于项目场地、县城城市绿化和道路清扫用水，不外排。</w:t>
      </w:r>
    </w:p>
    <w:p>
      <w:pPr>
        <w:spacing w:line="480" w:lineRule="exact"/>
        <w:ind w:left="420" w:leftChars="200"/>
        <w:rPr>
          <w:b/>
          <w:bCs/>
          <w:sz w:val="24"/>
        </w:rPr>
      </w:pPr>
      <w:r>
        <w:rPr>
          <w:b/>
          <w:bCs/>
          <w:sz w:val="24"/>
        </w:rPr>
        <w:t>（</w:t>
      </w:r>
      <w:r>
        <w:rPr>
          <w:rFonts w:hint="eastAsia"/>
          <w:b/>
          <w:bCs/>
          <w:sz w:val="24"/>
        </w:rPr>
        <w:t>3</w:t>
      </w:r>
      <w:r>
        <w:rPr>
          <w:b/>
          <w:bCs/>
          <w:sz w:val="24"/>
        </w:rPr>
        <w:t>）跟踪监测</w:t>
      </w:r>
    </w:p>
    <w:p>
      <w:pPr>
        <w:spacing w:line="480" w:lineRule="exact"/>
        <w:ind w:firstLine="480" w:firstLineChars="200"/>
        <w:rPr>
          <w:sz w:val="24"/>
        </w:rPr>
      </w:pPr>
      <w:r>
        <w:rPr>
          <w:sz w:val="24"/>
        </w:rPr>
        <w:t>制定跟踪监测计划，</w:t>
      </w:r>
      <w:r>
        <w:rPr>
          <w:rFonts w:hint="eastAsia"/>
          <w:sz w:val="24"/>
        </w:rPr>
        <w:t>在场外西北侧下游约50~100m的农田处设1个土壤跟踪监测点，</w:t>
      </w:r>
      <w:r>
        <w:rPr>
          <w:sz w:val="24"/>
        </w:rPr>
        <w:t>监测因子</w:t>
      </w:r>
      <w:r>
        <w:rPr>
          <w:rFonts w:hint="eastAsia"/>
          <w:sz w:val="24"/>
        </w:rPr>
        <w:t>包括</w:t>
      </w:r>
      <w:r>
        <w:rPr>
          <w:sz w:val="24"/>
        </w:rPr>
        <w:t>PH、镉、汞、砷、铅、铬、铜、镍、锌共9项，标准执行《土壤环境质量农用地土壤污染风险管控标准（试行）》（GB/15618-2018）中规定的筛选值，监测频率</w:t>
      </w:r>
      <w:r>
        <w:rPr>
          <w:rFonts w:hint="eastAsia"/>
          <w:sz w:val="24"/>
        </w:rPr>
        <w:t>均</w:t>
      </w:r>
      <w:r>
        <w:rPr>
          <w:sz w:val="24"/>
        </w:rPr>
        <w:t>为1次/</w:t>
      </w:r>
      <w:r>
        <w:rPr>
          <w:rFonts w:hint="eastAsia"/>
          <w:sz w:val="24"/>
        </w:rPr>
        <w:t>5</w:t>
      </w:r>
      <w:r>
        <w:rPr>
          <w:sz w:val="24"/>
        </w:rPr>
        <w:t>年。</w:t>
      </w:r>
    </w:p>
    <w:p>
      <w:pPr>
        <w:spacing w:line="480" w:lineRule="exact"/>
        <w:ind w:left="420" w:leftChars="200"/>
        <w:rPr>
          <w:b/>
          <w:bCs/>
          <w:sz w:val="24"/>
        </w:rPr>
      </w:pPr>
      <w:r>
        <w:rPr>
          <w:rFonts w:hint="eastAsia"/>
          <w:b/>
          <w:bCs/>
          <w:sz w:val="24"/>
        </w:rPr>
        <w:t>7、环境风险：</w:t>
      </w:r>
    </w:p>
    <w:p>
      <w:pPr>
        <w:autoSpaceDE w:val="0"/>
        <w:autoSpaceDN w:val="0"/>
        <w:adjustRightInd w:val="0"/>
        <w:spacing w:line="480" w:lineRule="exact"/>
        <w:ind w:firstLine="482" w:firstLineChars="200"/>
        <w:rPr>
          <w:b/>
          <w:bCs/>
          <w:kern w:val="24"/>
          <w:sz w:val="24"/>
        </w:rPr>
      </w:pPr>
      <w:r>
        <w:rPr>
          <w:b/>
          <w:bCs/>
          <w:sz w:val="24"/>
        </w:rPr>
        <w:t>（</w:t>
      </w:r>
      <w:r>
        <w:rPr>
          <w:rFonts w:hint="eastAsia"/>
          <w:b/>
          <w:bCs/>
          <w:sz w:val="24"/>
        </w:rPr>
        <w:t>1</w:t>
      </w:r>
      <w:r>
        <w:rPr>
          <w:b/>
          <w:bCs/>
          <w:sz w:val="24"/>
        </w:rPr>
        <w:t>）</w:t>
      </w:r>
      <w:r>
        <w:rPr>
          <w:rFonts w:hint="eastAsia"/>
          <w:b/>
          <w:bCs/>
          <w:kern w:val="24"/>
          <w:sz w:val="24"/>
        </w:rPr>
        <w:t>填埋气火灾爆炸：</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1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①</w:t>
      </w:r>
      <w:r>
        <w:rPr>
          <w:rFonts w:ascii="Times New Roman" w:hAnsi="Times New Roman" w:eastAsia="宋体"/>
          <w:b w:val="0"/>
          <w:bCs w:val="0"/>
          <w:sz w:val="24"/>
        </w:rPr>
        <w:fldChar w:fldCharType="end"/>
      </w:r>
      <w:r>
        <w:rPr>
          <w:rFonts w:hint="eastAsia" w:ascii="Times New Roman" w:hAnsi="Times New Roman" w:eastAsia="宋体"/>
          <w:b w:val="0"/>
          <w:bCs w:val="0"/>
          <w:sz w:val="24"/>
        </w:rPr>
        <w:t>制定填埋场消防规章制度，由专人负责检查落实，并按要求配备消防设施。</w:t>
      </w:r>
    </w:p>
    <w:p>
      <w:pPr>
        <w:pStyle w:val="38"/>
        <w:spacing w:line="480" w:lineRule="exact"/>
        <w:ind w:firstLine="480" w:firstLineChars="200"/>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2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②</w:t>
      </w:r>
      <w:r>
        <w:rPr>
          <w:rFonts w:ascii="Times New Roman" w:hAnsi="Times New Roman" w:eastAsia="宋体"/>
          <w:b w:val="0"/>
          <w:bCs w:val="0"/>
          <w:sz w:val="24"/>
        </w:rPr>
        <w:fldChar w:fldCharType="end"/>
      </w:r>
      <w:r>
        <w:rPr>
          <w:rFonts w:hint="eastAsia" w:ascii="Times New Roman" w:hAnsi="Times New Roman" w:eastAsia="宋体"/>
          <w:b w:val="0"/>
          <w:bCs w:val="0"/>
          <w:sz w:val="24"/>
        </w:rPr>
        <w:t>在甲烷易积聚的地方安装填埋气体监测及安全报警装置，根据现行国家标准《生活垃圾填埋场污染控制标准》（GB16889-2008）等相关标准要求，对填埋库区、填埋气体排放口的甲烷浓度进行自动监测。</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3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③</w:t>
      </w:r>
      <w:r>
        <w:rPr>
          <w:rFonts w:ascii="Times New Roman" w:hAnsi="Times New Roman" w:eastAsia="宋体"/>
          <w:b w:val="0"/>
          <w:bCs w:val="0"/>
          <w:sz w:val="24"/>
        </w:rPr>
        <w:fldChar w:fldCharType="end"/>
      </w:r>
      <w:r>
        <w:rPr>
          <w:rFonts w:hint="eastAsia" w:ascii="Times New Roman" w:hAnsi="Times New Roman" w:eastAsia="宋体"/>
          <w:b w:val="0"/>
          <w:bCs w:val="0"/>
          <w:sz w:val="24"/>
        </w:rPr>
        <w:t>对填埋场的全体工作人员（包括临时参观人员）进行安全常识教育，定期举行消防演练，尽量减少无关人员的进出，填埋区进场口及其他醒目位置设置禁止携带火源和易燃易爆物品的防火防爆标识，对携带有火源或易燃易爆物质的进场人员或车辆进行严格限制和检查；场区内严禁吸烟和明火作业。每天上班前必须有专人检查垃圾场周围空气是否达到警戒浓度，如果达到警戒浓度应马上通知全体人员撤离垃圾场，并采取相应安全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w:instrText>
      </w:r>
      <w:r>
        <w:rPr>
          <w:rFonts w:hint="eastAsia" w:ascii="Times New Roman" w:hAnsi="Times New Roman" w:eastAsia="宋体"/>
          <w:b w:val="0"/>
          <w:bCs w:val="0"/>
          <w:sz w:val="24"/>
        </w:rPr>
        <w:instrText xml:space="preserve">= 4 \* GB3</w:instrText>
      </w:r>
      <w:r>
        <w:rPr>
          <w:rFonts w:ascii="Times New Roman" w:hAnsi="Times New Roman" w:eastAsia="宋体"/>
          <w:b w:val="0"/>
          <w:bCs w:val="0"/>
          <w:sz w:val="24"/>
        </w:rPr>
        <w:instrText xml:space="preserve">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④</w:t>
      </w:r>
      <w:r>
        <w:rPr>
          <w:rFonts w:ascii="Times New Roman" w:hAnsi="Times New Roman" w:eastAsia="宋体"/>
          <w:b w:val="0"/>
          <w:bCs w:val="0"/>
          <w:sz w:val="24"/>
        </w:rPr>
        <w:fldChar w:fldCharType="end"/>
      </w:r>
      <w:r>
        <w:rPr>
          <w:rFonts w:hint="eastAsia" w:ascii="Times New Roman" w:hAnsi="Times New Roman" w:eastAsia="宋体"/>
          <w:b w:val="0"/>
          <w:bCs w:val="0"/>
          <w:sz w:val="24"/>
        </w:rPr>
        <w:t>填埋场运营设备、电气装置满足防火防爆的要求，对场区内的防火防爆设备定期进行安全检测，检测内容、时间、人员应有记录保存。</w:t>
      </w:r>
    </w:p>
    <w:p>
      <w:pPr>
        <w:pStyle w:val="38"/>
        <w:spacing w:line="480" w:lineRule="exact"/>
        <w:ind w:firstLine="480" w:firstLineChars="200"/>
        <w:rPr>
          <w:rFonts w:asciiTheme="minorEastAsia" w:hAnsiTheme="minorEastAsia" w:eastAsiaTheme="minorEastAsia" w:cstheme="minorEastAsia"/>
          <w:b w:val="0"/>
          <w:bCs w:val="0"/>
          <w:sz w:val="24"/>
        </w:rPr>
      </w:pPr>
      <w:r>
        <w:rPr>
          <w:rFonts w:hint="eastAsia"/>
          <w:b w:val="0"/>
          <w:bCs w:val="0"/>
          <w:sz w:val="24"/>
        </w:rPr>
        <w:fldChar w:fldCharType="begin"/>
      </w:r>
      <w:r>
        <w:rPr>
          <w:rFonts w:hint="eastAsia"/>
          <w:b w:val="0"/>
          <w:bCs w:val="0"/>
          <w:sz w:val="24"/>
        </w:rPr>
        <w:instrText xml:space="preserve"> = 5 \* GB3 \* MERGEFORMAT </w:instrText>
      </w:r>
      <w:r>
        <w:rPr>
          <w:rFonts w:hint="eastAsia"/>
          <w:b w:val="0"/>
          <w:bCs w:val="0"/>
          <w:sz w:val="24"/>
        </w:rPr>
        <w:fldChar w:fldCharType="separate"/>
      </w:r>
      <w:r>
        <w:rPr>
          <w:b w:val="0"/>
          <w:bCs w:val="0"/>
          <w:sz w:val="24"/>
        </w:rPr>
        <w:t>⑤</w:t>
      </w:r>
      <w:r>
        <w:rPr>
          <w:rFonts w:hint="eastAsia"/>
          <w:b w:val="0"/>
          <w:bCs w:val="0"/>
          <w:sz w:val="24"/>
        </w:rPr>
        <w:fldChar w:fldCharType="end"/>
      </w:r>
      <w:r>
        <w:rPr>
          <w:rFonts w:hint="eastAsia" w:asciiTheme="minorEastAsia" w:hAnsiTheme="minorEastAsia" w:eastAsiaTheme="minorEastAsia" w:cstheme="minorEastAsia"/>
          <w:b w:val="0"/>
          <w:bCs w:val="0"/>
          <w:sz w:val="24"/>
        </w:rPr>
        <w:t>建立健全场地垃圾填埋气导排、收集、处理系统，并保障设备设施正常有效运行。</w:t>
      </w:r>
    </w:p>
    <w:p>
      <w:pPr>
        <w:spacing w:line="480" w:lineRule="exact"/>
        <w:ind w:firstLine="482" w:firstLineChars="200"/>
        <w:rPr>
          <w:b/>
          <w:bCs/>
          <w:sz w:val="24"/>
        </w:rPr>
      </w:pPr>
      <w:r>
        <w:rPr>
          <w:b/>
          <w:bCs/>
          <w:sz w:val="24"/>
        </w:rPr>
        <w:t>（</w:t>
      </w:r>
      <w:r>
        <w:rPr>
          <w:rFonts w:hint="eastAsia"/>
          <w:b/>
          <w:bCs/>
          <w:sz w:val="24"/>
        </w:rPr>
        <w:t>2</w:t>
      </w:r>
      <w:r>
        <w:rPr>
          <w:b/>
          <w:bCs/>
          <w:sz w:val="24"/>
        </w:rPr>
        <w:t>）</w:t>
      </w:r>
      <w:r>
        <w:rPr>
          <w:rFonts w:hint="eastAsia"/>
          <w:b/>
          <w:bCs/>
          <w:sz w:val="24"/>
        </w:rPr>
        <w:t>渗滤液系统事故泄露：</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1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①</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严格按《生活垃圾填埋场污染控制标准》(GB16889-2008)</w:t>
      </w:r>
      <w:r>
        <w:rPr>
          <w:rFonts w:hint="eastAsia" w:ascii="Times New Roman" w:hAnsi="Times New Roman" w:eastAsia="宋体" w:cs="Times New Roman"/>
          <w:b w:val="0"/>
          <w:bCs w:val="0"/>
          <w:color w:val="auto"/>
          <w:sz w:val="24"/>
        </w:rPr>
        <w:t>要求进行防渗层完整性监测和</w:t>
      </w:r>
      <w:r>
        <w:rPr>
          <w:rFonts w:ascii="Times New Roman" w:hAnsi="Times New Roman" w:eastAsia="宋体" w:cs="Times New Roman"/>
          <w:b w:val="0"/>
          <w:bCs w:val="0"/>
          <w:color w:val="auto"/>
          <w:sz w:val="24"/>
        </w:rPr>
        <w:t>污染扩散井</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污染监视井</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本底井的</w:t>
      </w:r>
      <w:r>
        <w:rPr>
          <w:rFonts w:hint="eastAsia" w:ascii="Times New Roman" w:hAnsi="Times New Roman" w:eastAsia="宋体" w:cs="Times New Roman"/>
          <w:b w:val="0"/>
          <w:bCs w:val="0"/>
          <w:color w:val="auto"/>
          <w:sz w:val="24"/>
        </w:rPr>
        <w:t>地下水</w:t>
      </w:r>
      <w:r>
        <w:rPr>
          <w:rFonts w:ascii="Times New Roman" w:hAnsi="Times New Roman" w:eastAsia="宋体" w:cs="Times New Roman"/>
          <w:b w:val="0"/>
          <w:bCs w:val="0"/>
          <w:color w:val="auto"/>
          <w:sz w:val="24"/>
        </w:rPr>
        <w:t>水质监测</w:t>
      </w:r>
      <w:r>
        <w:rPr>
          <w:rFonts w:hint="eastAsia" w:ascii="Times New Roman" w:hAnsi="Times New Roman" w:eastAsia="宋体" w:cs="Times New Roman"/>
          <w:b w:val="0"/>
          <w:bCs w:val="0"/>
          <w:color w:val="auto"/>
          <w:sz w:val="24"/>
        </w:rPr>
        <w:t>，发现防渗衬层发生渗漏或地下水质有被污染迹象时，应及时查找原因，发现渗漏位置并采取补救措施，防止污染进一步扩散。做到早发现、早补救。</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2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②</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场地运营过程中，要防止因尖状物刺穿、机械损坏、冻结冻裂、基础防渗膜外露、化学腐蚀等原因造成的防渗层渗漏，</w:t>
      </w:r>
      <w:r>
        <w:rPr>
          <w:rFonts w:hint="eastAsia" w:ascii="Times New Roman" w:hAnsi="Times New Roman" w:eastAsia="宋体" w:cs="Times New Roman"/>
          <w:b w:val="0"/>
          <w:bCs w:val="0"/>
          <w:color w:val="auto"/>
          <w:sz w:val="24"/>
        </w:rPr>
        <w:t>应</w:t>
      </w:r>
      <w:r>
        <w:rPr>
          <w:rFonts w:ascii="Times New Roman" w:hAnsi="Times New Roman" w:eastAsia="宋体" w:cs="Times New Roman"/>
          <w:b w:val="0"/>
          <w:bCs w:val="0"/>
          <w:color w:val="auto"/>
          <w:sz w:val="24"/>
        </w:rPr>
        <w:t>注意监测渗滤液的产生量，当发生原因不明的渗滤液数量骤减的情况，应首先考虑防渗层是否断裂。一旦发生防渗层断裂，应尽快查明断裂发生的位置，确定能否采取补救措施，如更换人工防渗衬层、疏通导排系统等，并判断断裂处作业单元至整个填埋场继续使用的可能性，同时对处理场下游方向的土壤和地下水进行监测，确定可能产生的污染影响。</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3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③</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在保证填埋工艺质量的前提下，经常清洗渗滤液收集和排放管道使其保持通畅。</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4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④</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确保雨水和渗滤液分流</w:t>
      </w:r>
      <w:r>
        <w:rPr>
          <w:rFonts w:hint="eastAsia" w:ascii="Times New Roman" w:hAnsi="Times New Roman" w:eastAsia="宋体" w:cs="Times New Roman"/>
          <w:b w:val="0"/>
          <w:bCs w:val="0"/>
          <w:color w:val="auto"/>
          <w:sz w:val="24"/>
        </w:rPr>
        <w:t>，</w:t>
      </w:r>
      <w:r>
        <w:rPr>
          <w:rFonts w:ascii="Times New Roman" w:hAnsi="Times New Roman" w:eastAsia="宋体" w:cs="Times New Roman"/>
          <w:b w:val="0"/>
          <w:bCs w:val="0"/>
          <w:color w:val="auto"/>
          <w:sz w:val="24"/>
        </w:rPr>
        <w:t>每年汛期之前，</w:t>
      </w:r>
      <w:r>
        <w:rPr>
          <w:rFonts w:hint="eastAsia" w:ascii="Times New Roman" w:hAnsi="Times New Roman" w:eastAsia="宋体" w:cs="Times New Roman"/>
          <w:b w:val="0"/>
          <w:bCs w:val="0"/>
          <w:color w:val="auto"/>
          <w:sz w:val="24"/>
        </w:rPr>
        <w:t>对场地</w:t>
      </w:r>
      <w:r>
        <w:rPr>
          <w:rFonts w:ascii="Times New Roman" w:hAnsi="Times New Roman" w:eastAsia="宋体" w:cs="Times New Roman"/>
          <w:b w:val="0"/>
          <w:bCs w:val="0"/>
          <w:color w:val="auto"/>
          <w:sz w:val="24"/>
        </w:rPr>
        <w:t>雨水排水沟</w:t>
      </w:r>
      <w:r>
        <w:rPr>
          <w:rFonts w:hint="eastAsia" w:ascii="Times New Roman" w:hAnsi="Times New Roman" w:eastAsia="宋体" w:cs="Times New Roman"/>
          <w:b w:val="0"/>
          <w:bCs w:val="0"/>
          <w:color w:val="auto"/>
          <w:sz w:val="24"/>
        </w:rPr>
        <w:t>进行</w:t>
      </w:r>
      <w:r>
        <w:rPr>
          <w:rFonts w:ascii="Times New Roman" w:hAnsi="Times New Roman" w:eastAsia="宋体" w:cs="Times New Roman"/>
          <w:b w:val="0"/>
          <w:bCs w:val="0"/>
          <w:color w:val="auto"/>
          <w:sz w:val="24"/>
        </w:rPr>
        <w:t>整修，加强雨水外排能力，确保其畅通无阻。</w:t>
      </w:r>
    </w:p>
    <w:p>
      <w:pPr>
        <w:pStyle w:val="38"/>
        <w:spacing w:line="480" w:lineRule="exact"/>
        <w:ind w:firstLine="480" w:firstLineChars="200"/>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5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⑤</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在有大雨、暴雨预报时，</w:t>
      </w:r>
      <w:r>
        <w:rPr>
          <w:rFonts w:hint="eastAsia" w:ascii="Times New Roman" w:hAnsi="Times New Roman" w:eastAsia="宋体" w:cs="Times New Roman"/>
          <w:b w:val="0"/>
          <w:bCs w:val="0"/>
          <w:color w:val="auto"/>
          <w:sz w:val="24"/>
        </w:rPr>
        <w:t>及时调节渗滤液调节池余量，并做好</w:t>
      </w:r>
      <w:r>
        <w:rPr>
          <w:rFonts w:ascii="Times New Roman" w:hAnsi="Times New Roman" w:eastAsia="宋体" w:cs="Times New Roman"/>
          <w:b w:val="0"/>
          <w:bCs w:val="0"/>
          <w:color w:val="auto"/>
          <w:sz w:val="24"/>
        </w:rPr>
        <w:t>垃圾填埋作业面</w:t>
      </w:r>
      <w:r>
        <w:rPr>
          <w:rFonts w:hint="eastAsia" w:ascii="Times New Roman" w:hAnsi="Times New Roman" w:eastAsia="宋体" w:cs="Times New Roman"/>
          <w:b w:val="0"/>
          <w:bCs w:val="0"/>
          <w:color w:val="auto"/>
          <w:sz w:val="24"/>
        </w:rPr>
        <w:t>的覆盖。</w:t>
      </w:r>
    </w:p>
    <w:p>
      <w:pPr>
        <w:spacing w:line="480" w:lineRule="exact"/>
        <w:ind w:firstLine="482" w:firstLineChars="200"/>
        <w:rPr>
          <w:b/>
          <w:bCs/>
          <w:sz w:val="24"/>
        </w:rPr>
      </w:pPr>
      <w:r>
        <w:rPr>
          <w:b/>
          <w:bCs/>
          <w:sz w:val="24"/>
        </w:rPr>
        <w:t>（</w:t>
      </w:r>
      <w:r>
        <w:rPr>
          <w:rFonts w:hint="eastAsia"/>
          <w:b/>
          <w:bCs/>
          <w:sz w:val="24"/>
        </w:rPr>
        <w:t>3</w:t>
      </w:r>
      <w:r>
        <w:rPr>
          <w:b/>
          <w:bCs/>
          <w:sz w:val="24"/>
        </w:rPr>
        <w:t>）</w:t>
      </w:r>
      <w:r>
        <w:rPr>
          <w:rFonts w:hint="eastAsia"/>
          <w:b/>
          <w:bCs/>
          <w:sz w:val="24"/>
        </w:rPr>
        <w:t>垃圾堆体沉降滑坡：</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1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①</w:t>
      </w:r>
      <w:r>
        <w:rPr>
          <w:rFonts w:ascii="Times New Roman" w:hAnsi="Times New Roman" w:eastAsia="宋体" w:cs="Times New Roman"/>
          <w:b w:val="0"/>
          <w:bCs w:val="0"/>
          <w:color w:val="auto"/>
          <w:sz w:val="24"/>
        </w:rPr>
        <w:fldChar w:fldCharType="end"/>
      </w:r>
      <w:r>
        <w:rPr>
          <w:rFonts w:hint="eastAsia" w:ascii="Times New Roman" w:hAnsi="Times New Roman" w:eastAsia="宋体" w:cs="Times New Roman"/>
          <w:b w:val="0"/>
          <w:bCs w:val="0"/>
          <w:color w:val="auto"/>
          <w:sz w:val="24"/>
          <w:lang w:val="zh-CN"/>
        </w:rPr>
        <w:t>科学填埋作业，严格落实分区、分单元，从下至上分层填埋的作业方式，及时进行摊平压实并满足压实密度要求。</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2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②</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rPr>
        <w:t>控制堆体的坡度，确保填埋堆体的稳定性。</w:t>
      </w:r>
      <w:r>
        <w:rPr>
          <w:rFonts w:ascii="Times New Roman" w:hAnsi="Times New Roman" w:eastAsia="宋体" w:cs="Times New Roman"/>
          <w:b w:val="0"/>
          <w:bCs w:val="0"/>
          <w:color w:val="auto"/>
          <w:sz w:val="24"/>
          <w:lang w:val="zh-CN"/>
        </w:rPr>
        <w:t>填埋高度与</w:t>
      </w:r>
      <w:r>
        <w:rPr>
          <w:rFonts w:hint="eastAsia" w:ascii="Times New Roman" w:hAnsi="Times New Roman" w:eastAsia="宋体" w:cs="Times New Roman"/>
          <w:b w:val="0"/>
          <w:bCs w:val="0"/>
          <w:color w:val="auto"/>
          <w:sz w:val="24"/>
          <w:lang w:val="zh-CN"/>
        </w:rPr>
        <w:t>围合坝</w:t>
      </w:r>
      <w:r>
        <w:rPr>
          <w:rFonts w:ascii="Times New Roman" w:hAnsi="Times New Roman" w:eastAsia="宋体" w:cs="Times New Roman"/>
          <w:b w:val="0"/>
          <w:bCs w:val="0"/>
          <w:color w:val="auto"/>
          <w:sz w:val="24"/>
          <w:lang w:val="zh-CN"/>
        </w:rPr>
        <w:t>持平后，</w:t>
      </w:r>
      <w:r>
        <w:rPr>
          <w:rFonts w:hint="eastAsia" w:ascii="Times New Roman" w:hAnsi="Times New Roman" w:eastAsia="宋体" w:cs="Times New Roman"/>
          <w:b w:val="0"/>
          <w:bCs w:val="0"/>
          <w:color w:val="auto"/>
          <w:sz w:val="24"/>
          <w:lang w:val="zh-CN"/>
        </w:rPr>
        <w:t>按设计要求进行</w:t>
      </w:r>
      <w:r>
        <w:rPr>
          <w:rFonts w:ascii="Times New Roman" w:hAnsi="Times New Roman" w:eastAsia="宋体" w:cs="Times New Roman"/>
          <w:b w:val="0"/>
          <w:bCs w:val="0"/>
          <w:color w:val="auto"/>
          <w:sz w:val="24"/>
          <w:lang w:val="zh-CN"/>
        </w:rPr>
        <w:t>后退起坡，直至封场高程</w:t>
      </w:r>
      <w:r>
        <w:rPr>
          <w:rFonts w:hint="eastAsia" w:ascii="Times New Roman" w:hAnsi="Times New Roman" w:eastAsia="宋体" w:cs="Times New Roman"/>
          <w:b w:val="0"/>
          <w:bCs w:val="0"/>
          <w:color w:val="auto"/>
          <w:sz w:val="24"/>
          <w:lang w:val="zh-CN"/>
        </w:rPr>
        <w:t>，并采取</w:t>
      </w:r>
      <w:r>
        <w:rPr>
          <w:rFonts w:ascii="Times New Roman" w:hAnsi="Times New Roman" w:eastAsia="宋体" w:cs="Times New Roman"/>
          <w:b w:val="0"/>
          <w:bCs w:val="0"/>
          <w:color w:val="auto"/>
          <w:sz w:val="24"/>
          <w:lang w:val="zh-CN"/>
        </w:rPr>
        <w:t>边坡排水</w:t>
      </w:r>
      <w:r>
        <w:rPr>
          <w:rFonts w:hint="eastAsia" w:ascii="Times New Roman" w:hAnsi="Times New Roman" w:eastAsia="宋体" w:cs="Times New Roman"/>
          <w:b w:val="0"/>
          <w:bCs w:val="0"/>
          <w:color w:val="auto"/>
          <w:sz w:val="24"/>
          <w:lang w:val="zh-CN"/>
        </w:rPr>
        <w:t>、</w:t>
      </w:r>
      <w:r>
        <w:rPr>
          <w:rFonts w:ascii="Times New Roman" w:hAnsi="Times New Roman" w:eastAsia="宋体" w:cs="Times New Roman"/>
          <w:b w:val="0"/>
          <w:bCs w:val="0"/>
          <w:color w:val="auto"/>
          <w:sz w:val="24"/>
          <w:lang w:val="zh-CN"/>
        </w:rPr>
        <w:t>移植草皮护坡</w:t>
      </w:r>
      <w:r>
        <w:rPr>
          <w:rFonts w:hint="eastAsia" w:ascii="Times New Roman" w:hAnsi="Times New Roman" w:eastAsia="宋体" w:cs="Times New Roman"/>
          <w:b w:val="0"/>
          <w:bCs w:val="0"/>
          <w:color w:val="auto"/>
          <w:sz w:val="24"/>
          <w:lang w:val="zh-CN"/>
        </w:rPr>
        <w:t>等措施。</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3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③</w:t>
      </w:r>
      <w:r>
        <w:rPr>
          <w:rFonts w:ascii="Times New Roman" w:hAnsi="Times New Roman" w:eastAsia="宋体" w:cs="Times New Roman"/>
          <w:b w:val="0"/>
          <w:bCs w:val="0"/>
          <w:color w:val="auto"/>
          <w:sz w:val="24"/>
        </w:rPr>
        <w:fldChar w:fldCharType="end"/>
      </w:r>
      <w:r>
        <w:rPr>
          <w:rFonts w:ascii="Times New Roman" w:hAnsi="Times New Roman" w:eastAsia="宋体" w:cs="Times New Roman"/>
          <w:b w:val="0"/>
          <w:bCs w:val="0"/>
          <w:color w:val="auto"/>
          <w:sz w:val="24"/>
          <w:lang w:val="zh-CN"/>
        </w:rPr>
        <w:t>在垃圾堆体上部设沉降观测点，定期进行相对标高、相对角度观测，以随时掌垃圾堆体沉降情况</w:t>
      </w:r>
      <w:r>
        <w:rPr>
          <w:rFonts w:hint="eastAsia" w:ascii="Times New Roman" w:hAnsi="Times New Roman" w:eastAsia="宋体" w:cs="Times New Roman"/>
          <w:b w:val="0"/>
          <w:bCs w:val="0"/>
          <w:color w:val="auto"/>
          <w:sz w:val="24"/>
          <w:lang w:val="zh-CN"/>
        </w:rPr>
        <w:t>，</w:t>
      </w:r>
      <w:r>
        <w:rPr>
          <w:rFonts w:ascii="Times New Roman" w:hAnsi="Times New Roman" w:eastAsia="宋体" w:cs="Times New Roman"/>
          <w:b w:val="0"/>
          <w:bCs w:val="0"/>
          <w:color w:val="auto"/>
          <w:sz w:val="24"/>
          <w:lang w:val="zh-CN"/>
        </w:rPr>
        <w:t>发现堆体</w:t>
      </w:r>
      <w:r>
        <w:rPr>
          <w:rFonts w:hint="eastAsia" w:ascii="Times New Roman" w:hAnsi="Times New Roman" w:eastAsia="宋体" w:cs="Times New Roman"/>
          <w:b w:val="0"/>
          <w:bCs w:val="0"/>
          <w:color w:val="auto"/>
          <w:sz w:val="24"/>
          <w:lang w:val="zh-CN"/>
        </w:rPr>
        <w:t>因</w:t>
      </w:r>
      <w:r>
        <w:rPr>
          <w:rFonts w:ascii="Times New Roman" w:hAnsi="Times New Roman" w:eastAsia="宋体" w:cs="Times New Roman"/>
          <w:b w:val="0"/>
          <w:bCs w:val="0"/>
          <w:color w:val="auto"/>
          <w:sz w:val="24"/>
          <w:lang w:val="zh-CN"/>
        </w:rPr>
        <w:t>垃圾分解造成的不均匀沉降形成裂隙</w:t>
      </w:r>
      <w:r>
        <w:rPr>
          <w:rFonts w:hint="eastAsia" w:ascii="Times New Roman" w:hAnsi="Times New Roman" w:eastAsia="宋体" w:cs="Times New Roman"/>
          <w:b w:val="0"/>
          <w:bCs w:val="0"/>
          <w:color w:val="auto"/>
          <w:sz w:val="24"/>
          <w:lang w:val="zh-CN"/>
        </w:rPr>
        <w:t>时，</w:t>
      </w:r>
      <w:r>
        <w:rPr>
          <w:rFonts w:ascii="Times New Roman" w:hAnsi="Times New Roman" w:eastAsia="宋体" w:cs="Times New Roman"/>
          <w:b w:val="0"/>
          <w:bCs w:val="0"/>
          <w:color w:val="auto"/>
          <w:sz w:val="24"/>
          <w:lang w:val="zh-CN"/>
        </w:rPr>
        <w:t>及时</w:t>
      </w:r>
      <w:r>
        <w:rPr>
          <w:rFonts w:hint="eastAsia" w:ascii="Times New Roman" w:hAnsi="Times New Roman" w:eastAsia="宋体" w:cs="Times New Roman"/>
          <w:b w:val="0"/>
          <w:bCs w:val="0"/>
          <w:color w:val="auto"/>
          <w:sz w:val="24"/>
          <w:lang w:val="zh-CN"/>
        </w:rPr>
        <w:t>进行</w:t>
      </w:r>
      <w:r>
        <w:rPr>
          <w:rFonts w:ascii="Times New Roman" w:hAnsi="Times New Roman" w:eastAsia="宋体" w:cs="Times New Roman"/>
          <w:b w:val="0"/>
          <w:bCs w:val="0"/>
          <w:color w:val="auto"/>
          <w:sz w:val="24"/>
          <w:lang w:val="zh-CN"/>
        </w:rPr>
        <w:t>填充密实</w:t>
      </w:r>
      <w:r>
        <w:rPr>
          <w:rFonts w:hint="eastAsia" w:ascii="Times New Roman" w:hAnsi="Times New Roman" w:eastAsia="宋体" w:cs="Times New Roman"/>
          <w:b w:val="0"/>
          <w:bCs w:val="0"/>
          <w:color w:val="auto"/>
          <w:sz w:val="24"/>
          <w:lang w:val="zh-CN"/>
        </w:rPr>
        <w:t>等。</w:t>
      </w:r>
    </w:p>
    <w:p>
      <w:pPr>
        <w:pStyle w:val="38"/>
        <w:spacing w:line="480" w:lineRule="exact"/>
        <w:ind w:firstLine="480" w:firstLineChars="200"/>
        <w:rPr>
          <w:rFonts w:ascii="Times New Roman" w:hAnsi="Times New Roman" w:eastAsia="宋体" w:cs="Times New Roman"/>
          <w:b w:val="0"/>
          <w:bCs w:val="0"/>
          <w:color w:val="auto"/>
          <w:sz w:val="24"/>
          <w:lang w:val="zh-CN"/>
        </w:rPr>
      </w:pPr>
      <w:r>
        <w:rPr>
          <w:rFonts w:ascii="Times New Roman" w:hAnsi="Times New Roman" w:eastAsia="宋体" w:cs="Times New Roman"/>
          <w:b w:val="0"/>
          <w:bCs w:val="0"/>
          <w:color w:val="auto"/>
          <w:sz w:val="24"/>
        </w:rPr>
        <w:fldChar w:fldCharType="begin"/>
      </w:r>
      <w:r>
        <w:rPr>
          <w:rFonts w:ascii="Times New Roman" w:hAnsi="Times New Roman" w:eastAsia="宋体" w:cs="Times New Roman"/>
          <w:b w:val="0"/>
          <w:bCs w:val="0"/>
          <w:color w:val="auto"/>
          <w:sz w:val="24"/>
        </w:rPr>
        <w:instrText xml:space="preserve"> </w:instrText>
      </w:r>
      <w:r>
        <w:rPr>
          <w:rFonts w:hint="eastAsia" w:ascii="Times New Roman" w:hAnsi="Times New Roman" w:eastAsia="宋体" w:cs="Times New Roman"/>
          <w:b w:val="0"/>
          <w:bCs w:val="0"/>
          <w:color w:val="auto"/>
          <w:sz w:val="24"/>
        </w:rPr>
        <w:instrText xml:space="preserve">= 4 \* GB3</w:instrText>
      </w:r>
      <w:r>
        <w:rPr>
          <w:rFonts w:ascii="Times New Roman" w:hAnsi="Times New Roman" w:eastAsia="宋体" w:cs="Times New Roman"/>
          <w:b w:val="0"/>
          <w:bCs w:val="0"/>
          <w:color w:val="auto"/>
          <w:sz w:val="24"/>
        </w:rPr>
        <w:instrText xml:space="preserve"> </w:instrText>
      </w:r>
      <w:r>
        <w:rPr>
          <w:rFonts w:ascii="Times New Roman" w:hAnsi="Times New Roman" w:eastAsia="宋体" w:cs="Times New Roman"/>
          <w:b w:val="0"/>
          <w:bCs w:val="0"/>
          <w:color w:val="auto"/>
          <w:sz w:val="24"/>
        </w:rPr>
        <w:fldChar w:fldCharType="separate"/>
      </w:r>
      <w:r>
        <w:rPr>
          <w:rFonts w:hint="eastAsia" w:ascii="Times New Roman" w:hAnsi="Times New Roman" w:eastAsia="宋体" w:cs="Times New Roman"/>
          <w:b w:val="0"/>
          <w:bCs w:val="0"/>
          <w:color w:val="auto"/>
          <w:sz w:val="24"/>
        </w:rPr>
        <w:t>④</w:t>
      </w:r>
      <w:r>
        <w:rPr>
          <w:rFonts w:ascii="Times New Roman" w:hAnsi="Times New Roman" w:eastAsia="宋体" w:cs="Times New Roman"/>
          <w:b w:val="0"/>
          <w:bCs w:val="0"/>
          <w:color w:val="auto"/>
          <w:sz w:val="24"/>
        </w:rPr>
        <w:fldChar w:fldCharType="end"/>
      </w:r>
      <w:r>
        <w:rPr>
          <w:rFonts w:hint="eastAsia" w:ascii="Times New Roman" w:hAnsi="Times New Roman" w:eastAsia="宋体" w:cs="Times New Roman"/>
          <w:b w:val="0"/>
          <w:bCs w:val="0"/>
          <w:color w:val="auto"/>
          <w:sz w:val="24"/>
          <w:lang w:val="zh-CN"/>
        </w:rPr>
        <w:t>及时做好填埋作业面的覆盖，减少进入垃圾层的降雨量，避免垃圾层因雨水过多而失稳。</w:t>
      </w:r>
    </w:p>
    <w:p>
      <w:pPr>
        <w:spacing w:line="480" w:lineRule="exact"/>
        <w:ind w:firstLine="482" w:firstLineChars="200"/>
        <w:rPr>
          <w:rFonts w:eastAsiaTheme="minorEastAsia"/>
          <w:b/>
          <w:bCs/>
          <w:sz w:val="24"/>
        </w:rPr>
      </w:pPr>
      <w:r>
        <w:rPr>
          <w:b/>
          <w:bCs/>
          <w:sz w:val="24"/>
        </w:rPr>
        <w:t>（</w:t>
      </w:r>
      <w:r>
        <w:rPr>
          <w:rFonts w:hint="eastAsia"/>
          <w:b/>
          <w:bCs/>
          <w:sz w:val="24"/>
        </w:rPr>
        <w:t>4</w:t>
      </w:r>
      <w:r>
        <w:rPr>
          <w:b/>
          <w:bCs/>
          <w:sz w:val="24"/>
        </w:rPr>
        <w:t>）</w:t>
      </w:r>
      <w:r>
        <w:rPr>
          <w:rFonts w:eastAsiaTheme="minorEastAsia"/>
          <w:b/>
          <w:bCs/>
          <w:sz w:val="24"/>
        </w:rPr>
        <w:t>环境风险突发事故应急预案</w:t>
      </w:r>
    </w:p>
    <w:p>
      <w:pPr>
        <w:autoSpaceDE w:val="0"/>
        <w:autoSpaceDN w:val="0"/>
        <w:adjustRightInd w:val="0"/>
        <w:spacing w:line="480" w:lineRule="exact"/>
        <w:ind w:firstLine="480" w:firstLineChars="200"/>
        <w:textAlignment w:val="baseline"/>
        <w:rPr>
          <w:rFonts w:ascii="宋体" w:hAnsi="宋体"/>
          <w:kern w:val="24"/>
          <w:sz w:val="24"/>
        </w:rPr>
      </w:pPr>
      <w:r>
        <w:rPr>
          <w:rFonts w:hint="eastAsia"/>
          <w:sz w:val="24"/>
        </w:rPr>
        <w:t>项目单位应针对本项目环境风险，制定有效的风险事故应急预案，加强事故防范力度和处理能力。</w:t>
      </w:r>
    </w:p>
    <w:p>
      <w:pPr>
        <w:spacing w:line="480" w:lineRule="exact"/>
        <w:ind w:left="420" w:leftChars="200"/>
        <w:rPr>
          <w:b/>
          <w:bCs/>
          <w:sz w:val="24"/>
        </w:rPr>
      </w:pPr>
      <w:r>
        <w:rPr>
          <w:rFonts w:hint="eastAsia"/>
          <w:b/>
          <w:bCs/>
          <w:sz w:val="24"/>
        </w:rPr>
        <w:t>8、封场后环境影响防治措施</w:t>
      </w:r>
    </w:p>
    <w:p>
      <w:pPr>
        <w:spacing w:line="480" w:lineRule="exact"/>
        <w:ind w:firstLine="480" w:firstLineChars="200"/>
        <w:jc w:val="left"/>
        <w:rPr>
          <w:sz w:val="24"/>
        </w:rPr>
      </w:pPr>
      <w:r>
        <w:rPr>
          <w:rFonts w:hint="eastAsia"/>
          <w:sz w:val="24"/>
        </w:rPr>
        <w:t>项目场地生活垃圾填埋达到设计标高和设计容量时，必须按要求及时进行终场覆盖及生态恢复等。</w:t>
      </w:r>
    </w:p>
    <w:p>
      <w:pPr>
        <w:spacing w:line="480" w:lineRule="exact"/>
        <w:ind w:firstLine="480" w:firstLineChars="200"/>
        <w:jc w:val="left"/>
        <w:rPr>
          <w:sz w:val="24"/>
        </w:rPr>
      </w:pPr>
      <w:r>
        <w:rPr>
          <w:sz w:val="24"/>
        </w:rPr>
        <w:t>（</w:t>
      </w:r>
      <w:r>
        <w:rPr>
          <w:rFonts w:hint="eastAsia"/>
          <w:sz w:val="24"/>
        </w:rPr>
        <w:t>1</w:t>
      </w:r>
      <w:r>
        <w:rPr>
          <w:sz w:val="24"/>
        </w:rPr>
        <w:t>）</w:t>
      </w:r>
      <w:r>
        <w:rPr>
          <w:rFonts w:hint="eastAsia"/>
          <w:sz w:val="24"/>
        </w:rPr>
        <w:t>封场后应对垃圾堆体进行平整整形，按设计要求控制堆体的坡度，确保填埋堆体的稳定性。</w:t>
      </w:r>
    </w:p>
    <w:p>
      <w:pPr>
        <w:spacing w:line="480" w:lineRule="exact"/>
        <w:ind w:firstLine="480" w:firstLineChars="200"/>
        <w:jc w:val="left"/>
        <w:rPr>
          <w:sz w:val="24"/>
        </w:rPr>
      </w:pPr>
      <w:r>
        <w:rPr>
          <w:sz w:val="24"/>
        </w:rPr>
        <w:t>（</w:t>
      </w:r>
      <w:r>
        <w:rPr>
          <w:rFonts w:hint="eastAsia"/>
          <w:sz w:val="24"/>
        </w:rPr>
        <w:t>2</w:t>
      </w:r>
      <w:r>
        <w:rPr>
          <w:sz w:val="24"/>
        </w:rPr>
        <w:t>）</w:t>
      </w:r>
      <w:r>
        <w:rPr>
          <w:rFonts w:hint="eastAsia"/>
          <w:sz w:val="24"/>
        </w:rPr>
        <w:t>根据设计，封场覆盖层由上至下应依次包括：100cm厚表层土层+排水层+防渗层（2.0mm厚HDPE复合衬层）+膜下保护层（30cm厚粘土层）+排气层（20～40mm河卵石）。</w:t>
      </w:r>
      <w:r>
        <w:rPr>
          <w:rFonts w:hint="eastAsia"/>
          <w:sz w:val="24"/>
        </w:rPr>
        <w:br w:type="textWrapping"/>
      </w:r>
      <w:r>
        <w:rPr>
          <w:rFonts w:hint="eastAsia"/>
          <w:sz w:val="24"/>
        </w:rPr>
        <w:t xml:space="preserve">    </w:t>
      </w:r>
      <w:r>
        <w:rPr>
          <w:sz w:val="24"/>
        </w:rPr>
        <w:t>（</w:t>
      </w:r>
      <w:r>
        <w:rPr>
          <w:rFonts w:hint="eastAsia"/>
          <w:sz w:val="24"/>
        </w:rPr>
        <w:t>3</w:t>
      </w:r>
      <w:r>
        <w:rPr>
          <w:sz w:val="24"/>
        </w:rPr>
        <w:t>）</w:t>
      </w:r>
      <w:r>
        <w:rPr>
          <w:rFonts w:hint="eastAsia"/>
          <w:sz w:val="24"/>
        </w:rPr>
        <w:t>继续进行渗滤液和填埋气的收集、处理，做好最终覆盖层的完整性和有效性维护。</w:t>
      </w:r>
    </w:p>
    <w:p>
      <w:pPr>
        <w:spacing w:line="480" w:lineRule="exact"/>
        <w:ind w:firstLine="480" w:firstLineChars="200"/>
        <w:jc w:val="left"/>
        <w:rPr>
          <w:sz w:val="24"/>
        </w:rPr>
      </w:pPr>
      <w:r>
        <w:rPr>
          <w:sz w:val="24"/>
        </w:rPr>
        <w:t>（</w:t>
      </w:r>
      <w:r>
        <w:rPr>
          <w:rFonts w:hint="eastAsia"/>
          <w:sz w:val="24"/>
        </w:rPr>
        <w:t>4</w:t>
      </w:r>
      <w:r>
        <w:rPr>
          <w:sz w:val="24"/>
        </w:rPr>
        <w:t>）</w:t>
      </w:r>
      <w:r>
        <w:rPr>
          <w:rFonts w:hint="eastAsia"/>
          <w:sz w:val="24"/>
        </w:rPr>
        <w:t>继续进行地下水水质的跟踪监测，直至封场后填埋场产生的渗滤液中水污染物质量浓度连续两年低于GB16889-2008表2中的限值时为止。</w:t>
      </w:r>
    </w:p>
    <w:p>
      <w:pPr>
        <w:spacing w:line="480" w:lineRule="exact"/>
        <w:ind w:firstLine="480" w:firstLineChars="200"/>
        <w:jc w:val="left"/>
        <w:rPr>
          <w:sz w:val="24"/>
        </w:rPr>
      </w:pPr>
      <w:r>
        <w:rPr>
          <w:sz w:val="24"/>
        </w:rPr>
        <w:t>（</w:t>
      </w:r>
      <w:r>
        <w:rPr>
          <w:rFonts w:hint="eastAsia"/>
          <w:sz w:val="24"/>
        </w:rPr>
        <w:t>5</w:t>
      </w:r>
      <w:r>
        <w:rPr>
          <w:sz w:val="24"/>
        </w:rPr>
        <w:t>）</w:t>
      </w:r>
      <w:r>
        <w:rPr>
          <w:rFonts w:hint="eastAsia"/>
          <w:spacing w:val="4"/>
          <w:sz w:val="24"/>
          <w:lang w:val="zh-CN"/>
        </w:rPr>
        <w:t>及时进行封场生态恢复，根据区域气候、植被分布、植物特性等自然条件及经济状况确定封场后场地植被恢复方案</w:t>
      </w:r>
      <w:r>
        <w:rPr>
          <w:rFonts w:hint="eastAsia"/>
          <w:sz w:val="24"/>
        </w:rPr>
        <w:t>。</w:t>
      </w:r>
    </w:p>
    <w:p>
      <w:pPr>
        <w:pStyle w:val="5"/>
        <w:spacing w:beforeLines="0" w:after="120" w:line="500" w:lineRule="exact"/>
        <w:rPr>
          <w:rFonts w:eastAsia="宋体"/>
          <w:b/>
          <w:bCs w:val="0"/>
          <w:color w:val="auto"/>
          <w:szCs w:val="30"/>
        </w:rPr>
      </w:pPr>
      <w:bookmarkStart w:id="210" w:name="_Toc1850633138"/>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6总量控制</w:t>
      </w:r>
      <w:bookmarkEnd w:id="210"/>
    </w:p>
    <w:p>
      <w:pPr>
        <w:autoSpaceDE w:val="0"/>
        <w:autoSpaceDN w:val="0"/>
        <w:adjustRightInd w:val="0"/>
        <w:spacing w:line="500" w:lineRule="exact"/>
        <w:ind w:firstLine="512"/>
        <w:rPr>
          <w:spacing w:val="4"/>
          <w:sz w:val="24"/>
        </w:rPr>
      </w:pPr>
      <w:r>
        <w:rPr>
          <w:rFonts w:hint="eastAsia"/>
          <w:spacing w:val="4"/>
          <w:sz w:val="24"/>
        </w:rPr>
        <w:t>项目大气污染物主要为垃圾填埋作业产生的恶臭及粉尘，均为无组织排放，场内渗滤液及少量职工生活废水和车辆冲洗废水经处理达标后后全部回用于场地及县城绿化、道路清扫，不外排废水，根据《山西省环境保护厅建设项目主要污染物排放总量核定办法》（晋环发[2015]25号）相关规定，本项目不涉及污染物总量控制指标。</w:t>
      </w:r>
    </w:p>
    <w:p>
      <w:pPr>
        <w:pStyle w:val="5"/>
        <w:spacing w:beforeLines="0" w:after="120" w:line="500" w:lineRule="exact"/>
        <w:rPr>
          <w:rFonts w:eastAsia="宋体"/>
          <w:b/>
          <w:bCs w:val="0"/>
          <w:color w:val="auto"/>
          <w:szCs w:val="30"/>
        </w:rPr>
      </w:pPr>
      <w:bookmarkStart w:id="211" w:name="_Toc1816403839"/>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7公众意见采纳情况</w:t>
      </w:r>
      <w:bookmarkEnd w:id="211"/>
    </w:p>
    <w:p>
      <w:pPr>
        <w:pStyle w:val="10"/>
        <w:spacing w:line="500" w:lineRule="exact"/>
        <w:ind w:firstLine="480"/>
        <w:rPr>
          <w:sz w:val="24"/>
          <w:szCs w:val="24"/>
        </w:rPr>
      </w:pPr>
      <w:r>
        <w:rPr>
          <w:rFonts w:hint="eastAsia"/>
          <w:sz w:val="24"/>
          <w:szCs w:val="24"/>
        </w:rPr>
        <w:t>为保障公众环境保护知情权、参与权、表达权和监督权，了解项目所在区域公众对本工程项目的态度及建议，建设单位根据《环境影响评价公众参与办法》（生态环境部令 第四号）要求，在不同阶段通过网络、张贴告示、报纸等多种形式进行了项目的环境影响评价公众参与。</w:t>
      </w:r>
    </w:p>
    <w:p>
      <w:pPr>
        <w:pStyle w:val="10"/>
        <w:spacing w:line="500" w:lineRule="exact"/>
        <w:ind w:firstLine="480"/>
        <w:rPr>
          <w:sz w:val="24"/>
          <w:szCs w:val="24"/>
        </w:rPr>
      </w:pPr>
      <w:r>
        <w:rPr>
          <w:rFonts w:hint="eastAsia"/>
          <w:sz w:val="24"/>
          <w:szCs w:val="24"/>
        </w:rPr>
        <w:t>项目公众调查及公示期间，项目单位及评价单位未收到投诉电话、也未收到书面或网络邮件等意见反馈，建议项目单位继续与公众保持沟通，及时采纳和解决其提出的合理意见及诉求。</w:t>
      </w:r>
    </w:p>
    <w:p>
      <w:pPr>
        <w:pStyle w:val="5"/>
        <w:spacing w:beforeLines="0" w:after="120" w:line="500" w:lineRule="exact"/>
        <w:rPr>
          <w:rFonts w:eastAsia="宋体"/>
          <w:b/>
          <w:bCs w:val="0"/>
          <w:color w:val="auto"/>
          <w:szCs w:val="30"/>
        </w:rPr>
      </w:pPr>
      <w:bookmarkStart w:id="212" w:name="_Toc1545959662"/>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8</w:t>
      </w:r>
      <w:r>
        <w:rPr>
          <w:rFonts w:eastAsia="宋体"/>
          <w:b/>
          <w:bCs w:val="0"/>
          <w:color w:val="auto"/>
          <w:szCs w:val="30"/>
        </w:rPr>
        <w:t xml:space="preserve"> 经济损益分析</w:t>
      </w:r>
      <w:bookmarkEnd w:id="212"/>
    </w:p>
    <w:p>
      <w:pPr>
        <w:snapToGrid w:val="0"/>
        <w:spacing w:line="480" w:lineRule="exact"/>
        <w:ind w:firstLine="480" w:firstLineChars="200"/>
        <w:rPr>
          <w:sz w:val="24"/>
        </w:rPr>
      </w:pPr>
      <w:r>
        <w:rPr>
          <w:rFonts w:hint="eastAsia"/>
          <w:sz w:val="24"/>
        </w:rPr>
        <w:t>项目为生活垃圾处置工程，本身属于环保项目，其环保投资概算主要为治理渗滤液、填埋气等二次污染所采取的措施，项目工程总投资估算2638.82万元，环保投资约1586.5万元，比例约为60.12%。</w:t>
      </w:r>
    </w:p>
    <w:p>
      <w:pPr>
        <w:snapToGrid w:val="0"/>
        <w:spacing w:line="500" w:lineRule="exact"/>
        <w:ind w:firstLine="496" w:firstLineChars="200"/>
        <w:rPr>
          <w:spacing w:val="4"/>
          <w:sz w:val="24"/>
        </w:rPr>
      </w:pPr>
      <w:r>
        <w:rPr>
          <w:spacing w:val="4"/>
          <w:sz w:val="24"/>
        </w:rPr>
        <w:t>项目建设</w:t>
      </w:r>
      <w:r>
        <w:rPr>
          <w:rFonts w:hint="eastAsia"/>
          <w:spacing w:val="4"/>
          <w:sz w:val="24"/>
        </w:rPr>
        <w:t>可有效解决壶关县城生活垃圾处置问题，</w:t>
      </w:r>
      <w:r>
        <w:rPr>
          <w:spacing w:val="4"/>
          <w:sz w:val="24"/>
        </w:rPr>
        <w:t>具有显著的</w:t>
      </w:r>
      <w:r>
        <w:rPr>
          <w:rFonts w:hint="eastAsia"/>
          <w:spacing w:val="4"/>
          <w:sz w:val="24"/>
        </w:rPr>
        <w:t>环境</w:t>
      </w:r>
      <w:r>
        <w:rPr>
          <w:spacing w:val="4"/>
          <w:sz w:val="24"/>
        </w:rPr>
        <w:t>效益，并由此推动社会各项事业的发展</w:t>
      </w:r>
      <w:r>
        <w:rPr>
          <w:rFonts w:hint="eastAsia"/>
          <w:spacing w:val="4"/>
          <w:sz w:val="24"/>
        </w:rPr>
        <w:t>，在保证环保投资的前提下，还可产生一定的经济正效益，能够实现环境、社会、经济效益的和谐统一，从环境经济角度来看本项目是可行的</w:t>
      </w:r>
      <w:r>
        <w:rPr>
          <w:spacing w:val="4"/>
          <w:sz w:val="24"/>
        </w:rPr>
        <w:t>。</w:t>
      </w:r>
    </w:p>
    <w:p>
      <w:pPr>
        <w:pStyle w:val="5"/>
        <w:spacing w:beforeLines="0" w:after="120" w:line="500" w:lineRule="exact"/>
        <w:rPr>
          <w:rFonts w:eastAsia="宋体"/>
          <w:b/>
          <w:bCs w:val="0"/>
          <w:color w:val="auto"/>
          <w:szCs w:val="30"/>
        </w:rPr>
      </w:pPr>
      <w:bookmarkStart w:id="213" w:name="_Toc1852560119"/>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9环境管理与监测计划</w:t>
      </w:r>
      <w:bookmarkEnd w:id="213"/>
    </w:p>
    <w:p>
      <w:pPr>
        <w:spacing w:line="500" w:lineRule="exact"/>
        <w:ind w:firstLine="480" w:firstLineChars="200"/>
        <w:rPr>
          <w:rFonts w:cstheme="minorEastAsia"/>
          <w:sz w:val="24"/>
        </w:rPr>
      </w:pPr>
      <w:r>
        <w:rPr>
          <w:rFonts w:hint="eastAsia" w:cstheme="minorEastAsia"/>
          <w:sz w:val="24"/>
        </w:rPr>
        <w:t>项目单位应建立有效的环境管理机构和体系，建立健全必要的环境管理规章制度，提高全体员工环保意识，主动预防和治理污染，确保污染防治措施稳定有效运行、污染物稳定达标排放，避免因管理不善而可能产生的环境污染和环境违法情况发生。</w:t>
      </w:r>
    </w:p>
    <w:p>
      <w:pPr>
        <w:spacing w:line="500" w:lineRule="exact"/>
        <w:ind w:firstLine="480" w:firstLineChars="200"/>
        <w:rPr>
          <w:rFonts w:cstheme="minorEastAsia"/>
          <w:sz w:val="24"/>
        </w:rPr>
      </w:pPr>
      <w:r>
        <w:rPr>
          <w:rFonts w:hint="eastAsia" w:cstheme="minorEastAsia"/>
          <w:sz w:val="24"/>
        </w:rPr>
        <w:t>项目环境监测计划包括填埋期和封场后，项目应按监测计划定期开展相关监测工作，严格落实排污许可相关要求，做好信息上报和信息公开等工作。</w:t>
      </w:r>
    </w:p>
    <w:bookmarkEnd w:id="201"/>
    <w:bookmarkEnd w:id="202"/>
    <w:bookmarkEnd w:id="203"/>
    <w:bookmarkEnd w:id="204"/>
    <w:bookmarkEnd w:id="205"/>
    <w:bookmarkEnd w:id="206"/>
    <w:p>
      <w:pPr>
        <w:pStyle w:val="5"/>
        <w:spacing w:beforeLines="0" w:after="120" w:line="500" w:lineRule="exact"/>
        <w:rPr>
          <w:rFonts w:eastAsia="宋体"/>
          <w:b/>
          <w:bCs w:val="0"/>
          <w:color w:val="auto"/>
          <w:szCs w:val="30"/>
        </w:rPr>
      </w:pPr>
      <w:bookmarkStart w:id="214" w:name="_Toc364787217"/>
      <w:bookmarkStart w:id="215" w:name="_Toc893"/>
      <w:bookmarkStart w:id="216" w:name="_Toc413076053"/>
      <w:bookmarkStart w:id="217" w:name="_Toc324434691"/>
      <w:bookmarkStart w:id="218" w:name="_Toc351018115"/>
      <w:bookmarkStart w:id="219" w:name="_Toc349662615"/>
      <w:bookmarkStart w:id="220" w:name="_Toc1012894380"/>
      <w:bookmarkStart w:id="221" w:name="_Toc349660949"/>
      <w:bookmarkStart w:id="222" w:name="_Toc349661307"/>
      <w:r>
        <w:rPr>
          <w:rFonts w:hint="eastAsia" w:eastAsia="宋体"/>
          <w:b/>
          <w:bCs w:val="0"/>
          <w:color w:val="auto"/>
          <w:szCs w:val="30"/>
        </w:rPr>
        <w:t>9</w:t>
      </w:r>
      <w:r>
        <w:rPr>
          <w:rFonts w:eastAsia="宋体"/>
          <w:b/>
          <w:bCs w:val="0"/>
          <w:color w:val="auto"/>
          <w:szCs w:val="30"/>
        </w:rPr>
        <w:t>.</w:t>
      </w:r>
      <w:r>
        <w:rPr>
          <w:rFonts w:hint="eastAsia" w:eastAsia="宋体"/>
          <w:b/>
          <w:bCs w:val="0"/>
          <w:color w:val="auto"/>
          <w:szCs w:val="30"/>
        </w:rPr>
        <w:t>10</w:t>
      </w:r>
      <w:r>
        <w:rPr>
          <w:rFonts w:eastAsia="宋体"/>
          <w:b/>
          <w:bCs w:val="0"/>
          <w:color w:val="auto"/>
          <w:szCs w:val="30"/>
        </w:rPr>
        <w:t xml:space="preserve"> 结论</w:t>
      </w:r>
      <w:bookmarkEnd w:id="214"/>
      <w:bookmarkEnd w:id="215"/>
      <w:bookmarkEnd w:id="216"/>
      <w:bookmarkEnd w:id="217"/>
      <w:bookmarkEnd w:id="218"/>
      <w:bookmarkEnd w:id="219"/>
      <w:bookmarkEnd w:id="220"/>
      <w:bookmarkEnd w:id="221"/>
      <w:bookmarkEnd w:id="222"/>
    </w:p>
    <w:p>
      <w:pPr>
        <w:pStyle w:val="10"/>
        <w:spacing w:line="500" w:lineRule="exact"/>
        <w:ind w:firstLine="48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本项目为生活垃圾卫生填埋工程，主要解决壶关县城生活垃圾的去向问题，属于《产业结构调整指导目录》（2019年本）中的鼓励类项目，符合国家产业政策的相关要求；项目位于《长治市“三线一单”生态环境分区管控实施方案》中的重点管控单元内，属于公共基础设施建设项目，不属于重点管控单元内禁止或限制建设项目，符合长治市生态环境总体准入清单要求，与长治市辛安泉域生态环境准入要求、长治市浊漳河流域生态环境准入要求不矛盾；</w:t>
      </w:r>
      <w:r>
        <w:rPr>
          <w:rFonts w:hint="eastAsia"/>
          <w:color w:val="000000" w:themeColor="text1"/>
          <w:sz w:val="24"/>
          <w14:textFill>
            <w14:solidFill>
              <w14:schemeClr w14:val="tx1"/>
            </w14:solidFill>
          </w14:textFill>
        </w:rPr>
        <w:t>项目</w:t>
      </w:r>
      <w:r>
        <w:rPr>
          <w:rFonts w:hint="eastAsia"/>
          <w:color w:val="000000" w:themeColor="text1"/>
          <w:sz w:val="24"/>
          <w:szCs w:val="24"/>
          <w14:textFill>
            <w14:solidFill>
              <w14:schemeClr w14:val="tx1"/>
            </w14:solidFill>
          </w14:textFill>
        </w:rPr>
        <w:t>选址符合壶关县城市总体规划要求，与壶关县生态功能区划、壶关县生态经济区划中的相关要求不冲突；在采取相应的污染防治措施后，废气污染物可满足达标排放要求，渗滤液处理后全部回用不外排，厂界噪声达标排放，对区域地下水及土壤环境影响较小，环境风险可控。从环境保护角度来看，项目建设可行。</w:t>
      </w:r>
    </w:p>
    <w:sectPr>
      <w:headerReference r:id="rId27" w:type="default"/>
      <w:footerReference r:id="rId28" w:type="default"/>
      <w:pgSz w:w="11850" w:h="16783"/>
      <w:pgMar w:top="1245" w:right="1803" w:bottom="1440" w:left="1803" w:header="907" w:footer="123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font-weight : 400">
    <w:altName w:val="GENISO"/>
    <w:panose1 w:val="00000000000000000000"/>
    <w:charset w:val="00"/>
    <w:family w:val="auto"/>
    <w:pitch w:val="default"/>
    <w:sig w:usb0="00000000" w:usb1="00000000" w:usb2="00000000" w:usb3="00000000" w:csb0="00000000" w:csb1="00000000"/>
  </w:font>
  <w:font w:name="MingLiU">
    <w:altName w:val="PMingLiU-ExtB"/>
    <w:panose1 w:val="02010609000101010101"/>
    <w:charset w:val="88"/>
    <w:family w:val="modern"/>
    <w:pitch w:val="default"/>
    <w:sig w:usb0="00000000" w:usb1="00000000" w:usb2="00000010" w:usb3="00000000" w:csb0="0010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SimSun-ExtB">
    <w:panose1 w:val="02010609060101010101"/>
    <w:charset w:val="86"/>
    <w:family w:val="modern"/>
    <w:pitch w:val="default"/>
    <w:sig w:usb0="00000001" w:usb1="02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0" w:csb1="00000000"/>
  </w:font>
  <w:font w:name="FZSSK--GBK1-0">
    <w:altName w:val="GENISO"/>
    <w:panose1 w:val="00000000000000000000"/>
    <w:charset w:val="00"/>
    <w:family w:val="roman"/>
    <w:pitch w:val="default"/>
    <w:sig w:usb0="00000000" w:usb1="00000000" w:usb2="00000000" w:usb3="00000000" w:csb0="00000000" w:csb1="00000000"/>
  </w:font>
  <w:font w:name="GENISO">
    <w:panose1 w:val="02000400000000000000"/>
    <w:charset w:val="00"/>
    <w:family w:val="auto"/>
    <w:pitch w:val="default"/>
    <w:sig w:usb0="00000003" w:usb1="00000000" w:usb2="0000004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981"/>
        <w:tab w:val="clear" w:pos="4153"/>
      </w:tabs>
      <w:rPr>
        <w:rFonts w:ascii="微软雅黑" w:hAnsi="微软雅黑" w:eastAsia="微软雅黑" w:cs="微软雅黑"/>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981"/>
        <w:tab w:val="clear" w:pos="4153"/>
      </w:tabs>
      <w:rPr>
        <w:rFonts w:ascii="微软雅黑" w:hAnsi="微软雅黑" w:eastAsia="微软雅黑" w:cs="微软雅黑"/>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double" w:color="auto" w:sz="4" w:space="1"/>
        <w:left w:val="none" w:color="auto" w:sz="0" w:space="4"/>
        <w:bottom w:val="none" w:color="auto" w:sz="0" w:space="1"/>
        <w:right w:val="none" w:color="auto" w:sz="0" w:space="4"/>
      </w:pBdr>
      <w:rPr>
        <w:rFonts w:ascii="隶书" w:hAnsi="隶书" w:eastAsia="隶书" w:cs="隶书"/>
        <w:sz w:val="18"/>
        <w:szCs w:val="18"/>
      </w:rPr>
    </w:pPr>
    <w:r>
      <w:rPr>
        <w:rFonts w:ascii="隶书" w:hAnsi="隶书" w:eastAsia="隶书" w:cs="隶书"/>
        <w:sz w:val="18"/>
        <w:szCs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double" w:color="auto" w:sz="4" w:space="1"/>
        <w:left w:val="none" w:color="auto" w:sz="0" w:space="4"/>
        <w:bottom w:val="none" w:color="auto" w:sz="0" w:space="1"/>
        <w:right w:val="none" w:color="auto" w:sz="0" w:space="4"/>
      </w:pBdr>
      <w:rPr>
        <w:rFonts w:ascii="隶书" w:hAnsi="隶书" w:eastAsia="隶书" w:cs="隶书"/>
        <w:sz w:val="18"/>
        <w:szCs w:val="18"/>
      </w:rPr>
    </w:pPr>
    <w:r>
      <w:rPr>
        <w:rFonts w:ascii="隶书" w:hAnsi="隶书" w:eastAsia="隶书" w:cs="隶书"/>
        <w:sz w:val="18"/>
        <w:szCs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kuqcMNwIAAHMEAAAOAAAAAAAAAAEAIAAAAB8BAABkcnMvZTJvRG9jLnht&#10;bFBLBQYAAAAABgAGAFkBAADI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double" w:color="auto" w:sz="4" w:space="1"/>
        <w:left w:val="none" w:color="auto" w:sz="0" w:space="4"/>
        <w:bottom w:val="none" w:color="auto" w:sz="0" w:space="1"/>
        <w:right w:val="none" w:color="auto" w:sz="0" w:space="4"/>
      </w:pBdr>
      <w:spacing w:line="240" w:lineRule="atLeast"/>
      <w:jc w:val="left"/>
      <w:rPr>
        <w:snapToGrid w:val="0"/>
        <w:kern w:val="0"/>
        <w:sz w:val="18"/>
        <w:szCs w:val="18"/>
      </w:rPr>
    </w:pPr>
    <w:r>
      <w:rPr>
        <w:rFonts w:ascii="隶书" w:hAnsi="隶书" w:eastAsia="隶书" w:cs="隶书"/>
        <w:sz w:val="18"/>
        <w:szCs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double" w:color="auto" w:sz="4" w:space="1"/>
        <w:left w:val="none" w:color="auto" w:sz="0" w:space="4"/>
        <w:bottom w:val="none" w:color="auto" w:sz="0" w:space="1"/>
        <w:right w:val="none" w:color="auto" w:sz="0" w:space="4"/>
      </w:pBdr>
      <w:spacing w:line="240" w:lineRule="atLeast"/>
      <w:jc w:val="left"/>
      <w:rPr>
        <w:snapToGrid w:val="0"/>
        <w:kern w:val="0"/>
        <w:sz w:val="18"/>
        <w:szCs w:val="18"/>
      </w:rPr>
    </w:pPr>
    <w:r>
      <w:rPr>
        <w:rFonts w:ascii="隶书" w:hAnsi="隶书" w:eastAsia="隶书" w:cs="隶书"/>
        <w:sz w:val="18"/>
        <w:szCs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aScHBNwIAAHAEAAAOAAAAAAAAAAEAIAAAAB8BAABkcnMvZTJvRG9jLnht&#10;bFBLBQYAAAAABgAGAFkBAADI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double" w:color="auto" w:sz="4" w:space="1"/>
        <w:left w:val="none" w:color="auto" w:sz="0" w:space="4"/>
        <w:bottom w:val="none" w:color="auto" w:sz="0" w:space="1"/>
        <w:right w:val="none" w:color="auto" w:sz="0" w:space="4"/>
      </w:pBdr>
      <w:spacing w:line="240" w:lineRule="atLeast"/>
      <w:jc w:val="left"/>
      <w:rPr>
        <w:snapToGrid w:val="0"/>
        <w:kern w:val="0"/>
        <w:sz w:val="18"/>
        <w:szCs w:val="18"/>
      </w:rPr>
    </w:pPr>
    <w:r>
      <w:rPr>
        <w:rFonts w:ascii="隶书" w:hAnsi="隶书" w:eastAsia="隶书" w:cs="隶书"/>
        <w:sz w:val="18"/>
        <w:szCs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double" w:color="auto" w:sz="4" w:space="1"/>
        <w:left w:val="none" w:color="auto" w:sz="0" w:space="4"/>
        <w:bottom w:val="none" w:color="auto" w:sz="0" w:space="1"/>
        <w:right w:val="none" w:color="auto" w:sz="0" w:space="4"/>
      </w:pBdr>
      <w:spacing w:line="240" w:lineRule="atLeast"/>
      <w:jc w:val="left"/>
      <w:rPr>
        <w:snapToGrid w:val="0"/>
        <w:kern w:val="0"/>
        <w:sz w:val="18"/>
        <w:szCs w:val="18"/>
      </w:rPr>
    </w:pPr>
    <w:r>
      <w:rPr>
        <w:rFonts w:ascii="隶书" w:hAnsi="隶书" w:eastAsia="隶书" w:cs="隶书"/>
        <w:sz w:val="18"/>
        <w:szCs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黑体" w:hAnsi="黑体" w:eastAsia="黑体" w:cs="黑体"/>
      </w:rPr>
    </w:pPr>
    <w:r>
      <w:rPr>
        <w:rFonts w:hint="eastAsia" w:ascii="楷体" w:hAnsi="楷体" w:eastAsia="楷体" w:cs="楷体"/>
        <w:b/>
        <w:bCs/>
      </w:rPr>
      <w:t>壶关县住房和城乡建设管理局县城生活垃圾处理二期工程项目             环境保护措施及可行性论证</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黑体" w:hAnsi="黑体" w:eastAsia="黑体" w:cs="黑体"/>
      </w:rPr>
    </w:pPr>
    <w:r>
      <w:rPr>
        <w:rFonts w:hint="eastAsia" w:ascii="楷体" w:hAnsi="楷体" w:eastAsia="楷体" w:cs="楷体"/>
        <w:b/>
        <w:bCs/>
      </w:rPr>
      <w:t>壶关县住房和城乡建设管理局县城生活垃圾处理二期工程项目                                                                          环境保护措施及可行性论证</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楷体" w:hAnsi="楷体" w:eastAsia="楷体" w:cs="楷体"/>
        <w:b/>
        <w:bCs/>
      </w:rPr>
    </w:pPr>
    <w:r>
      <w:rPr>
        <w:rFonts w:hint="eastAsia" w:ascii="楷体" w:hAnsi="楷体" w:eastAsia="楷体" w:cs="楷体"/>
        <w:b/>
        <w:bCs/>
      </w:rPr>
      <w:t>壶关县住房和城乡建设管理局县城生活垃圾处理二期工程项目                环境影响经济损益分析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楷体" w:hAnsi="楷体" w:eastAsia="楷体" w:cs="楷体"/>
        <w:b/>
        <w:bCs/>
      </w:rPr>
    </w:pPr>
    <w:r>
      <w:rPr>
        <w:rFonts w:hint="eastAsia" w:ascii="楷体" w:hAnsi="楷体" w:eastAsia="楷体" w:cs="楷体"/>
        <w:b/>
        <w:bCs/>
      </w:rPr>
      <w:t>壶关县住房和城乡建设管理局县城生活垃圾处理二期工程项目                  环境管理与监测计划</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楷体" w:hAnsi="楷体" w:eastAsia="楷体" w:cs="楷体"/>
        <w:b/>
        <w:bCs/>
      </w:rPr>
    </w:pPr>
    <w:r>
      <w:rPr>
        <w:rFonts w:hint="eastAsia" w:ascii="楷体" w:hAnsi="楷体" w:eastAsia="楷体" w:cs="楷体"/>
        <w:b/>
        <w:bCs/>
      </w:rPr>
      <w:t>壶关县住房和城乡建设管理局县城生活垃圾处理二期工程项目                                                                                 环境管理与监测计划</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楷体" w:hAnsi="楷体" w:eastAsia="楷体" w:cs="楷体"/>
        <w:b/>
        <w:bCs/>
      </w:rPr>
    </w:pPr>
    <w:r>
      <w:rPr>
        <w:rFonts w:hint="eastAsia" w:ascii="楷体" w:hAnsi="楷体" w:eastAsia="楷体" w:cs="楷体"/>
        <w:b/>
        <w:bCs/>
      </w:rPr>
      <w:t>壶关县住房和城乡建设管理局县城生活垃圾处理二期工程项目                   环境管理与监测计划</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隶书" w:hAnsi="隶书" w:eastAsia="隶书" w:cs="隶书"/>
      </w:rPr>
    </w:pPr>
    <w:r>
      <w:rPr>
        <w:rFonts w:hint="eastAsia" w:ascii="隶书" w:hAnsi="隶书" w:eastAsia="隶书" w:cs="隶书"/>
      </w:rPr>
      <w:t>壶关县住房和城乡建设管理局县城生活垃圾处理二期工程项目                                                                                 环境管理与监测计划</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隶书" w:hAnsi="隶书" w:eastAsia="隶书" w:cs="隶书"/>
      </w:rPr>
    </w:pPr>
    <w:r>
      <w:rPr>
        <w:rFonts w:hint="eastAsia" w:ascii="隶书" w:hAnsi="隶书" w:eastAsia="隶书" w:cs="隶书"/>
      </w:rPr>
      <w:t>壶关县住房和城乡建设管理局县城生活垃圾处理二期工程项目                  环境管理与监测计划</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eastAsia="隶书"/>
      </w:rPr>
    </w:pPr>
    <w:r>
      <w:rPr>
        <w:rFonts w:hint="eastAsia" w:ascii="楷体" w:hAnsi="楷体" w:eastAsia="楷体" w:cs="楷体"/>
        <w:b/>
        <w:bCs/>
      </w:rPr>
      <w:t>壶关县住房和城乡建设管理局县城生活垃圾处理二期工程项目                                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8" w:space="1"/>
      </w:pBdr>
      <w:ind w:left="7920" w:hanging="7920" w:hangingChars="4400"/>
      <w:jc w:val="left"/>
      <w:rPr>
        <w:rFonts w:ascii="隶书" w:hAnsi="隶书" w:eastAsia="隶书" w:cs="隶书"/>
      </w:rPr>
    </w:pPr>
  </w:p>
  <w:p>
    <w:pPr>
      <w:pStyle w:val="20"/>
      <w:pBdr>
        <w:bottom w:val="double" w:color="auto" w:sz="8" w:space="1"/>
      </w:pBdr>
      <w:ind w:left="7951" w:hanging="7951" w:hangingChars="4400"/>
      <w:jc w:val="left"/>
      <w:rPr>
        <w:rFonts w:ascii="隶书" w:hAnsi="隶书" w:eastAsia="隶书" w:cs="隶书"/>
      </w:rPr>
    </w:pPr>
    <w:r>
      <w:rPr>
        <w:rFonts w:hint="eastAsia" w:ascii="楷体" w:hAnsi="楷体" w:eastAsia="楷体" w:cs="楷体"/>
        <w:b/>
        <w:bCs/>
      </w:rPr>
      <w:t>壶关县住房和城乡建设管理局县城生活垃圾处理二期工程项目                                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ind w:left="4879" w:hanging="4879" w:hangingChars="2700"/>
      <w:jc w:val="left"/>
      <w:rPr>
        <w:rFonts w:ascii="楷体" w:hAnsi="楷体" w:eastAsia="楷体" w:cs="楷体"/>
        <w:b/>
        <w:bCs/>
        <w:snapToGrid w:val="0"/>
      </w:rPr>
    </w:pPr>
    <w:r>
      <w:rPr>
        <w:rFonts w:hint="eastAsia" w:ascii="楷体" w:hAnsi="楷体" w:eastAsia="楷体" w:cs="楷体"/>
        <w:b/>
        <w:bCs/>
      </w:rPr>
      <w:t>壶关县住房和城乡建设管理局县城生活垃圾处理二期工程项目</w:t>
    </w:r>
    <w:r>
      <w:rPr>
        <w:rFonts w:hint="eastAsia" w:ascii="楷体" w:hAnsi="楷体" w:eastAsia="楷体" w:cs="楷体"/>
        <w:b/>
        <w:bCs/>
        <w:snapToGrid w:val="0"/>
      </w:rPr>
      <w:t xml:space="preserve">               项目概况与工程分析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ind w:left="4879" w:hanging="4879" w:hangingChars="2700"/>
      <w:jc w:val="left"/>
      <w:rPr>
        <w:rFonts w:ascii="楷体" w:hAnsi="楷体" w:eastAsia="楷体" w:cs="楷体"/>
        <w:b/>
        <w:bCs/>
        <w:snapToGrid w:val="0"/>
      </w:rPr>
    </w:pPr>
    <w:r>
      <w:rPr>
        <w:rFonts w:hint="eastAsia" w:ascii="楷体" w:hAnsi="楷体" w:eastAsia="楷体" w:cs="楷体"/>
        <w:b/>
        <w:bCs/>
      </w:rPr>
      <w:t>壶关县住房和城乡建设管理局县城生活垃圾处理二期工程项目</w:t>
    </w:r>
    <w:r>
      <w:rPr>
        <w:rFonts w:hint="eastAsia" w:ascii="楷体" w:hAnsi="楷体" w:eastAsia="楷体" w:cs="楷体"/>
        <w:b/>
        <w:bCs/>
        <w:snapToGrid w:val="0"/>
      </w:rPr>
      <w:t xml:space="preserve">                                                                                项目概况与工程分析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ind w:left="4879" w:hanging="4879" w:hangingChars="2700"/>
      <w:jc w:val="left"/>
      <w:rPr>
        <w:rFonts w:ascii="楷体" w:hAnsi="楷体" w:eastAsia="楷体" w:cs="楷体"/>
        <w:b/>
        <w:bCs/>
        <w:snapToGrid w:val="0"/>
      </w:rPr>
    </w:pPr>
    <w:r>
      <w:rPr>
        <w:rFonts w:hint="eastAsia" w:ascii="楷体" w:hAnsi="楷体" w:eastAsia="楷体" w:cs="楷体"/>
        <w:b/>
        <w:bCs/>
      </w:rPr>
      <w:t>壶关县住房和城乡建设管理局县城生活垃圾处理二期工程项目</w:t>
    </w:r>
    <w:r>
      <w:rPr>
        <w:rFonts w:hint="eastAsia" w:ascii="楷体" w:hAnsi="楷体" w:eastAsia="楷体" w:cs="楷体"/>
        <w:b/>
        <w:bCs/>
        <w:snapToGrid w:val="0"/>
      </w:rPr>
      <w:t xml:space="preserve">                  项目概况与工程分析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ind w:left="4879" w:hanging="4879" w:hangingChars="2700"/>
      <w:jc w:val="left"/>
      <w:rPr>
        <w:rFonts w:ascii="隶书" w:hAnsi="隶书" w:eastAsia="隶书" w:cs="隶书"/>
        <w:snapToGrid w:val="0"/>
      </w:rPr>
    </w:pPr>
    <w:r>
      <w:rPr>
        <w:rFonts w:hint="eastAsia" w:ascii="楷体" w:hAnsi="楷体" w:eastAsia="楷体" w:cs="楷体"/>
        <w:b/>
        <w:bCs/>
      </w:rPr>
      <w:t xml:space="preserve">壶关县住房和城乡建设管理局县城生活垃圾处理二期工程项目                                                                                  </w:t>
    </w:r>
    <w:r>
      <w:rPr>
        <w:rFonts w:hint="eastAsia" w:ascii="楷体" w:hAnsi="楷体" w:eastAsia="楷体" w:cs="楷体"/>
        <w:b/>
        <w:bCs/>
        <w:snapToGrid w:val="0"/>
        <w:lang w:val="zh-CN"/>
      </w:rPr>
      <w:t>项目概况与工程分析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ind w:left="7200" w:hanging="7200" w:hangingChars="4000"/>
      <w:jc w:val="both"/>
      <w:rPr>
        <w:rFonts w:ascii="黑体" w:hAnsi="黑体" w:eastAsia="黑体" w:cs="黑体"/>
      </w:rPr>
    </w:pPr>
    <w:r>
      <w:rPr>
        <w:rFonts w:hint="eastAsia" w:ascii="隶书" w:hAnsi="隶书" w:eastAsia="隶书" w:cs="隶书"/>
      </w:rPr>
      <w:t>壶关县住房和城乡建设管理局县城生活垃圾处理二期工程项目                环境现状调查与评价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4" w:space="1"/>
      </w:pBdr>
      <w:jc w:val="both"/>
      <w:rPr>
        <w:rFonts w:ascii="隶书" w:hAnsi="隶书" w:eastAsia="隶书" w:cs="隶书"/>
      </w:rPr>
    </w:pPr>
  </w:p>
  <w:p>
    <w:pPr>
      <w:pStyle w:val="20"/>
      <w:pBdr>
        <w:bottom w:val="double" w:color="auto" w:sz="4" w:space="1"/>
      </w:pBdr>
      <w:jc w:val="both"/>
      <w:rPr>
        <w:rFonts w:ascii="黑体" w:hAnsi="黑体" w:eastAsia="黑体" w:cs="黑体"/>
      </w:rPr>
    </w:pPr>
    <w:r>
      <w:rPr>
        <w:rFonts w:hint="eastAsia" w:ascii="楷体" w:hAnsi="楷体" w:eastAsia="楷体" w:cs="楷体"/>
        <w:b/>
        <w:bCs/>
      </w:rPr>
      <w:t>壶关县住房和城乡建设管理局县城生活垃圾处理二期工程项目                   环境影响预测与评价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24D64"/>
    <w:multiLevelType w:val="singleLevel"/>
    <w:tmpl w:val="FAF24D64"/>
    <w:lvl w:ilvl="0" w:tentative="0">
      <w:start w:val="4"/>
      <w:numFmt w:val="decimal"/>
      <w:suff w:val="nothing"/>
      <w:lvlText w:val="%1、"/>
      <w:lvlJc w:val="left"/>
    </w:lvl>
  </w:abstractNum>
  <w:abstractNum w:abstractNumId="1">
    <w:nsid w:val="4B06698D"/>
    <w:multiLevelType w:val="multilevel"/>
    <w:tmpl w:val="4B0669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2YjgyMGQ1YjMyYzUwYjhmMTgxNzM2OWUxZWVlNWQifQ=="/>
    <w:docVar w:name="KSO_WPS_MARK_KEY" w:val="4d663373-c8d0-4747-a65d-fcb3ccbd5585"/>
  </w:docVars>
  <w:rsids>
    <w:rsidRoot w:val="00172A27"/>
    <w:rsid w:val="000009DA"/>
    <w:rsid w:val="00004C91"/>
    <w:rsid w:val="00011598"/>
    <w:rsid w:val="00017707"/>
    <w:rsid w:val="000208AD"/>
    <w:rsid w:val="00020B83"/>
    <w:rsid w:val="00021A3F"/>
    <w:rsid w:val="00023EF4"/>
    <w:rsid w:val="00025C56"/>
    <w:rsid w:val="0003043E"/>
    <w:rsid w:val="00033DC3"/>
    <w:rsid w:val="000403FD"/>
    <w:rsid w:val="00041829"/>
    <w:rsid w:val="000428A8"/>
    <w:rsid w:val="00052267"/>
    <w:rsid w:val="0005350F"/>
    <w:rsid w:val="00071563"/>
    <w:rsid w:val="00074293"/>
    <w:rsid w:val="00081789"/>
    <w:rsid w:val="00083C02"/>
    <w:rsid w:val="00084634"/>
    <w:rsid w:val="00092F84"/>
    <w:rsid w:val="00095306"/>
    <w:rsid w:val="000A2EEF"/>
    <w:rsid w:val="000A54C6"/>
    <w:rsid w:val="000B0D2C"/>
    <w:rsid w:val="000B3127"/>
    <w:rsid w:val="000C0534"/>
    <w:rsid w:val="000C1B9D"/>
    <w:rsid w:val="000C2589"/>
    <w:rsid w:val="000C3D21"/>
    <w:rsid w:val="000C6CB8"/>
    <w:rsid w:val="000D07C4"/>
    <w:rsid w:val="000D1C69"/>
    <w:rsid w:val="000D2B58"/>
    <w:rsid w:val="000E55EA"/>
    <w:rsid w:val="001016D0"/>
    <w:rsid w:val="00112335"/>
    <w:rsid w:val="001134CE"/>
    <w:rsid w:val="0012706D"/>
    <w:rsid w:val="001428B9"/>
    <w:rsid w:val="00146415"/>
    <w:rsid w:val="0014664A"/>
    <w:rsid w:val="0015208A"/>
    <w:rsid w:val="00153394"/>
    <w:rsid w:val="00156F87"/>
    <w:rsid w:val="00161B88"/>
    <w:rsid w:val="001624B3"/>
    <w:rsid w:val="00163E79"/>
    <w:rsid w:val="00167DF5"/>
    <w:rsid w:val="001703E4"/>
    <w:rsid w:val="0017079B"/>
    <w:rsid w:val="00172A27"/>
    <w:rsid w:val="001773CA"/>
    <w:rsid w:val="001828CC"/>
    <w:rsid w:val="001911DF"/>
    <w:rsid w:val="00192BDC"/>
    <w:rsid w:val="001936E0"/>
    <w:rsid w:val="001A254F"/>
    <w:rsid w:val="001B49CF"/>
    <w:rsid w:val="001C47F9"/>
    <w:rsid w:val="001E61D0"/>
    <w:rsid w:val="001E7CF0"/>
    <w:rsid w:val="001F160D"/>
    <w:rsid w:val="001F2C72"/>
    <w:rsid w:val="001F6EE6"/>
    <w:rsid w:val="001F7E44"/>
    <w:rsid w:val="002102A2"/>
    <w:rsid w:val="002177F7"/>
    <w:rsid w:val="00217EA3"/>
    <w:rsid w:val="00221F4C"/>
    <w:rsid w:val="0022358B"/>
    <w:rsid w:val="0023286F"/>
    <w:rsid w:val="002416C3"/>
    <w:rsid w:val="00244EF6"/>
    <w:rsid w:val="00250064"/>
    <w:rsid w:val="0025078A"/>
    <w:rsid w:val="00251A1C"/>
    <w:rsid w:val="0026212D"/>
    <w:rsid w:val="0026336B"/>
    <w:rsid w:val="002650C6"/>
    <w:rsid w:val="002663CC"/>
    <w:rsid w:val="00266D48"/>
    <w:rsid w:val="00271C59"/>
    <w:rsid w:val="00274564"/>
    <w:rsid w:val="00274D99"/>
    <w:rsid w:val="00280204"/>
    <w:rsid w:val="00281C55"/>
    <w:rsid w:val="00283382"/>
    <w:rsid w:val="00283C38"/>
    <w:rsid w:val="00284C3B"/>
    <w:rsid w:val="00285D0E"/>
    <w:rsid w:val="002955D6"/>
    <w:rsid w:val="002A0003"/>
    <w:rsid w:val="002A21C2"/>
    <w:rsid w:val="002A5B6A"/>
    <w:rsid w:val="002B4280"/>
    <w:rsid w:val="002B56EF"/>
    <w:rsid w:val="002B5EFD"/>
    <w:rsid w:val="002B661D"/>
    <w:rsid w:val="002B6774"/>
    <w:rsid w:val="002C0534"/>
    <w:rsid w:val="002C0B66"/>
    <w:rsid w:val="002C2CE9"/>
    <w:rsid w:val="002C3995"/>
    <w:rsid w:val="002C4159"/>
    <w:rsid w:val="002D1357"/>
    <w:rsid w:val="002D7C79"/>
    <w:rsid w:val="002E4679"/>
    <w:rsid w:val="002E6AC3"/>
    <w:rsid w:val="002F0053"/>
    <w:rsid w:val="002F4AFA"/>
    <w:rsid w:val="00313F50"/>
    <w:rsid w:val="0031533F"/>
    <w:rsid w:val="00323393"/>
    <w:rsid w:val="00323732"/>
    <w:rsid w:val="00323A70"/>
    <w:rsid w:val="00326C31"/>
    <w:rsid w:val="003337AB"/>
    <w:rsid w:val="00334433"/>
    <w:rsid w:val="00336BCA"/>
    <w:rsid w:val="0034101D"/>
    <w:rsid w:val="003437E2"/>
    <w:rsid w:val="0034399C"/>
    <w:rsid w:val="00344C4E"/>
    <w:rsid w:val="003460E3"/>
    <w:rsid w:val="00346D97"/>
    <w:rsid w:val="003501E4"/>
    <w:rsid w:val="003516EB"/>
    <w:rsid w:val="00354BAE"/>
    <w:rsid w:val="00355071"/>
    <w:rsid w:val="00360480"/>
    <w:rsid w:val="00361AEB"/>
    <w:rsid w:val="003707B2"/>
    <w:rsid w:val="00371067"/>
    <w:rsid w:val="0037680A"/>
    <w:rsid w:val="00383E55"/>
    <w:rsid w:val="0038694C"/>
    <w:rsid w:val="00396992"/>
    <w:rsid w:val="003A5A9C"/>
    <w:rsid w:val="003B5B44"/>
    <w:rsid w:val="003B72DF"/>
    <w:rsid w:val="003C2814"/>
    <w:rsid w:val="003D1290"/>
    <w:rsid w:val="003D42B9"/>
    <w:rsid w:val="003D4E40"/>
    <w:rsid w:val="003D568C"/>
    <w:rsid w:val="003D5C30"/>
    <w:rsid w:val="003D5DA5"/>
    <w:rsid w:val="003E3D83"/>
    <w:rsid w:val="003E74A1"/>
    <w:rsid w:val="003F56F3"/>
    <w:rsid w:val="003F599F"/>
    <w:rsid w:val="00400761"/>
    <w:rsid w:val="00400FB0"/>
    <w:rsid w:val="00403814"/>
    <w:rsid w:val="00407FFD"/>
    <w:rsid w:val="0042158A"/>
    <w:rsid w:val="00423552"/>
    <w:rsid w:val="004277D3"/>
    <w:rsid w:val="00427CC0"/>
    <w:rsid w:val="00433F0E"/>
    <w:rsid w:val="0044491F"/>
    <w:rsid w:val="00451C4E"/>
    <w:rsid w:val="00454962"/>
    <w:rsid w:val="00456CF9"/>
    <w:rsid w:val="00462650"/>
    <w:rsid w:val="00466101"/>
    <w:rsid w:val="004661C6"/>
    <w:rsid w:val="004669C0"/>
    <w:rsid w:val="00470A27"/>
    <w:rsid w:val="004718FC"/>
    <w:rsid w:val="004777AF"/>
    <w:rsid w:val="00487237"/>
    <w:rsid w:val="004942D0"/>
    <w:rsid w:val="00497756"/>
    <w:rsid w:val="004A55FF"/>
    <w:rsid w:val="004A7C4F"/>
    <w:rsid w:val="004B2AE2"/>
    <w:rsid w:val="004B566A"/>
    <w:rsid w:val="004C0228"/>
    <w:rsid w:val="004C08A8"/>
    <w:rsid w:val="004C326F"/>
    <w:rsid w:val="004C4F38"/>
    <w:rsid w:val="004C55DD"/>
    <w:rsid w:val="004C64EE"/>
    <w:rsid w:val="004F288B"/>
    <w:rsid w:val="004F2B66"/>
    <w:rsid w:val="004F32D7"/>
    <w:rsid w:val="00504C80"/>
    <w:rsid w:val="005069C5"/>
    <w:rsid w:val="00520711"/>
    <w:rsid w:val="00520C08"/>
    <w:rsid w:val="00523155"/>
    <w:rsid w:val="00531A19"/>
    <w:rsid w:val="00550030"/>
    <w:rsid w:val="005556FE"/>
    <w:rsid w:val="00567060"/>
    <w:rsid w:val="005733A9"/>
    <w:rsid w:val="005735AC"/>
    <w:rsid w:val="005740A7"/>
    <w:rsid w:val="00575705"/>
    <w:rsid w:val="00582FEB"/>
    <w:rsid w:val="0058381C"/>
    <w:rsid w:val="0058454E"/>
    <w:rsid w:val="0058795F"/>
    <w:rsid w:val="0059726D"/>
    <w:rsid w:val="005A544B"/>
    <w:rsid w:val="005B3059"/>
    <w:rsid w:val="005B75F5"/>
    <w:rsid w:val="005B7C81"/>
    <w:rsid w:val="005B7F57"/>
    <w:rsid w:val="005C007B"/>
    <w:rsid w:val="005C0797"/>
    <w:rsid w:val="005C1205"/>
    <w:rsid w:val="005C1BA6"/>
    <w:rsid w:val="005C3BD7"/>
    <w:rsid w:val="005C5A6E"/>
    <w:rsid w:val="005D56F3"/>
    <w:rsid w:val="005D6BEF"/>
    <w:rsid w:val="005E0120"/>
    <w:rsid w:val="005E0815"/>
    <w:rsid w:val="005E0EC9"/>
    <w:rsid w:val="005F3DD6"/>
    <w:rsid w:val="005F56E9"/>
    <w:rsid w:val="00601F4C"/>
    <w:rsid w:val="00604A7A"/>
    <w:rsid w:val="006169F7"/>
    <w:rsid w:val="00624A6B"/>
    <w:rsid w:val="006250D3"/>
    <w:rsid w:val="00626BF1"/>
    <w:rsid w:val="00627A26"/>
    <w:rsid w:val="00634D1F"/>
    <w:rsid w:val="00635267"/>
    <w:rsid w:val="00637896"/>
    <w:rsid w:val="00637E28"/>
    <w:rsid w:val="00644F43"/>
    <w:rsid w:val="00646B66"/>
    <w:rsid w:val="0066111C"/>
    <w:rsid w:val="00661578"/>
    <w:rsid w:val="00666621"/>
    <w:rsid w:val="0067111E"/>
    <w:rsid w:val="00673D14"/>
    <w:rsid w:val="006748B8"/>
    <w:rsid w:val="00675EDA"/>
    <w:rsid w:val="0068061B"/>
    <w:rsid w:val="00682953"/>
    <w:rsid w:val="00685ADE"/>
    <w:rsid w:val="00686AB8"/>
    <w:rsid w:val="006928D9"/>
    <w:rsid w:val="006978D3"/>
    <w:rsid w:val="006A1E0A"/>
    <w:rsid w:val="006A4E5D"/>
    <w:rsid w:val="006A5E67"/>
    <w:rsid w:val="006A5F98"/>
    <w:rsid w:val="006B7418"/>
    <w:rsid w:val="006C0D34"/>
    <w:rsid w:val="006C1162"/>
    <w:rsid w:val="006C5BE4"/>
    <w:rsid w:val="006D435A"/>
    <w:rsid w:val="006D5046"/>
    <w:rsid w:val="006D5F4C"/>
    <w:rsid w:val="006E51E5"/>
    <w:rsid w:val="006E706E"/>
    <w:rsid w:val="006F0B1D"/>
    <w:rsid w:val="00721184"/>
    <w:rsid w:val="0072258C"/>
    <w:rsid w:val="0073017E"/>
    <w:rsid w:val="00736E29"/>
    <w:rsid w:val="00736ED2"/>
    <w:rsid w:val="00737140"/>
    <w:rsid w:val="00753FCD"/>
    <w:rsid w:val="00757BF5"/>
    <w:rsid w:val="00760BFD"/>
    <w:rsid w:val="00767688"/>
    <w:rsid w:val="007707A4"/>
    <w:rsid w:val="0077135D"/>
    <w:rsid w:val="0077266E"/>
    <w:rsid w:val="007752FD"/>
    <w:rsid w:val="00776C18"/>
    <w:rsid w:val="007A3642"/>
    <w:rsid w:val="007A7BE7"/>
    <w:rsid w:val="007B28CD"/>
    <w:rsid w:val="007B3B24"/>
    <w:rsid w:val="007D6488"/>
    <w:rsid w:val="007E60A5"/>
    <w:rsid w:val="007F0DC8"/>
    <w:rsid w:val="008069BB"/>
    <w:rsid w:val="00814EAB"/>
    <w:rsid w:val="008151C1"/>
    <w:rsid w:val="00817CB8"/>
    <w:rsid w:val="008258F3"/>
    <w:rsid w:val="00826EC9"/>
    <w:rsid w:val="008356B7"/>
    <w:rsid w:val="00835A9E"/>
    <w:rsid w:val="00837F4F"/>
    <w:rsid w:val="00847BC1"/>
    <w:rsid w:val="008500E2"/>
    <w:rsid w:val="00857DCC"/>
    <w:rsid w:val="00861B81"/>
    <w:rsid w:val="00862199"/>
    <w:rsid w:val="008623CC"/>
    <w:rsid w:val="008643DD"/>
    <w:rsid w:val="008666F2"/>
    <w:rsid w:val="008672E3"/>
    <w:rsid w:val="008708F6"/>
    <w:rsid w:val="00871998"/>
    <w:rsid w:val="00871FB1"/>
    <w:rsid w:val="008753CC"/>
    <w:rsid w:val="00880C7F"/>
    <w:rsid w:val="00881F05"/>
    <w:rsid w:val="008835F5"/>
    <w:rsid w:val="008859A6"/>
    <w:rsid w:val="00890C26"/>
    <w:rsid w:val="008921FD"/>
    <w:rsid w:val="00892AC7"/>
    <w:rsid w:val="0089454B"/>
    <w:rsid w:val="008971AD"/>
    <w:rsid w:val="008A0CAE"/>
    <w:rsid w:val="008A1D46"/>
    <w:rsid w:val="008A6BC8"/>
    <w:rsid w:val="008A7BB2"/>
    <w:rsid w:val="008B65B7"/>
    <w:rsid w:val="008C161E"/>
    <w:rsid w:val="008C1F30"/>
    <w:rsid w:val="008D0A78"/>
    <w:rsid w:val="008D3EC3"/>
    <w:rsid w:val="008D4158"/>
    <w:rsid w:val="008F16EB"/>
    <w:rsid w:val="008F5C2E"/>
    <w:rsid w:val="008F790D"/>
    <w:rsid w:val="00902CC2"/>
    <w:rsid w:val="00904EBE"/>
    <w:rsid w:val="00906086"/>
    <w:rsid w:val="0091537A"/>
    <w:rsid w:val="0091642F"/>
    <w:rsid w:val="00926F5F"/>
    <w:rsid w:val="009359B8"/>
    <w:rsid w:val="00944AB8"/>
    <w:rsid w:val="009462E1"/>
    <w:rsid w:val="0094682C"/>
    <w:rsid w:val="00951744"/>
    <w:rsid w:val="00954254"/>
    <w:rsid w:val="00956013"/>
    <w:rsid w:val="00961CC8"/>
    <w:rsid w:val="00975083"/>
    <w:rsid w:val="009768D0"/>
    <w:rsid w:val="00981D3C"/>
    <w:rsid w:val="00985654"/>
    <w:rsid w:val="009872E4"/>
    <w:rsid w:val="00993D25"/>
    <w:rsid w:val="00995195"/>
    <w:rsid w:val="009A0917"/>
    <w:rsid w:val="009A0C21"/>
    <w:rsid w:val="009A5809"/>
    <w:rsid w:val="009A7611"/>
    <w:rsid w:val="009B3C25"/>
    <w:rsid w:val="009B3C2D"/>
    <w:rsid w:val="009C16B0"/>
    <w:rsid w:val="009C73CA"/>
    <w:rsid w:val="009D07D3"/>
    <w:rsid w:val="009D1DB4"/>
    <w:rsid w:val="009D5721"/>
    <w:rsid w:val="009E0314"/>
    <w:rsid w:val="009E0F5A"/>
    <w:rsid w:val="009E181B"/>
    <w:rsid w:val="009F53FD"/>
    <w:rsid w:val="009F666E"/>
    <w:rsid w:val="00A0089D"/>
    <w:rsid w:val="00A05ADC"/>
    <w:rsid w:val="00A16079"/>
    <w:rsid w:val="00A22896"/>
    <w:rsid w:val="00A22DCB"/>
    <w:rsid w:val="00A25B48"/>
    <w:rsid w:val="00A36EA3"/>
    <w:rsid w:val="00A40940"/>
    <w:rsid w:val="00A56807"/>
    <w:rsid w:val="00A60038"/>
    <w:rsid w:val="00A61529"/>
    <w:rsid w:val="00A717C1"/>
    <w:rsid w:val="00A75970"/>
    <w:rsid w:val="00A803E6"/>
    <w:rsid w:val="00A82EA0"/>
    <w:rsid w:val="00A907A5"/>
    <w:rsid w:val="00A90B5F"/>
    <w:rsid w:val="00AA11E1"/>
    <w:rsid w:val="00AA7D29"/>
    <w:rsid w:val="00AA7F9B"/>
    <w:rsid w:val="00AB089F"/>
    <w:rsid w:val="00AB6DA8"/>
    <w:rsid w:val="00AB7D52"/>
    <w:rsid w:val="00AC1BD8"/>
    <w:rsid w:val="00AC3809"/>
    <w:rsid w:val="00AC590F"/>
    <w:rsid w:val="00AD5039"/>
    <w:rsid w:val="00AE574B"/>
    <w:rsid w:val="00AE60DB"/>
    <w:rsid w:val="00AF6D6E"/>
    <w:rsid w:val="00B00C3F"/>
    <w:rsid w:val="00B0314D"/>
    <w:rsid w:val="00B05478"/>
    <w:rsid w:val="00B06206"/>
    <w:rsid w:val="00B12AA4"/>
    <w:rsid w:val="00B148D5"/>
    <w:rsid w:val="00B20862"/>
    <w:rsid w:val="00B2095A"/>
    <w:rsid w:val="00B33CE9"/>
    <w:rsid w:val="00B433B4"/>
    <w:rsid w:val="00B53288"/>
    <w:rsid w:val="00B60647"/>
    <w:rsid w:val="00B618C5"/>
    <w:rsid w:val="00B628B4"/>
    <w:rsid w:val="00B71F31"/>
    <w:rsid w:val="00B722AD"/>
    <w:rsid w:val="00B75A25"/>
    <w:rsid w:val="00B75D8D"/>
    <w:rsid w:val="00B81486"/>
    <w:rsid w:val="00B84F09"/>
    <w:rsid w:val="00B866A9"/>
    <w:rsid w:val="00B8744F"/>
    <w:rsid w:val="00B95418"/>
    <w:rsid w:val="00BA4EDC"/>
    <w:rsid w:val="00BA5BA8"/>
    <w:rsid w:val="00BA6475"/>
    <w:rsid w:val="00BA6B33"/>
    <w:rsid w:val="00BB13A6"/>
    <w:rsid w:val="00BB23D6"/>
    <w:rsid w:val="00BB4BFD"/>
    <w:rsid w:val="00BB7FCD"/>
    <w:rsid w:val="00BC7D1C"/>
    <w:rsid w:val="00BD16E5"/>
    <w:rsid w:val="00BF13CB"/>
    <w:rsid w:val="00BF2D09"/>
    <w:rsid w:val="00BF6441"/>
    <w:rsid w:val="00C13F16"/>
    <w:rsid w:val="00C23377"/>
    <w:rsid w:val="00C33753"/>
    <w:rsid w:val="00C33C1E"/>
    <w:rsid w:val="00C365CD"/>
    <w:rsid w:val="00C404F8"/>
    <w:rsid w:val="00C419D7"/>
    <w:rsid w:val="00C45D0A"/>
    <w:rsid w:val="00C477C4"/>
    <w:rsid w:val="00C501A6"/>
    <w:rsid w:val="00C51549"/>
    <w:rsid w:val="00C515F9"/>
    <w:rsid w:val="00C54B9D"/>
    <w:rsid w:val="00C56232"/>
    <w:rsid w:val="00C64C85"/>
    <w:rsid w:val="00C725D3"/>
    <w:rsid w:val="00C733CB"/>
    <w:rsid w:val="00C75DD1"/>
    <w:rsid w:val="00C92193"/>
    <w:rsid w:val="00C934D7"/>
    <w:rsid w:val="00C93B85"/>
    <w:rsid w:val="00CB1D9F"/>
    <w:rsid w:val="00CC0690"/>
    <w:rsid w:val="00CD6CBE"/>
    <w:rsid w:val="00CE106E"/>
    <w:rsid w:val="00CF6FF0"/>
    <w:rsid w:val="00CF7F04"/>
    <w:rsid w:val="00D01ED8"/>
    <w:rsid w:val="00D051C1"/>
    <w:rsid w:val="00D21DD7"/>
    <w:rsid w:val="00D25CDA"/>
    <w:rsid w:val="00D26C5E"/>
    <w:rsid w:val="00D32875"/>
    <w:rsid w:val="00D35843"/>
    <w:rsid w:val="00D50066"/>
    <w:rsid w:val="00D52D3E"/>
    <w:rsid w:val="00D6065B"/>
    <w:rsid w:val="00D610B2"/>
    <w:rsid w:val="00D70091"/>
    <w:rsid w:val="00D719B4"/>
    <w:rsid w:val="00D73ACC"/>
    <w:rsid w:val="00D7541B"/>
    <w:rsid w:val="00D766B2"/>
    <w:rsid w:val="00D803BF"/>
    <w:rsid w:val="00D81796"/>
    <w:rsid w:val="00D82156"/>
    <w:rsid w:val="00D8287D"/>
    <w:rsid w:val="00D82DCB"/>
    <w:rsid w:val="00D841BA"/>
    <w:rsid w:val="00D84958"/>
    <w:rsid w:val="00D86477"/>
    <w:rsid w:val="00D87E9B"/>
    <w:rsid w:val="00D90C43"/>
    <w:rsid w:val="00D91121"/>
    <w:rsid w:val="00DA33AE"/>
    <w:rsid w:val="00DA3444"/>
    <w:rsid w:val="00DA5C53"/>
    <w:rsid w:val="00DA69C5"/>
    <w:rsid w:val="00DC1691"/>
    <w:rsid w:val="00DC7E8D"/>
    <w:rsid w:val="00DE129A"/>
    <w:rsid w:val="00DE17C0"/>
    <w:rsid w:val="00DE3DB3"/>
    <w:rsid w:val="00DF087A"/>
    <w:rsid w:val="00DF64BE"/>
    <w:rsid w:val="00DF7609"/>
    <w:rsid w:val="00E00F05"/>
    <w:rsid w:val="00E011CD"/>
    <w:rsid w:val="00E0441E"/>
    <w:rsid w:val="00E060CF"/>
    <w:rsid w:val="00E11D5F"/>
    <w:rsid w:val="00E15AED"/>
    <w:rsid w:val="00E17B0A"/>
    <w:rsid w:val="00E22229"/>
    <w:rsid w:val="00E2322F"/>
    <w:rsid w:val="00E246E4"/>
    <w:rsid w:val="00E31C29"/>
    <w:rsid w:val="00E32C60"/>
    <w:rsid w:val="00E3653A"/>
    <w:rsid w:val="00E41A17"/>
    <w:rsid w:val="00E422B4"/>
    <w:rsid w:val="00E47141"/>
    <w:rsid w:val="00E52B85"/>
    <w:rsid w:val="00E64E3C"/>
    <w:rsid w:val="00E72985"/>
    <w:rsid w:val="00E7494F"/>
    <w:rsid w:val="00E83213"/>
    <w:rsid w:val="00E926D6"/>
    <w:rsid w:val="00E95A61"/>
    <w:rsid w:val="00E9684F"/>
    <w:rsid w:val="00E968C3"/>
    <w:rsid w:val="00EA25D9"/>
    <w:rsid w:val="00EA6B01"/>
    <w:rsid w:val="00EB047A"/>
    <w:rsid w:val="00EB4BB8"/>
    <w:rsid w:val="00EB6B5A"/>
    <w:rsid w:val="00EC0B79"/>
    <w:rsid w:val="00EC1A3E"/>
    <w:rsid w:val="00EC1DFE"/>
    <w:rsid w:val="00EC2D0F"/>
    <w:rsid w:val="00EC7C6B"/>
    <w:rsid w:val="00ED0909"/>
    <w:rsid w:val="00ED39B5"/>
    <w:rsid w:val="00ED646D"/>
    <w:rsid w:val="00ED7CEC"/>
    <w:rsid w:val="00EE10F5"/>
    <w:rsid w:val="00EE4A96"/>
    <w:rsid w:val="00EE50B3"/>
    <w:rsid w:val="00EE5690"/>
    <w:rsid w:val="00EF5689"/>
    <w:rsid w:val="00EF5A44"/>
    <w:rsid w:val="00EF7BFF"/>
    <w:rsid w:val="00F028A1"/>
    <w:rsid w:val="00F048F7"/>
    <w:rsid w:val="00F06E3D"/>
    <w:rsid w:val="00F11477"/>
    <w:rsid w:val="00F12A7F"/>
    <w:rsid w:val="00F14054"/>
    <w:rsid w:val="00F225F0"/>
    <w:rsid w:val="00F2529F"/>
    <w:rsid w:val="00F25C49"/>
    <w:rsid w:val="00F27783"/>
    <w:rsid w:val="00F30C14"/>
    <w:rsid w:val="00F442D6"/>
    <w:rsid w:val="00F46E5F"/>
    <w:rsid w:val="00F52E2E"/>
    <w:rsid w:val="00F57447"/>
    <w:rsid w:val="00F74F3B"/>
    <w:rsid w:val="00F7760D"/>
    <w:rsid w:val="00F809F3"/>
    <w:rsid w:val="00FA066D"/>
    <w:rsid w:val="00FA5208"/>
    <w:rsid w:val="00FB0BB3"/>
    <w:rsid w:val="00FB5FA3"/>
    <w:rsid w:val="00FD0165"/>
    <w:rsid w:val="00FD1142"/>
    <w:rsid w:val="00FD114B"/>
    <w:rsid w:val="00FD3A11"/>
    <w:rsid w:val="00FD481F"/>
    <w:rsid w:val="00FD6E29"/>
    <w:rsid w:val="01027474"/>
    <w:rsid w:val="01294CF2"/>
    <w:rsid w:val="01423D36"/>
    <w:rsid w:val="015433BA"/>
    <w:rsid w:val="017D0BC5"/>
    <w:rsid w:val="01807DAD"/>
    <w:rsid w:val="01963560"/>
    <w:rsid w:val="01BB4B7B"/>
    <w:rsid w:val="01CC6BB4"/>
    <w:rsid w:val="01D54C77"/>
    <w:rsid w:val="01E575BA"/>
    <w:rsid w:val="020F53B6"/>
    <w:rsid w:val="02130A11"/>
    <w:rsid w:val="0215653F"/>
    <w:rsid w:val="023649FB"/>
    <w:rsid w:val="024C6BF1"/>
    <w:rsid w:val="026F3E20"/>
    <w:rsid w:val="027C4FB4"/>
    <w:rsid w:val="029E6F94"/>
    <w:rsid w:val="02B03468"/>
    <w:rsid w:val="02D81755"/>
    <w:rsid w:val="02E54E63"/>
    <w:rsid w:val="02E961F8"/>
    <w:rsid w:val="03215DBB"/>
    <w:rsid w:val="03321626"/>
    <w:rsid w:val="0348382D"/>
    <w:rsid w:val="037F194C"/>
    <w:rsid w:val="039503F7"/>
    <w:rsid w:val="03E85ED4"/>
    <w:rsid w:val="03EC3977"/>
    <w:rsid w:val="04030ACE"/>
    <w:rsid w:val="040867F1"/>
    <w:rsid w:val="041C4E83"/>
    <w:rsid w:val="04460ACD"/>
    <w:rsid w:val="047F6C43"/>
    <w:rsid w:val="04977873"/>
    <w:rsid w:val="049D3645"/>
    <w:rsid w:val="049F70B3"/>
    <w:rsid w:val="04CC59FC"/>
    <w:rsid w:val="04E81B65"/>
    <w:rsid w:val="051F35CD"/>
    <w:rsid w:val="051F6EFD"/>
    <w:rsid w:val="052839A6"/>
    <w:rsid w:val="05423D2A"/>
    <w:rsid w:val="054C2F3C"/>
    <w:rsid w:val="05505A1C"/>
    <w:rsid w:val="0555615B"/>
    <w:rsid w:val="055E3A9D"/>
    <w:rsid w:val="059918B7"/>
    <w:rsid w:val="05B9700A"/>
    <w:rsid w:val="05BA0DB3"/>
    <w:rsid w:val="05F867E9"/>
    <w:rsid w:val="06000557"/>
    <w:rsid w:val="06052102"/>
    <w:rsid w:val="060821D8"/>
    <w:rsid w:val="06125E53"/>
    <w:rsid w:val="06262C6B"/>
    <w:rsid w:val="065F26DA"/>
    <w:rsid w:val="069018A8"/>
    <w:rsid w:val="06C51AA3"/>
    <w:rsid w:val="06C523CF"/>
    <w:rsid w:val="06F64231"/>
    <w:rsid w:val="06FD7A61"/>
    <w:rsid w:val="07127D87"/>
    <w:rsid w:val="07144D7B"/>
    <w:rsid w:val="07211281"/>
    <w:rsid w:val="07773E99"/>
    <w:rsid w:val="079C475C"/>
    <w:rsid w:val="07A5002E"/>
    <w:rsid w:val="07A94698"/>
    <w:rsid w:val="07F8654C"/>
    <w:rsid w:val="07FB001A"/>
    <w:rsid w:val="07FB4229"/>
    <w:rsid w:val="08271DFA"/>
    <w:rsid w:val="0830360F"/>
    <w:rsid w:val="08434A5B"/>
    <w:rsid w:val="085604F2"/>
    <w:rsid w:val="08723D9E"/>
    <w:rsid w:val="088201DC"/>
    <w:rsid w:val="088E0E1F"/>
    <w:rsid w:val="089277D3"/>
    <w:rsid w:val="08CE4475"/>
    <w:rsid w:val="08E24504"/>
    <w:rsid w:val="09276B7F"/>
    <w:rsid w:val="09366C19"/>
    <w:rsid w:val="09535BA9"/>
    <w:rsid w:val="096121A2"/>
    <w:rsid w:val="097253EE"/>
    <w:rsid w:val="09863CA3"/>
    <w:rsid w:val="098A15E6"/>
    <w:rsid w:val="099D025E"/>
    <w:rsid w:val="09A26F8E"/>
    <w:rsid w:val="09D42C7A"/>
    <w:rsid w:val="09EB5BAE"/>
    <w:rsid w:val="09F71921"/>
    <w:rsid w:val="0A03399F"/>
    <w:rsid w:val="0A1853EF"/>
    <w:rsid w:val="0A3201ED"/>
    <w:rsid w:val="0A675D06"/>
    <w:rsid w:val="0A6C3AAA"/>
    <w:rsid w:val="0A7F189F"/>
    <w:rsid w:val="0A9F0CCA"/>
    <w:rsid w:val="0AB25461"/>
    <w:rsid w:val="0AD37FE9"/>
    <w:rsid w:val="0AD639A9"/>
    <w:rsid w:val="0AE9474B"/>
    <w:rsid w:val="0AFD2C3D"/>
    <w:rsid w:val="0B1F54F4"/>
    <w:rsid w:val="0B2E5FFC"/>
    <w:rsid w:val="0B344451"/>
    <w:rsid w:val="0B455C84"/>
    <w:rsid w:val="0B5340B5"/>
    <w:rsid w:val="0B845D61"/>
    <w:rsid w:val="0B8E7470"/>
    <w:rsid w:val="0BBBADCC"/>
    <w:rsid w:val="0BD35E7C"/>
    <w:rsid w:val="0BE30F91"/>
    <w:rsid w:val="0BF1631D"/>
    <w:rsid w:val="0C2B46FB"/>
    <w:rsid w:val="0C4C6DFF"/>
    <w:rsid w:val="0C6D663B"/>
    <w:rsid w:val="0C980029"/>
    <w:rsid w:val="0CB83382"/>
    <w:rsid w:val="0CB843B4"/>
    <w:rsid w:val="0CE057E8"/>
    <w:rsid w:val="0CE56C12"/>
    <w:rsid w:val="0D2F0020"/>
    <w:rsid w:val="0D2F0D3A"/>
    <w:rsid w:val="0D3A0310"/>
    <w:rsid w:val="0D431E98"/>
    <w:rsid w:val="0D4F6A56"/>
    <w:rsid w:val="0D550020"/>
    <w:rsid w:val="0D5C10F5"/>
    <w:rsid w:val="0D704D23"/>
    <w:rsid w:val="0D95489B"/>
    <w:rsid w:val="0D9759F5"/>
    <w:rsid w:val="0DA77308"/>
    <w:rsid w:val="0DC74D7D"/>
    <w:rsid w:val="0DCD726B"/>
    <w:rsid w:val="0DCF1DDE"/>
    <w:rsid w:val="0DD63521"/>
    <w:rsid w:val="0DE64381"/>
    <w:rsid w:val="0DF07FC4"/>
    <w:rsid w:val="0DF446BF"/>
    <w:rsid w:val="0E30110E"/>
    <w:rsid w:val="0E377A0E"/>
    <w:rsid w:val="0E5B6B3D"/>
    <w:rsid w:val="0E6474D3"/>
    <w:rsid w:val="0EA433AF"/>
    <w:rsid w:val="0EB006BB"/>
    <w:rsid w:val="0ED401C4"/>
    <w:rsid w:val="0EEB18DC"/>
    <w:rsid w:val="0EF111BB"/>
    <w:rsid w:val="0EFA1CDE"/>
    <w:rsid w:val="0F081CF2"/>
    <w:rsid w:val="0F094D24"/>
    <w:rsid w:val="0F2836BE"/>
    <w:rsid w:val="0F4252C0"/>
    <w:rsid w:val="0F4B74A3"/>
    <w:rsid w:val="0F584F58"/>
    <w:rsid w:val="0F5F9FA7"/>
    <w:rsid w:val="0F7E8FBD"/>
    <w:rsid w:val="0F944DD6"/>
    <w:rsid w:val="0F9C3BF4"/>
    <w:rsid w:val="0FBE4760"/>
    <w:rsid w:val="0FE82390"/>
    <w:rsid w:val="0FFA0634"/>
    <w:rsid w:val="0FFF8F57"/>
    <w:rsid w:val="1006013F"/>
    <w:rsid w:val="1026D281"/>
    <w:rsid w:val="102C64BD"/>
    <w:rsid w:val="102E2CF3"/>
    <w:rsid w:val="1039289C"/>
    <w:rsid w:val="104227EC"/>
    <w:rsid w:val="1049574C"/>
    <w:rsid w:val="104C0704"/>
    <w:rsid w:val="10613217"/>
    <w:rsid w:val="107E1123"/>
    <w:rsid w:val="10851423"/>
    <w:rsid w:val="1085702A"/>
    <w:rsid w:val="109745B3"/>
    <w:rsid w:val="10B22005"/>
    <w:rsid w:val="10C562EC"/>
    <w:rsid w:val="10CB673F"/>
    <w:rsid w:val="10E30CD8"/>
    <w:rsid w:val="1110740B"/>
    <w:rsid w:val="11372632"/>
    <w:rsid w:val="1151394B"/>
    <w:rsid w:val="11560386"/>
    <w:rsid w:val="115726CB"/>
    <w:rsid w:val="115905F7"/>
    <w:rsid w:val="115E090A"/>
    <w:rsid w:val="116401D2"/>
    <w:rsid w:val="118D01A9"/>
    <w:rsid w:val="11A60137"/>
    <w:rsid w:val="11B332EA"/>
    <w:rsid w:val="11BB080F"/>
    <w:rsid w:val="11CE710E"/>
    <w:rsid w:val="11D32F63"/>
    <w:rsid w:val="11E17C5E"/>
    <w:rsid w:val="12443EFF"/>
    <w:rsid w:val="124F6E4C"/>
    <w:rsid w:val="125135CE"/>
    <w:rsid w:val="125E08D3"/>
    <w:rsid w:val="12840A4C"/>
    <w:rsid w:val="128A5C2E"/>
    <w:rsid w:val="128C5B1D"/>
    <w:rsid w:val="129D616C"/>
    <w:rsid w:val="12D03CD8"/>
    <w:rsid w:val="137F53A9"/>
    <w:rsid w:val="13D57401"/>
    <w:rsid w:val="13E42C19"/>
    <w:rsid w:val="13F2411E"/>
    <w:rsid w:val="14004E7E"/>
    <w:rsid w:val="14251A69"/>
    <w:rsid w:val="14317AFF"/>
    <w:rsid w:val="143A4627"/>
    <w:rsid w:val="1442350D"/>
    <w:rsid w:val="14706BA3"/>
    <w:rsid w:val="149779AD"/>
    <w:rsid w:val="149B7B7E"/>
    <w:rsid w:val="14A52B82"/>
    <w:rsid w:val="14D6727D"/>
    <w:rsid w:val="15014CEE"/>
    <w:rsid w:val="150800AD"/>
    <w:rsid w:val="15452DF3"/>
    <w:rsid w:val="155A03FE"/>
    <w:rsid w:val="15633725"/>
    <w:rsid w:val="157161C8"/>
    <w:rsid w:val="1588692C"/>
    <w:rsid w:val="15985165"/>
    <w:rsid w:val="15B02353"/>
    <w:rsid w:val="15BB7CE4"/>
    <w:rsid w:val="15E953F9"/>
    <w:rsid w:val="15F1259C"/>
    <w:rsid w:val="163C7CA0"/>
    <w:rsid w:val="16590161"/>
    <w:rsid w:val="166BF01C"/>
    <w:rsid w:val="16A12B35"/>
    <w:rsid w:val="16B2166C"/>
    <w:rsid w:val="16C36765"/>
    <w:rsid w:val="16C41210"/>
    <w:rsid w:val="16D90D54"/>
    <w:rsid w:val="16EF72CA"/>
    <w:rsid w:val="16F42FD0"/>
    <w:rsid w:val="1710776E"/>
    <w:rsid w:val="175C2D7E"/>
    <w:rsid w:val="176843FD"/>
    <w:rsid w:val="1773474A"/>
    <w:rsid w:val="177E13A7"/>
    <w:rsid w:val="17844E6C"/>
    <w:rsid w:val="17BF5DF1"/>
    <w:rsid w:val="17C05337"/>
    <w:rsid w:val="17C85B3E"/>
    <w:rsid w:val="17CE32F2"/>
    <w:rsid w:val="17D84940"/>
    <w:rsid w:val="18197B84"/>
    <w:rsid w:val="18223D42"/>
    <w:rsid w:val="18225B44"/>
    <w:rsid w:val="182C75F5"/>
    <w:rsid w:val="18461CF1"/>
    <w:rsid w:val="187E0AD8"/>
    <w:rsid w:val="18C25E4A"/>
    <w:rsid w:val="18FD6F9E"/>
    <w:rsid w:val="190E0BB0"/>
    <w:rsid w:val="19492771"/>
    <w:rsid w:val="194B0643"/>
    <w:rsid w:val="195377E1"/>
    <w:rsid w:val="1970626D"/>
    <w:rsid w:val="197764EF"/>
    <w:rsid w:val="197A0A55"/>
    <w:rsid w:val="197A3F1E"/>
    <w:rsid w:val="19900652"/>
    <w:rsid w:val="1991521A"/>
    <w:rsid w:val="19A4261C"/>
    <w:rsid w:val="19B14311"/>
    <w:rsid w:val="19CA4BC0"/>
    <w:rsid w:val="19F43A54"/>
    <w:rsid w:val="1A2E723D"/>
    <w:rsid w:val="1A3B4D21"/>
    <w:rsid w:val="1A3E6540"/>
    <w:rsid w:val="1A411DCE"/>
    <w:rsid w:val="1A653FEC"/>
    <w:rsid w:val="1A7E3DAA"/>
    <w:rsid w:val="1A7FC9C9"/>
    <w:rsid w:val="1A9615B1"/>
    <w:rsid w:val="1AB90368"/>
    <w:rsid w:val="1AC46D6E"/>
    <w:rsid w:val="1ADD13CC"/>
    <w:rsid w:val="1AE1510F"/>
    <w:rsid w:val="1B1136F7"/>
    <w:rsid w:val="1B2A44BB"/>
    <w:rsid w:val="1B2F7BBE"/>
    <w:rsid w:val="1B387230"/>
    <w:rsid w:val="1B4E1BFC"/>
    <w:rsid w:val="1B7A7C29"/>
    <w:rsid w:val="1B845D0F"/>
    <w:rsid w:val="1B895E67"/>
    <w:rsid w:val="1B9446C3"/>
    <w:rsid w:val="1BAB4FC1"/>
    <w:rsid w:val="1BB44A49"/>
    <w:rsid w:val="1BBB44CC"/>
    <w:rsid w:val="1BBFA5C0"/>
    <w:rsid w:val="1C0426C2"/>
    <w:rsid w:val="1C051138"/>
    <w:rsid w:val="1C230964"/>
    <w:rsid w:val="1C2E7B85"/>
    <w:rsid w:val="1C37786C"/>
    <w:rsid w:val="1C454BEE"/>
    <w:rsid w:val="1C4F1FA2"/>
    <w:rsid w:val="1C5533A5"/>
    <w:rsid w:val="1C573B36"/>
    <w:rsid w:val="1C7F34E7"/>
    <w:rsid w:val="1C8A26DE"/>
    <w:rsid w:val="1C9B52E5"/>
    <w:rsid w:val="1CA570F3"/>
    <w:rsid w:val="1CCE33AE"/>
    <w:rsid w:val="1CDE3EC0"/>
    <w:rsid w:val="1CEF0C1B"/>
    <w:rsid w:val="1CF961D3"/>
    <w:rsid w:val="1CFDC315"/>
    <w:rsid w:val="1D0C4F8F"/>
    <w:rsid w:val="1D170ED2"/>
    <w:rsid w:val="1D282550"/>
    <w:rsid w:val="1D353475"/>
    <w:rsid w:val="1D4C37A3"/>
    <w:rsid w:val="1D751AA3"/>
    <w:rsid w:val="1D8631BD"/>
    <w:rsid w:val="1D8E4B10"/>
    <w:rsid w:val="1D955F9A"/>
    <w:rsid w:val="1DCB2BCB"/>
    <w:rsid w:val="1DE799F2"/>
    <w:rsid w:val="1DE846F0"/>
    <w:rsid w:val="1E2307E2"/>
    <w:rsid w:val="1E236CE5"/>
    <w:rsid w:val="1E37603B"/>
    <w:rsid w:val="1E3877BA"/>
    <w:rsid w:val="1E4C39C2"/>
    <w:rsid w:val="1E5948FB"/>
    <w:rsid w:val="1E7032D6"/>
    <w:rsid w:val="1E712BC4"/>
    <w:rsid w:val="1E7B4F21"/>
    <w:rsid w:val="1E983427"/>
    <w:rsid w:val="1EAA7AE4"/>
    <w:rsid w:val="1ECE3187"/>
    <w:rsid w:val="1ED65090"/>
    <w:rsid w:val="1EDE6E85"/>
    <w:rsid w:val="1EE55FEF"/>
    <w:rsid w:val="1EEBC6EC"/>
    <w:rsid w:val="1F085573"/>
    <w:rsid w:val="1F307C09"/>
    <w:rsid w:val="1F5A3F9D"/>
    <w:rsid w:val="1F5E0BAF"/>
    <w:rsid w:val="1F6210CD"/>
    <w:rsid w:val="1F62434D"/>
    <w:rsid w:val="1F7D8326"/>
    <w:rsid w:val="1F8A6F6E"/>
    <w:rsid w:val="1FAF172D"/>
    <w:rsid w:val="1FCEE14D"/>
    <w:rsid w:val="1FDB0B3E"/>
    <w:rsid w:val="1FDDC7B5"/>
    <w:rsid w:val="1FF33EAA"/>
    <w:rsid w:val="1FF9B9FF"/>
    <w:rsid w:val="1FFDC805"/>
    <w:rsid w:val="1FFDCC8F"/>
    <w:rsid w:val="201D26B5"/>
    <w:rsid w:val="20326771"/>
    <w:rsid w:val="20661518"/>
    <w:rsid w:val="209D02F9"/>
    <w:rsid w:val="20B67F3C"/>
    <w:rsid w:val="20CF3093"/>
    <w:rsid w:val="20E86DF0"/>
    <w:rsid w:val="21105C42"/>
    <w:rsid w:val="211B4F75"/>
    <w:rsid w:val="212609C5"/>
    <w:rsid w:val="214C1255"/>
    <w:rsid w:val="21533CE3"/>
    <w:rsid w:val="215545AA"/>
    <w:rsid w:val="21623E32"/>
    <w:rsid w:val="21667451"/>
    <w:rsid w:val="217B0D39"/>
    <w:rsid w:val="2183174A"/>
    <w:rsid w:val="21A9095C"/>
    <w:rsid w:val="21AA5081"/>
    <w:rsid w:val="21B0747A"/>
    <w:rsid w:val="21E25325"/>
    <w:rsid w:val="21F44987"/>
    <w:rsid w:val="21FC2FAC"/>
    <w:rsid w:val="2214446C"/>
    <w:rsid w:val="222C741B"/>
    <w:rsid w:val="22365E72"/>
    <w:rsid w:val="224871D0"/>
    <w:rsid w:val="22516DCD"/>
    <w:rsid w:val="226D01D8"/>
    <w:rsid w:val="22747FDE"/>
    <w:rsid w:val="229005E6"/>
    <w:rsid w:val="22942B83"/>
    <w:rsid w:val="229670BA"/>
    <w:rsid w:val="229F1677"/>
    <w:rsid w:val="229F493B"/>
    <w:rsid w:val="22A21D83"/>
    <w:rsid w:val="22C407E5"/>
    <w:rsid w:val="22C428FB"/>
    <w:rsid w:val="22C6083C"/>
    <w:rsid w:val="22D13666"/>
    <w:rsid w:val="22FC73B8"/>
    <w:rsid w:val="23010968"/>
    <w:rsid w:val="23033C24"/>
    <w:rsid w:val="23252B40"/>
    <w:rsid w:val="23270210"/>
    <w:rsid w:val="232C7E08"/>
    <w:rsid w:val="23613832"/>
    <w:rsid w:val="236E45FD"/>
    <w:rsid w:val="23795412"/>
    <w:rsid w:val="238A7BD1"/>
    <w:rsid w:val="23DC4B5F"/>
    <w:rsid w:val="241D003A"/>
    <w:rsid w:val="24255258"/>
    <w:rsid w:val="242D23BA"/>
    <w:rsid w:val="244352BB"/>
    <w:rsid w:val="2454267C"/>
    <w:rsid w:val="249F4987"/>
    <w:rsid w:val="24B31C9C"/>
    <w:rsid w:val="24B51401"/>
    <w:rsid w:val="25053F42"/>
    <w:rsid w:val="2518356E"/>
    <w:rsid w:val="25203670"/>
    <w:rsid w:val="25364BE9"/>
    <w:rsid w:val="253D724F"/>
    <w:rsid w:val="254879FD"/>
    <w:rsid w:val="25944155"/>
    <w:rsid w:val="25B0157D"/>
    <w:rsid w:val="25DFB295"/>
    <w:rsid w:val="26123B66"/>
    <w:rsid w:val="261551A8"/>
    <w:rsid w:val="26376C9D"/>
    <w:rsid w:val="26512641"/>
    <w:rsid w:val="267141B5"/>
    <w:rsid w:val="26AA38E9"/>
    <w:rsid w:val="26BE76A0"/>
    <w:rsid w:val="26CC4BB6"/>
    <w:rsid w:val="26CE672A"/>
    <w:rsid w:val="26CF1285"/>
    <w:rsid w:val="26EE39A9"/>
    <w:rsid w:val="27055087"/>
    <w:rsid w:val="270D623B"/>
    <w:rsid w:val="2712057D"/>
    <w:rsid w:val="271E40A6"/>
    <w:rsid w:val="2733029E"/>
    <w:rsid w:val="27387DE8"/>
    <w:rsid w:val="273C1BF0"/>
    <w:rsid w:val="27436DBE"/>
    <w:rsid w:val="27440C0D"/>
    <w:rsid w:val="274749B6"/>
    <w:rsid w:val="27475541"/>
    <w:rsid w:val="274DBACE"/>
    <w:rsid w:val="274EFCCB"/>
    <w:rsid w:val="27672C7A"/>
    <w:rsid w:val="27930BD5"/>
    <w:rsid w:val="27BF7562"/>
    <w:rsid w:val="27D94569"/>
    <w:rsid w:val="27E8555D"/>
    <w:rsid w:val="28155CC3"/>
    <w:rsid w:val="282E3AF9"/>
    <w:rsid w:val="283E3E58"/>
    <w:rsid w:val="284159B9"/>
    <w:rsid w:val="28471B58"/>
    <w:rsid w:val="2875798F"/>
    <w:rsid w:val="28BC63F4"/>
    <w:rsid w:val="28DB3FF4"/>
    <w:rsid w:val="28FB1D36"/>
    <w:rsid w:val="291D097D"/>
    <w:rsid w:val="293F7E2A"/>
    <w:rsid w:val="29607F2B"/>
    <w:rsid w:val="29650BEE"/>
    <w:rsid w:val="296A6C08"/>
    <w:rsid w:val="297A4A3A"/>
    <w:rsid w:val="299B67DC"/>
    <w:rsid w:val="29CC459E"/>
    <w:rsid w:val="29DA6BED"/>
    <w:rsid w:val="29F9216A"/>
    <w:rsid w:val="2A165319"/>
    <w:rsid w:val="2A4739EB"/>
    <w:rsid w:val="2A492089"/>
    <w:rsid w:val="2A562004"/>
    <w:rsid w:val="2A6526A9"/>
    <w:rsid w:val="2A887433"/>
    <w:rsid w:val="2AB27950"/>
    <w:rsid w:val="2AB850C2"/>
    <w:rsid w:val="2ABE07D3"/>
    <w:rsid w:val="2AC60851"/>
    <w:rsid w:val="2ACF5DF1"/>
    <w:rsid w:val="2B0C167B"/>
    <w:rsid w:val="2B103B9A"/>
    <w:rsid w:val="2B134E06"/>
    <w:rsid w:val="2B1C7EB0"/>
    <w:rsid w:val="2B2217CD"/>
    <w:rsid w:val="2B262DEF"/>
    <w:rsid w:val="2B405169"/>
    <w:rsid w:val="2B4D7407"/>
    <w:rsid w:val="2B5E23EE"/>
    <w:rsid w:val="2B62069A"/>
    <w:rsid w:val="2B746B21"/>
    <w:rsid w:val="2B7B22BD"/>
    <w:rsid w:val="2B947AD2"/>
    <w:rsid w:val="2B966C63"/>
    <w:rsid w:val="2BA0724A"/>
    <w:rsid w:val="2BBE35F8"/>
    <w:rsid w:val="2BBF5C9A"/>
    <w:rsid w:val="2BCC3959"/>
    <w:rsid w:val="2BE12E7D"/>
    <w:rsid w:val="2BF40F9B"/>
    <w:rsid w:val="2BFF0AA9"/>
    <w:rsid w:val="2BFFD176"/>
    <w:rsid w:val="2C0A340A"/>
    <w:rsid w:val="2C0A6BEF"/>
    <w:rsid w:val="2C0D7263"/>
    <w:rsid w:val="2C10139E"/>
    <w:rsid w:val="2C1065AC"/>
    <w:rsid w:val="2C1824D8"/>
    <w:rsid w:val="2C1F6928"/>
    <w:rsid w:val="2C325429"/>
    <w:rsid w:val="2C3C63D9"/>
    <w:rsid w:val="2C4473D4"/>
    <w:rsid w:val="2C6A3613"/>
    <w:rsid w:val="2C71291E"/>
    <w:rsid w:val="2C781F1F"/>
    <w:rsid w:val="2C7F705D"/>
    <w:rsid w:val="2CA772BF"/>
    <w:rsid w:val="2CAB5238"/>
    <w:rsid w:val="2CAE55E6"/>
    <w:rsid w:val="2CB870EE"/>
    <w:rsid w:val="2CC902B5"/>
    <w:rsid w:val="2CCE08DC"/>
    <w:rsid w:val="2CE94633"/>
    <w:rsid w:val="2CF03918"/>
    <w:rsid w:val="2CFD3171"/>
    <w:rsid w:val="2CFD332C"/>
    <w:rsid w:val="2D203534"/>
    <w:rsid w:val="2D233ABF"/>
    <w:rsid w:val="2D2D490D"/>
    <w:rsid w:val="2D2E7322"/>
    <w:rsid w:val="2D377AA2"/>
    <w:rsid w:val="2D381ABC"/>
    <w:rsid w:val="2D5D58D1"/>
    <w:rsid w:val="2D727A82"/>
    <w:rsid w:val="2D7985DA"/>
    <w:rsid w:val="2D845EAD"/>
    <w:rsid w:val="2D8D6714"/>
    <w:rsid w:val="2DF33397"/>
    <w:rsid w:val="2DFC6898"/>
    <w:rsid w:val="2E071E55"/>
    <w:rsid w:val="2E105F9A"/>
    <w:rsid w:val="2E1E2DE7"/>
    <w:rsid w:val="2E205A0C"/>
    <w:rsid w:val="2E436915"/>
    <w:rsid w:val="2E5B3402"/>
    <w:rsid w:val="2E866226"/>
    <w:rsid w:val="2E8E36C4"/>
    <w:rsid w:val="2E9B04A6"/>
    <w:rsid w:val="2E9F186A"/>
    <w:rsid w:val="2EB70477"/>
    <w:rsid w:val="2EBA1C25"/>
    <w:rsid w:val="2EDC6EB7"/>
    <w:rsid w:val="2EE86510"/>
    <w:rsid w:val="2EFA0555"/>
    <w:rsid w:val="2EFF68FC"/>
    <w:rsid w:val="2F1216D6"/>
    <w:rsid w:val="2F213D9B"/>
    <w:rsid w:val="2F2D1C3A"/>
    <w:rsid w:val="2F4874DF"/>
    <w:rsid w:val="2F61612C"/>
    <w:rsid w:val="2F6501D8"/>
    <w:rsid w:val="2F843CD7"/>
    <w:rsid w:val="2F8C0632"/>
    <w:rsid w:val="2FA04A0E"/>
    <w:rsid w:val="2FC06026"/>
    <w:rsid w:val="2FCD56C4"/>
    <w:rsid w:val="2FD62525"/>
    <w:rsid w:val="2FDB489A"/>
    <w:rsid w:val="2FDB7C2F"/>
    <w:rsid w:val="2FF7E02F"/>
    <w:rsid w:val="308142F8"/>
    <w:rsid w:val="30AA3D52"/>
    <w:rsid w:val="30CA666C"/>
    <w:rsid w:val="30CE1FF8"/>
    <w:rsid w:val="30D01FD4"/>
    <w:rsid w:val="30DD47A3"/>
    <w:rsid w:val="312D1EB8"/>
    <w:rsid w:val="315D0A8E"/>
    <w:rsid w:val="31D45469"/>
    <w:rsid w:val="31DB2DCD"/>
    <w:rsid w:val="31E47ACE"/>
    <w:rsid w:val="31EB4F62"/>
    <w:rsid w:val="31ED1886"/>
    <w:rsid w:val="32264397"/>
    <w:rsid w:val="32372594"/>
    <w:rsid w:val="323E59E3"/>
    <w:rsid w:val="324147A8"/>
    <w:rsid w:val="328542D4"/>
    <w:rsid w:val="32B0521A"/>
    <w:rsid w:val="32D84B9C"/>
    <w:rsid w:val="32DB6852"/>
    <w:rsid w:val="32DD4FAB"/>
    <w:rsid w:val="32EFF99B"/>
    <w:rsid w:val="32F83B52"/>
    <w:rsid w:val="33183BB3"/>
    <w:rsid w:val="331E2B54"/>
    <w:rsid w:val="33264123"/>
    <w:rsid w:val="33583B92"/>
    <w:rsid w:val="335B5731"/>
    <w:rsid w:val="337306B4"/>
    <w:rsid w:val="338633ED"/>
    <w:rsid w:val="33AD0752"/>
    <w:rsid w:val="33B948B6"/>
    <w:rsid w:val="33C524E6"/>
    <w:rsid w:val="33D53725"/>
    <w:rsid w:val="33D97E69"/>
    <w:rsid w:val="33DA660E"/>
    <w:rsid w:val="3409486A"/>
    <w:rsid w:val="341878F7"/>
    <w:rsid w:val="34215236"/>
    <w:rsid w:val="34227F4A"/>
    <w:rsid w:val="342D5ABF"/>
    <w:rsid w:val="343A5FDA"/>
    <w:rsid w:val="343F6DBC"/>
    <w:rsid w:val="3442634F"/>
    <w:rsid w:val="3450714C"/>
    <w:rsid w:val="34580744"/>
    <w:rsid w:val="34594715"/>
    <w:rsid w:val="3475708B"/>
    <w:rsid w:val="34830FDE"/>
    <w:rsid w:val="34AD3CC6"/>
    <w:rsid w:val="34B34562"/>
    <w:rsid w:val="34BC0BD9"/>
    <w:rsid w:val="34BF436F"/>
    <w:rsid w:val="34C357F8"/>
    <w:rsid w:val="35050DF2"/>
    <w:rsid w:val="35206B44"/>
    <w:rsid w:val="35262E2C"/>
    <w:rsid w:val="3531621A"/>
    <w:rsid w:val="353A66F7"/>
    <w:rsid w:val="353D2B9B"/>
    <w:rsid w:val="356F66E3"/>
    <w:rsid w:val="357425D2"/>
    <w:rsid w:val="358E3FAD"/>
    <w:rsid w:val="35A37CE2"/>
    <w:rsid w:val="35B164FE"/>
    <w:rsid w:val="35ED1466"/>
    <w:rsid w:val="35EFBD5A"/>
    <w:rsid w:val="35FD6656"/>
    <w:rsid w:val="36595E53"/>
    <w:rsid w:val="3673D862"/>
    <w:rsid w:val="36A766C7"/>
    <w:rsid w:val="36AC6A4B"/>
    <w:rsid w:val="36CB77DC"/>
    <w:rsid w:val="36D66D6A"/>
    <w:rsid w:val="36D80773"/>
    <w:rsid w:val="36E02D99"/>
    <w:rsid w:val="37431307"/>
    <w:rsid w:val="377CD42D"/>
    <w:rsid w:val="37883927"/>
    <w:rsid w:val="379132D4"/>
    <w:rsid w:val="379B55ED"/>
    <w:rsid w:val="37B56AAF"/>
    <w:rsid w:val="37C63EEB"/>
    <w:rsid w:val="37D4691C"/>
    <w:rsid w:val="37D82A05"/>
    <w:rsid w:val="37D87BDE"/>
    <w:rsid w:val="37E60363"/>
    <w:rsid w:val="37F172BC"/>
    <w:rsid w:val="37FE2AD4"/>
    <w:rsid w:val="37FF4E07"/>
    <w:rsid w:val="380102DB"/>
    <w:rsid w:val="38077B50"/>
    <w:rsid w:val="382A3CB4"/>
    <w:rsid w:val="385B691A"/>
    <w:rsid w:val="38840940"/>
    <w:rsid w:val="38901487"/>
    <w:rsid w:val="38D23C03"/>
    <w:rsid w:val="38D61881"/>
    <w:rsid w:val="38E20DC3"/>
    <w:rsid w:val="392630D0"/>
    <w:rsid w:val="394150A1"/>
    <w:rsid w:val="394D7CD2"/>
    <w:rsid w:val="39755759"/>
    <w:rsid w:val="39BC4915"/>
    <w:rsid w:val="39C357F6"/>
    <w:rsid w:val="39D26800"/>
    <w:rsid w:val="39E71FFE"/>
    <w:rsid w:val="3A1C17B9"/>
    <w:rsid w:val="3A4F7CC5"/>
    <w:rsid w:val="3A536493"/>
    <w:rsid w:val="3ADE8ADD"/>
    <w:rsid w:val="3AF83170"/>
    <w:rsid w:val="3AFB5A5F"/>
    <w:rsid w:val="3AFE80AF"/>
    <w:rsid w:val="3B0164A2"/>
    <w:rsid w:val="3B065EBE"/>
    <w:rsid w:val="3B0B76A8"/>
    <w:rsid w:val="3B1801D0"/>
    <w:rsid w:val="3B2A2F92"/>
    <w:rsid w:val="3B3D0688"/>
    <w:rsid w:val="3B472445"/>
    <w:rsid w:val="3B5435E3"/>
    <w:rsid w:val="3B862396"/>
    <w:rsid w:val="3BCD1BDB"/>
    <w:rsid w:val="3BF7BE8D"/>
    <w:rsid w:val="3BFD35E8"/>
    <w:rsid w:val="3BFF2436"/>
    <w:rsid w:val="3BFFBEBB"/>
    <w:rsid w:val="3C087518"/>
    <w:rsid w:val="3C3149DF"/>
    <w:rsid w:val="3C466985"/>
    <w:rsid w:val="3C4D3133"/>
    <w:rsid w:val="3C70593D"/>
    <w:rsid w:val="3C9B04B2"/>
    <w:rsid w:val="3CA22D74"/>
    <w:rsid w:val="3CC2773C"/>
    <w:rsid w:val="3CC6429B"/>
    <w:rsid w:val="3CCF5593"/>
    <w:rsid w:val="3CEB1316"/>
    <w:rsid w:val="3CF03D58"/>
    <w:rsid w:val="3D4626B9"/>
    <w:rsid w:val="3D75707B"/>
    <w:rsid w:val="3D7849C2"/>
    <w:rsid w:val="3D7D6B1A"/>
    <w:rsid w:val="3D99204D"/>
    <w:rsid w:val="3DD7E3E0"/>
    <w:rsid w:val="3DD974AF"/>
    <w:rsid w:val="3DF31A0F"/>
    <w:rsid w:val="3DF92DFD"/>
    <w:rsid w:val="3E012BDD"/>
    <w:rsid w:val="3E1C3A18"/>
    <w:rsid w:val="3E1C45EB"/>
    <w:rsid w:val="3E2F27E7"/>
    <w:rsid w:val="3E4C2C9D"/>
    <w:rsid w:val="3E5678E4"/>
    <w:rsid w:val="3E8611B7"/>
    <w:rsid w:val="3EC82301"/>
    <w:rsid w:val="3ECC63CC"/>
    <w:rsid w:val="3ED54BE7"/>
    <w:rsid w:val="3EE654AF"/>
    <w:rsid w:val="3EE88C32"/>
    <w:rsid w:val="3EEB4D41"/>
    <w:rsid w:val="3EEE0B69"/>
    <w:rsid w:val="3EFEC616"/>
    <w:rsid w:val="3EFF0F36"/>
    <w:rsid w:val="3F333FF1"/>
    <w:rsid w:val="3F3B591A"/>
    <w:rsid w:val="3F3E7E35"/>
    <w:rsid w:val="3F695978"/>
    <w:rsid w:val="3F77D67D"/>
    <w:rsid w:val="3F7E72F4"/>
    <w:rsid w:val="3F7F443F"/>
    <w:rsid w:val="3F8A7B42"/>
    <w:rsid w:val="3F930FA3"/>
    <w:rsid w:val="3F976E25"/>
    <w:rsid w:val="3F9B9A3D"/>
    <w:rsid w:val="3F9C7B7A"/>
    <w:rsid w:val="3FBBA07A"/>
    <w:rsid w:val="3FBF1182"/>
    <w:rsid w:val="3FD22A6C"/>
    <w:rsid w:val="3FD8DBB6"/>
    <w:rsid w:val="3FE52AC2"/>
    <w:rsid w:val="3FEB8996"/>
    <w:rsid w:val="3FEDF5F6"/>
    <w:rsid w:val="3FF51D22"/>
    <w:rsid w:val="3FF7F2A3"/>
    <w:rsid w:val="3FFD4EDF"/>
    <w:rsid w:val="3FFF1007"/>
    <w:rsid w:val="3FFF1EF6"/>
    <w:rsid w:val="3FFF3694"/>
    <w:rsid w:val="3FFF79B7"/>
    <w:rsid w:val="40081B82"/>
    <w:rsid w:val="40095914"/>
    <w:rsid w:val="401129A6"/>
    <w:rsid w:val="4041056C"/>
    <w:rsid w:val="40510563"/>
    <w:rsid w:val="405368AD"/>
    <w:rsid w:val="40566622"/>
    <w:rsid w:val="40625BFE"/>
    <w:rsid w:val="409225A4"/>
    <w:rsid w:val="40A92E74"/>
    <w:rsid w:val="40C10845"/>
    <w:rsid w:val="40D96AA5"/>
    <w:rsid w:val="40DD4B8E"/>
    <w:rsid w:val="40E228B5"/>
    <w:rsid w:val="40F47ED8"/>
    <w:rsid w:val="410B45EF"/>
    <w:rsid w:val="4120012D"/>
    <w:rsid w:val="413365DC"/>
    <w:rsid w:val="4135611F"/>
    <w:rsid w:val="413761BF"/>
    <w:rsid w:val="41A1275A"/>
    <w:rsid w:val="41C51074"/>
    <w:rsid w:val="41E15A4D"/>
    <w:rsid w:val="424B1B2B"/>
    <w:rsid w:val="424F19B7"/>
    <w:rsid w:val="4277307F"/>
    <w:rsid w:val="42817BB7"/>
    <w:rsid w:val="428F10AE"/>
    <w:rsid w:val="429839F0"/>
    <w:rsid w:val="42A410A9"/>
    <w:rsid w:val="42AA1250"/>
    <w:rsid w:val="42B36E0D"/>
    <w:rsid w:val="42D703A0"/>
    <w:rsid w:val="42EE3159"/>
    <w:rsid w:val="43105EDC"/>
    <w:rsid w:val="431247FD"/>
    <w:rsid w:val="43253383"/>
    <w:rsid w:val="432939A3"/>
    <w:rsid w:val="4347782E"/>
    <w:rsid w:val="43566A75"/>
    <w:rsid w:val="43BE53BB"/>
    <w:rsid w:val="43D326B3"/>
    <w:rsid w:val="43F63037"/>
    <w:rsid w:val="43FE41B3"/>
    <w:rsid w:val="43FF3B81"/>
    <w:rsid w:val="440B0189"/>
    <w:rsid w:val="44414F99"/>
    <w:rsid w:val="445B4A38"/>
    <w:rsid w:val="447A1DBE"/>
    <w:rsid w:val="449A6905"/>
    <w:rsid w:val="44BE6E47"/>
    <w:rsid w:val="44DC382C"/>
    <w:rsid w:val="45296226"/>
    <w:rsid w:val="453826A2"/>
    <w:rsid w:val="45461917"/>
    <w:rsid w:val="456559BF"/>
    <w:rsid w:val="457F0D4E"/>
    <w:rsid w:val="45803A12"/>
    <w:rsid w:val="45891D89"/>
    <w:rsid w:val="45EE3AE7"/>
    <w:rsid w:val="462E78E7"/>
    <w:rsid w:val="463F0AE6"/>
    <w:rsid w:val="464943C9"/>
    <w:rsid w:val="465159A6"/>
    <w:rsid w:val="466D04A7"/>
    <w:rsid w:val="467034C0"/>
    <w:rsid w:val="46710698"/>
    <w:rsid w:val="467340E7"/>
    <w:rsid w:val="46807E9C"/>
    <w:rsid w:val="468D0563"/>
    <w:rsid w:val="46AE0A01"/>
    <w:rsid w:val="46F26CF3"/>
    <w:rsid w:val="46FF4F48"/>
    <w:rsid w:val="47010FDA"/>
    <w:rsid w:val="47012322"/>
    <w:rsid w:val="47296895"/>
    <w:rsid w:val="472A2180"/>
    <w:rsid w:val="473731B0"/>
    <w:rsid w:val="47413BD0"/>
    <w:rsid w:val="47505C89"/>
    <w:rsid w:val="47BD6CFD"/>
    <w:rsid w:val="47BF2D56"/>
    <w:rsid w:val="47C908DE"/>
    <w:rsid w:val="47D86A2B"/>
    <w:rsid w:val="47DD1A3B"/>
    <w:rsid w:val="47EDDFB7"/>
    <w:rsid w:val="47EF0DE2"/>
    <w:rsid w:val="47EF91C1"/>
    <w:rsid w:val="47F241D4"/>
    <w:rsid w:val="47F798E9"/>
    <w:rsid w:val="47FB23A8"/>
    <w:rsid w:val="480B56D6"/>
    <w:rsid w:val="480C3C7D"/>
    <w:rsid w:val="48732085"/>
    <w:rsid w:val="48B66717"/>
    <w:rsid w:val="48CC14C3"/>
    <w:rsid w:val="492523E4"/>
    <w:rsid w:val="49287CD8"/>
    <w:rsid w:val="49332CE1"/>
    <w:rsid w:val="493F3CB4"/>
    <w:rsid w:val="49406C0D"/>
    <w:rsid w:val="49573D36"/>
    <w:rsid w:val="495D61F2"/>
    <w:rsid w:val="49BFEEC6"/>
    <w:rsid w:val="49C10A7A"/>
    <w:rsid w:val="49C14628"/>
    <w:rsid w:val="49EC7552"/>
    <w:rsid w:val="49FE0996"/>
    <w:rsid w:val="4A1959B7"/>
    <w:rsid w:val="4A2E7611"/>
    <w:rsid w:val="4A35720A"/>
    <w:rsid w:val="4A457873"/>
    <w:rsid w:val="4A5E7B1A"/>
    <w:rsid w:val="4A684CF8"/>
    <w:rsid w:val="4A6C21CA"/>
    <w:rsid w:val="4A923D28"/>
    <w:rsid w:val="4A9D3546"/>
    <w:rsid w:val="4AAD4204"/>
    <w:rsid w:val="4AB95592"/>
    <w:rsid w:val="4ABF24E8"/>
    <w:rsid w:val="4ACC5B9C"/>
    <w:rsid w:val="4AF744DC"/>
    <w:rsid w:val="4AFD12AB"/>
    <w:rsid w:val="4AFF1345"/>
    <w:rsid w:val="4B3D08F5"/>
    <w:rsid w:val="4B4A0756"/>
    <w:rsid w:val="4B7B4E16"/>
    <w:rsid w:val="4B99387B"/>
    <w:rsid w:val="4B9FDAB3"/>
    <w:rsid w:val="4BA95F1B"/>
    <w:rsid w:val="4BB72C76"/>
    <w:rsid w:val="4BCA2531"/>
    <w:rsid w:val="4BEC357A"/>
    <w:rsid w:val="4BEF1AD9"/>
    <w:rsid w:val="4C07101D"/>
    <w:rsid w:val="4C1424FE"/>
    <w:rsid w:val="4C18146E"/>
    <w:rsid w:val="4C1A4E04"/>
    <w:rsid w:val="4C211CBA"/>
    <w:rsid w:val="4C232415"/>
    <w:rsid w:val="4C486F51"/>
    <w:rsid w:val="4C5F1E25"/>
    <w:rsid w:val="4C657688"/>
    <w:rsid w:val="4C6D52CC"/>
    <w:rsid w:val="4C8219E3"/>
    <w:rsid w:val="4C847845"/>
    <w:rsid w:val="4CC20F9F"/>
    <w:rsid w:val="4CC306FD"/>
    <w:rsid w:val="4CC87DC5"/>
    <w:rsid w:val="4D123A14"/>
    <w:rsid w:val="4D2041F3"/>
    <w:rsid w:val="4D375894"/>
    <w:rsid w:val="4D43308D"/>
    <w:rsid w:val="4D45492E"/>
    <w:rsid w:val="4D531E6F"/>
    <w:rsid w:val="4D5E245F"/>
    <w:rsid w:val="4D682A3C"/>
    <w:rsid w:val="4D89478E"/>
    <w:rsid w:val="4DBD336C"/>
    <w:rsid w:val="4DD15E5F"/>
    <w:rsid w:val="4DFDBAB9"/>
    <w:rsid w:val="4E170EE7"/>
    <w:rsid w:val="4E470DEC"/>
    <w:rsid w:val="4E505258"/>
    <w:rsid w:val="4E6B5D25"/>
    <w:rsid w:val="4E7823F1"/>
    <w:rsid w:val="4E8F3921"/>
    <w:rsid w:val="4EA33806"/>
    <w:rsid w:val="4EA61DC5"/>
    <w:rsid w:val="4EA6387D"/>
    <w:rsid w:val="4EBA2CCC"/>
    <w:rsid w:val="4EC81DED"/>
    <w:rsid w:val="4EDE01D2"/>
    <w:rsid w:val="4EE84BA6"/>
    <w:rsid w:val="4F112907"/>
    <w:rsid w:val="4F21404D"/>
    <w:rsid w:val="4F241E80"/>
    <w:rsid w:val="4F37BDBC"/>
    <w:rsid w:val="4F3E78BA"/>
    <w:rsid w:val="4F3FD7FE"/>
    <w:rsid w:val="4F6325B6"/>
    <w:rsid w:val="4F7F08D8"/>
    <w:rsid w:val="4F8A040E"/>
    <w:rsid w:val="4F96137E"/>
    <w:rsid w:val="4FBD5A70"/>
    <w:rsid w:val="4FC009B2"/>
    <w:rsid w:val="4FDB5668"/>
    <w:rsid w:val="4FE0415A"/>
    <w:rsid w:val="4FEE0927"/>
    <w:rsid w:val="4FF6F25D"/>
    <w:rsid w:val="4FF86AA9"/>
    <w:rsid w:val="4FFA1756"/>
    <w:rsid w:val="4FFB85D1"/>
    <w:rsid w:val="4FFE3CC8"/>
    <w:rsid w:val="4FFF0147"/>
    <w:rsid w:val="501041D0"/>
    <w:rsid w:val="501A019D"/>
    <w:rsid w:val="50270626"/>
    <w:rsid w:val="502F7FFD"/>
    <w:rsid w:val="503C5C80"/>
    <w:rsid w:val="503F2508"/>
    <w:rsid w:val="50437BB4"/>
    <w:rsid w:val="504B2668"/>
    <w:rsid w:val="504E7989"/>
    <w:rsid w:val="507737B4"/>
    <w:rsid w:val="507F7D94"/>
    <w:rsid w:val="508C333C"/>
    <w:rsid w:val="508E4601"/>
    <w:rsid w:val="50B60AC1"/>
    <w:rsid w:val="50CE1292"/>
    <w:rsid w:val="50DC76A4"/>
    <w:rsid w:val="50F60CEB"/>
    <w:rsid w:val="510752CA"/>
    <w:rsid w:val="512052DE"/>
    <w:rsid w:val="514D0C72"/>
    <w:rsid w:val="51756FAE"/>
    <w:rsid w:val="518E5354"/>
    <w:rsid w:val="51986EC6"/>
    <w:rsid w:val="51A01D00"/>
    <w:rsid w:val="51B927AA"/>
    <w:rsid w:val="51BF61C0"/>
    <w:rsid w:val="51C0691C"/>
    <w:rsid w:val="51C1263C"/>
    <w:rsid w:val="51C14877"/>
    <w:rsid w:val="52300BB6"/>
    <w:rsid w:val="52314C47"/>
    <w:rsid w:val="52361C84"/>
    <w:rsid w:val="523D3780"/>
    <w:rsid w:val="524C201B"/>
    <w:rsid w:val="524D0551"/>
    <w:rsid w:val="527F16B7"/>
    <w:rsid w:val="529F4A90"/>
    <w:rsid w:val="52A06C37"/>
    <w:rsid w:val="52C76D37"/>
    <w:rsid w:val="52D7205A"/>
    <w:rsid w:val="52F17051"/>
    <w:rsid w:val="53010F47"/>
    <w:rsid w:val="530D12EF"/>
    <w:rsid w:val="530D3C4D"/>
    <w:rsid w:val="53327DDD"/>
    <w:rsid w:val="53417615"/>
    <w:rsid w:val="53443A41"/>
    <w:rsid w:val="534BFC81"/>
    <w:rsid w:val="53635159"/>
    <w:rsid w:val="53771198"/>
    <w:rsid w:val="537776FF"/>
    <w:rsid w:val="53AD513A"/>
    <w:rsid w:val="53BF6D78"/>
    <w:rsid w:val="53DC5E99"/>
    <w:rsid w:val="53F646E2"/>
    <w:rsid w:val="540F0AFB"/>
    <w:rsid w:val="541203A8"/>
    <w:rsid w:val="542645AC"/>
    <w:rsid w:val="543131EE"/>
    <w:rsid w:val="54456804"/>
    <w:rsid w:val="54560802"/>
    <w:rsid w:val="546D35B8"/>
    <w:rsid w:val="547855E8"/>
    <w:rsid w:val="54791C4A"/>
    <w:rsid w:val="548B4395"/>
    <w:rsid w:val="54903757"/>
    <w:rsid w:val="549942DB"/>
    <w:rsid w:val="54B62036"/>
    <w:rsid w:val="54BD2546"/>
    <w:rsid w:val="54D7C145"/>
    <w:rsid w:val="54E52E62"/>
    <w:rsid w:val="54F7241F"/>
    <w:rsid w:val="551252C7"/>
    <w:rsid w:val="5529349E"/>
    <w:rsid w:val="553D1C2F"/>
    <w:rsid w:val="55502C8F"/>
    <w:rsid w:val="555424CB"/>
    <w:rsid w:val="556FC583"/>
    <w:rsid w:val="55924010"/>
    <w:rsid w:val="55A87722"/>
    <w:rsid w:val="55B27E3B"/>
    <w:rsid w:val="55C527B7"/>
    <w:rsid w:val="55C7672C"/>
    <w:rsid w:val="55EA574C"/>
    <w:rsid w:val="55EFD858"/>
    <w:rsid w:val="55F610B9"/>
    <w:rsid w:val="55FA2C62"/>
    <w:rsid w:val="5616345E"/>
    <w:rsid w:val="56174F7A"/>
    <w:rsid w:val="561F2C4F"/>
    <w:rsid w:val="56283800"/>
    <w:rsid w:val="563279F3"/>
    <w:rsid w:val="563FAE84"/>
    <w:rsid w:val="56446644"/>
    <w:rsid w:val="565A6F93"/>
    <w:rsid w:val="56794B18"/>
    <w:rsid w:val="56A158D4"/>
    <w:rsid w:val="56AC024B"/>
    <w:rsid w:val="56B81DF1"/>
    <w:rsid w:val="56C51664"/>
    <w:rsid w:val="56C97FE4"/>
    <w:rsid w:val="56D60114"/>
    <w:rsid w:val="56DD6C8E"/>
    <w:rsid w:val="56DF7C76"/>
    <w:rsid w:val="56E3203B"/>
    <w:rsid w:val="56E5681C"/>
    <w:rsid w:val="56F77A82"/>
    <w:rsid w:val="570C109F"/>
    <w:rsid w:val="571042EE"/>
    <w:rsid w:val="571526B6"/>
    <w:rsid w:val="57795119"/>
    <w:rsid w:val="5785468B"/>
    <w:rsid w:val="57AF0312"/>
    <w:rsid w:val="57B94232"/>
    <w:rsid w:val="57C4308A"/>
    <w:rsid w:val="57DA3FB6"/>
    <w:rsid w:val="57E14AB0"/>
    <w:rsid w:val="57F42C99"/>
    <w:rsid w:val="57F80D92"/>
    <w:rsid w:val="57FB4203"/>
    <w:rsid w:val="57FF8276"/>
    <w:rsid w:val="58334B6A"/>
    <w:rsid w:val="585A3FB2"/>
    <w:rsid w:val="585F6353"/>
    <w:rsid w:val="58603306"/>
    <w:rsid w:val="588A65AB"/>
    <w:rsid w:val="5892603E"/>
    <w:rsid w:val="58C66689"/>
    <w:rsid w:val="58DA49CE"/>
    <w:rsid w:val="58F075AB"/>
    <w:rsid w:val="58F13242"/>
    <w:rsid w:val="590C59F9"/>
    <w:rsid w:val="59170793"/>
    <w:rsid w:val="59223E6F"/>
    <w:rsid w:val="59300E8B"/>
    <w:rsid w:val="594A1C63"/>
    <w:rsid w:val="59736408"/>
    <w:rsid w:val="599C5D2B"/>
    <w:rsid w:val="59BB340A"/>
    <w:rsid w:val="59BD0923"/>
    <w:rsid w:val="59D22786"/>
    <w:rsid w:val="59E131C3"/>
    <w:rsid w:val="59EA47A1"/>
    <w:rsid w:val="59F26265"/>
    <w:rsid w:val="59FF09E5"/>
    <w:rsid w:val="5A194D0B"/>
    <w:rsid w:val="5A2B5DD0"/>
    <w:rsid w:val="5A34708A"/>
    <w:rsid w:val="5A376AA5"/>
    <w:rsid w:val="5A396D84"/>
    <w:rsid w:val="5A3B7E26"/>
    <w:rsid w:val="5A54165F"/>
    <w:rsid w:val="5A7A668E"/>
    <w:rsid w:val="5A7D42D7"/>
    <w:rsid w:val="5A7E5C2B"/>
    <w:rsid w:val="5A886DE1"/>
    <w:rsid w:val="5A8B08BA"/>
    <w:rsid w:val="5AA0201E"/>
    <w:rsid w:val="5ABC070C"/>
    <w:rsid w:val="5ABC1049"/>
    <w:rsid w:val="5AD97406"/>
    <w:rsid w:val="5ADA4B09"/>
    <w:rsid w:val="5AFDDB77"/>
    <w:rsid w:val="5B09119E"/>
    <w:rsid w:val="5B510F9E"/>
    <w:rsid w:val="5B58030B"/>
    <w:rsid w:val="5B7A7B41"/>
    <w:rsid w:val="5BAF2B8F"/>
    <w:rsid w:val="5BDF799A"/>
    <w:rsid w:val="5BEB340A"/>
    <w:rsid w:val="5C0F0DB3"/>
    <w:rsid w:val="5C425542"/>
    <w:rsid w:val="5C4E74C4"/>
    <w:rsid w:val="5C9E5906"/>
    <w:rsid w:val="5C9F27DF"/>
    <w:rsid w:val="5CB744E9"/>
    <w:rsid w:val="5CD46D5F"/>
    <w:rsid w:val="5CDE59E5"/>
    <w:rsid w:val="5D3A48C9"/>
    <w:rsid w:val="5D535245"/>
    <w:rsid w:val="5D76286A"/>
    <w:rsid w:val="5D7D9B33"/>
    <w:rsid w:val="5D8977D1"/>
    <w:rsid w:val="5D971108"/>
    <w:rsid w:val="5DB020AC"/>
    <w:rsid w:val="5DB45924"/>
    <w:rsid w:val="5DBB75C9"/>
    <w:rsid w:val="5DBBED47"/>
    <w:rsid w:val="5DBFD3AA"/>
    <w:rsid w:val="5DE97512"/>
    <w:rsid w:val="5DEA5E47"/>
    <w:rsid w:val="5DECF5CC"/>
    <w:rsid w:val="5DEF0F0B"/>
    <w:rsid w:val="5DEF3753"/>
    <w:rsid w:val="5DF3433C"/>
    <w:rsid w:val="5DFDDE05"/>
    <w:rsid w:val="5E0361F3"/>
    <w:rsid w:val="5E071288"/>
    <w:rsid w:val="5E1731F6"/>
    <w:rsid w:val="5E35069A"/>
    <w:rsid w:val="5E393A99"/>
    <w:rsid w:val="5E3A4111"/>
    <w:rsid w:val="5E557EDB"/>
    <w:rsid w:val="5E677630"/>
    <w:rsid w:val="5E924FD3"/>
    <w:rsid w:val="5EB43395"/>
    <w:rsid w:val="5EBF7570"/>
    <w:rsid w:val="5ECD6AA4"/>
    <w:rsid w:val="5ED8102D"/>
    <w:rsid w:val="5EED4CF0"/>
    <w:rsid w:val="5EFF8D3F"/>
    <w:rsid w:val="5F0E5F95"/>
    <w:rsid w:val="5F1F38BA"/>
    <w:rsid w:val="5F337F05"/>
    <w:rsid w:val="5F4533D3"/>
    <w:rsid w:val="5F5E7188"/>
    <w:rsid w:val="5F65636B"/>
    <w:rsid w:val="5F69621E"/>
    <w:rsid w:val="5F7F420D"/>
    <w:rsid w:val="5F850090"/>
    <w:rsid w:val="5F874E89"/>
    <w:rsid w:val="5F966DBB"/>
    <w:rsid w:val="5FA18095"/>
    <w:rsid w:val="5FA961A9"/>
    <w:rsid w:val="5FAF4FF3"/>
    <w:rsid w:val="5FB51256"/>
    <w:rsid w:val="5FBF9DD7"/>
    <w:rsid w:val="5FBFE86C"/>
    <w:rsid w:val="5FDA33D6"/>
    <w:rsid w:val="5FDB4704"/>
    <w:rsid w:val="5FDD875C"/>
    <w:rsid w:val="5FEFE8EB"/>
    <w:rsid w:val="5FF39C34"/>
    <w:rsid w:val="5FF7F63E"/>
    <w:rsid w:val="5FF91BCC"/>
    <w:rsid w:val="5FFB32F7"/>
    <w:rsid w:val="5FFF8F1A"/>
    <w:rsid w:val="5FFFEC7E"/>
    <w:rsid w:val="5FFFFFEE"/>
    <w:rsid w:val="600C59A2"/>
    <w:rsid w:val="601048FC"/>
    <w:rsid w:val="60183A45"/>
    <w:rsid w:val="60221D81"/>
    <w:rsid w:val="60362701"/>
    <w:rsid w:val="604054E7"/>
    <w:rsid w:val="604A5963"/>
    <w:rsid w:val="604F04A1"/>
    <w:rsid w:val="60631F63"/>
    <w:rsid w:val="60672CAE"/>
    <w:rsid w:val="60712E3D"/>
    <w:rsid w:val="60753889"/>
    <w:rsid w:val="608002F4"/>
    <w:rsid w:val="608E2FBD"/>
    <w:rsid w:val="60933993"/>
    <w:rsid w:val="60B87529"/>
    <w:rsid w:val="60C61FFD"/>
    <w:rsid w:val="60CC2A09"/>
    <w:rsid w:val="60D9030E"/>
    <w:rsid w:val="60E3103C"/>
    <w:rsid w:val="60ED7BA9"/>
    <w:rsid w:val="61170522"/>
    <w:rsid w:val="611F18CF"/>
    <w:rsid w:val="61292602"/>
    <w:rsid w:val="6133077B"/>
    <w:rsid w:val="613C71BD"/>
    <w:rsid w:val="61471C37"/>
    <w:rsid w:val="614A106E"/>
    <w:rsid w:val="61A569A7"/>
    <w:rsid w:val="61A93EFF"/>
    <w:rsid w:val="61C22881"/>
    <w:rsid w:val="61C450AA"/>
    <w:rsid w:val="61C64625"/>
    <w:rsid w:val="61CD798B"/>
    <w:rsid w:val="61F53C2B"/>
    <w:rsid w:val="620D3623"/>
    <w:rsid w:val="620F2536"/>
    <w:rsid w:val="62406056"/>
    <w:rsid w:val="625F5CBA"/>
    <w:rsid w:val="62730C27"/>
    <w:rsid w:val="627327FD"/>
    <w:rsid w:val="62763996"/>
    <w:rsid w:val="62856068"/>
    <w:rsid w:val="629E502F"/>
    <w:rsid w:val="62A606FC"/>
    <w:rsid w:val="62A62AFF"/>
    <w:rsid w:val="62B7F3DC"/>
    <w:rsid w:val="62FF095A"/>
    <w:rsid w:val="630918CA"/>
    <w:rsid w:val="63093948"/>
    <w:rsid w:val="63253232"/>
    <w:rsid w:val="633F5D88"/>
    <w:rsid w:val="63750765"/>
    <w:rsid w:val="63B3518D"/>
    <w:rsid w:val="63C841B8"/>
    <w:rsid w:val="63DF392D"/>
    <w:rsid w:val="63E2482E"/>
    <w:rsid w:val="63E424C4"/>
    <w:rsid w:val="63F911E2"/>
    <w:rsid w:val="63FECB16"/>
    <w:rsid w:val="640026E6"/>
    <w:rsid w:val="641A46F4"/>
    <w:rsid w:val="641B7117"/>
    <w:rsid w:val="64237184"/>
    <w:rsid w:val="646C74C7"/>
    <w:rsid w:val="64825ED1"/>
    <w:rsid w:val="648810FE"/>
    <w:rsid w:val="649F1F9D"/>
    <w:rsid w:val="64BB4A90"/>
    <w:rsid w:val="64BE1381"/>
    <w:rsid w:val="64CB2DE9"/>
    <w:rsid w:val="64CC3A81"/>
    <w:rsid w:val="64D12A74"/>
    <w:rsid w:val="64D50EB0"/>
    <w:rsid w:val="64DE2339"/>
    <w:rsid w:val="64ED75FF"/>
    <w:rsid w:val="65033E4B"/>
    <w:rsid w:val="651F675C"/>
    <w:rsid w:val="65215B9C"/>
    <w:rsid w:val="652E2B8A"/>
    <w:rsid w:val="65364C0D"/>
    <w:rsid w:val="65443FF6"/>
    <w:rsid w:val="654F3F79"/>
    <w:rsid w:val="655071D3"/>
    <w:rsid w:val="655E7988"/>
    <w:rsid w:val="6568290E"/>
    <w:rsid w:val="658371CF"/>
    <w:rsid w:val="658601E9"/>
    <w:rsid w:val="65A22BD9"/>
    <w:rsid w:val="65CC4CD9"/>
    <w:rsid w:val="65DC62AE"/>
    <w:rsid w:val="65FCB74D"/>
    <w:rsid w:val="66037107"/>
    <w:rsid w:val="66367BC3"/>
    <w:rsid w:val="664223A1"/>
    <w:rsid w:val="66425F33"/>
    <w:rsid w:val="66467966"/>
    <w:rsid w:val="6650426A"/>
    <w:rsid w:val="667B0015"/>
    <w:rsid w:val="667B76C1"/>
    <w:rsid w:val="667F32D2"/>
    <w:rsid w:val="668649B1"/>
    <w:rsid w:val="669D1487"/>
    <w:rsid w:val="66AA5D16"/>
    <w:rsid w:val="66BF02B3"/>
    <w:rsid w:val="66C01326"/>
    <w:rsid w:val="66D014BF"/>
    <w:rsid w:val="66D4247C"/>
    <w:rsid w:val="66D57D01"/>
    <w:rsid w:val="66E8423B"/>
    <w:rsid w:val="66ED67A6"/>
    <w:rsid w:val="66EF68D8"/>
    <w:rsid w:val="66FA31B7"/>
    <w:rsid w:val="671436F5"/>
    <w:rsid w:val="67633F37"/>
    <w:rsid w:val="67775687"/>
    <w:rsid w:val="677765E8"/>
    <w:rsid w:val="678A6716"/>
    <w:rsid w:val="67970875"/>
    <w:rsid w:val="67BF486C"/>
    <w:rsid w:val="67FE9FF9"/>
    <w:rsid w:val="67FFFFEC"/>
    <w:rsid w:val="68001EC5"/>
    <w:rsid w:val="68024AD1"/>
    <w:rsid w:val="683B0CDC"/>
    <w:rsid w:val="68430E89"/>
    <w:rsid w:val="68496929"/>
    <w:rsid w:val="68576836"/>
    <w:rsid w:val="6866334F"/>
    <w:rsid w:val="687E6FF8"/>
    <w:rsid w:val="688431F8"/>
    <w:rsid w:val="688FD911"/>
    <w:rsid w:val="68B45C7C"/>
    <w:rsid w:val="68C93B53"/>
    <w:rsid w:val="690507CB"/>
    <w:rsid w:val="692F0DE1"/>
    <w:rsid w:val="693D55F9"/>
    <w:rsid w:val="69565703"/>
    <w:rsid w:val="695E1AEA"/>
    <w:rsid w:val="69747710"/>
    <w:rsid w:val="69CC42A5"/>
    <w:rsid w:val="69E808C5"/>
    <w:rsid w:val="69EE697D"/>
    <w:rsid w:val="69FFC3CF"/>
    <w:rsid w:val="6A003BC5"/>
    <w:rsid w:val="6A04401C"/>
    <w:rsid w:val="6A074BA6"/>
    <w:rsid w:val="6A0A597F"/>
    <w:rsid w:val="6A2B53F7"/>
    <w:rsid w:val="6A4666C0"/>
    <w:rsid w:val="6A4C5D65"/>
    <w:rsid w:val="6A5135AE"/>
    <w:rsid w:val="6A5D2A64"/>
    <w:rsid w:val="6A8A3D61"/>
    <w:rsid w:val="6A8F0389"/>
    <w:rsid w:val="6A944E6F"/>
    <w:rsid w:val="6A9673FB"/>
    <w:rsid w:val="6AB918BB"/>
    <w:rsid w:val="6AB94CFE"/>
    <w:rsid w:val="6AF026B8"/>
    <w:rsid w:val="6AFD7DF1"/>
    <w:rsid w:val="6B082FC4"/>
    <w:rsid w:val="6B166F3A"/>
    <w:rsid w:val="6B2F24B6"/>
    <w:rsid w:val="6B611ADF"/>
    <w:rsid w:val="6B71025B"/>
    <w:rsid w:val="6B7DC656"/>
    <w:rsid w:val="6B9F907F"/>
    <w:rsid w:val="6BA04A65"/>
    <w:rsid w:val="6BA36DFA"/>
    <w:rsid w:val="6BA5215A"/>
    <w:rsid w:val="6BD95858"/>
    <w:rsid w:val="6BE32465"/>
    <w:rsid w:val="6BEF5F72"/>
    <w:rsid w:val="6BF837B0"/>
    <w:rsid w:val="6BFE4602"/>
    <w:rsid w:val="6C0832FF"/>
    <w:rsid w:val="6C11574E"/>
    <w:rsid w:val="6C33681E"/>
    <w:rsid w:val="6C355BEE"/>
    <w:rsid w:val="6C507C18"/>
    <w:rsid w:val="6C5273D7"/>
    <w:rsid w:val="6C552E01"/>
    <w:rsid w:val="6C5A4477"/>
    <w:rsid w:val="6C6D3DB2"/>
    <w:rsid w:val="6C7EB950"/>
    <w:rsid w:val="6C9C4A02"/>
    <w:rsid w:val="6CB53000"/>
    <w:rsid w:val="6CCF5056"/>
    <w:rsid w:val="6CDCFEF7"/>
    <w:rsid w:val="6CFE4FEB"/>
    <w:rsid w:val="6D0C0A88"/>
    <w:rsid w:val="6D1770E1"/>
    <w:rsid w:val="6D19C379"/>
    <w:rsid w:val="6D1E2B9C"/>
    <w:rsid w:val="6D1F52A1"/>
    <w:rsid w:val="6D21599E"/>
    <w:rsid w:val="6D3E24EF"/>
    <w:rsid w:val="6D410AEF"/>
    <w:rsid w:val="6D4510CA"/>
    <w:rsid w:val="6D595B68"/>
    <w:rsid w:val="6D5A1654"/>
    <w:rsid w:val="6D69CABC"/>
    <w:rsid w:val="6D7A2855"/>
    <w:rsid w:val="6DA059E3"/>
    <w:rsid w:val="6DBFBF89"/>
    <w:rsid w:val="6DCA1BB0"/>
    <w:rsid w:val="6DCCA44F"/>
    <w:rsid w:val="6DDF17B5"/>
    <w:rsid w:val="6DE24B37"/>
    <w:rsid w:val="6DED9459"/>
    <w:rsid w:val="6DF6DF2B"/>
    <w:rsid w:val="6E1879DB"/>
    <w:rsid w:val="6E3654BA"/>
    <w:rsid w:val="6E3B0A61"/>
    <w:rsid w:val="6E4F443D"/>
    <w:rsid w:val="6E7217BB"/>
    <w:rsid w:val="6E7529E9"/>
    <w:rsid w:val="6E797EE7"/>
    <w:rsid w:val="6E7BA409"/>
    <w:rsid w:val="6E8D7574"/>
    <w:rsid w:val="6E92713A"/>
    <w:rsid w:val="6EA503E7"/>
    <w:rsid w:val="6EAA5D68"/>
    <w:rsid w:val="6EAF35B2"/>
    <w:rsid w:val="6EB921D0"/>
    <w:rsid w:val="6F2C6A15"/>
    <w:rsid w:val="6F2D3327"/>
    <w:rsid w:val="6F353414"/>
    <w:rsid w:val="6F3CE0A8"/>
    <w:rsid w:val="6F5223DA"/>
    <w:rsid w:val="6F5336E3"/>
    <w:rsid w:val="6F776A2A"/>
    <w:rsid w:val="6F831931"/>
    <w:rsid w:val="6F8D399E"/>
    <w:rsid w:val="6F972265"/>
    <w:rsid w:val="6FA8179B"/>
    <w:rsid w:val="6FBC17C8"/>
    <w:rsid w:val="6FBE6FAA"/>
    <w:rsid w:val="6FD36DAA"/>
    <w:rsid w:val="6FD50BA4"/>
    <w:rsid w:val="6FD8139C"/>
    <w:rsid w:val="6FDF49A2"/>
    <w:rsid w:val="6FE30C65"/>
    <w:rsid w:val="6FED16FE"/>
    <w:rsid w:val="6FED1EBC"/>
    <w:rsid w:val="6FF25AAE"/>
    <w:rsid w:val="6FF38EB8"/>
    <w:rsid w:val="6FF3EBE6"/>
    <w:rsid w:val="6FF9037B"/>
    <w:rsid w:val="6FFF68F0"/>
    <w:rsid w:val="6FFF7B23"/>
    <w:rsid w:val="703C3636"/>
    <w:rsid w:val="705160B5"/>
    <w:rsid w:val="70593EA4"/>
    <w:rsid w:val="706942D3"/>
    <w:rsid w:val="70721D84"/>
    <w:rsid w:val="708C70F4"/>
    <w:rsid w:val="70C8193F"/>
    <w:rsid w:val="70E1398F"/>
    <w:rsid w:val="711D356E"/>
    <w:rsid w:val="711D5447"/>
    <w:rsid w:val="711F5A93"/>
    <w:rsid w:val="712F738E"/>
    <w:rsid w:val="713D3C4F"/>
    <w:rsid w:val="71425CED"/>
    <w:rsid w:val="7143C92F"/>
    <w:rsid w:val="714A20CF"/>
    <w:rsid w:val="714B6841"/>
    <w:rsid w:val="71643437"/>
    <w:rsid w:val="7174456F"/>
    <w:rsid w:val="718E4650"/>
    <w:rsid w:val="719E52B9"/>
    <w:rsid w:val="71B44974"/>
    <w:rsid w:val="71B65672"/>
    <w:rsid w:val="71BB412E"/>
    <w:rsid w:val="71E50A47"/>
    <w:rsid w:val="71E8DE03"/>
    <w:rsid w:val="71F47001"/>
    <w:rsid w:val="721B121D"/>
    <w:rsid w:val="722E5D0D"/>
    <w:rsid w:val="723C3C62"/>
    <w:rsid w:val="724B4B5D"/>
    <w:rsid w:val="729F0E89"/>
    <w:rsid w:val="72A13DC5"/>
    <w:rsid w:val="72B3067C"/>
    <w:rsid w:val="72D9773E"/>
    <w:rsid w:val="72E505AA"/>
    <w:rsid w:val="72F137F4"/>
    <w:rsid w:val="73170169"/>
    <w:rsid w:val="73175EB3"/>
    <w:rsid w:val="731C033F"/>
    <w:rsid w:val="73286E31"/>
    <w:rsid w:val="7356724C"/>
    <w:rsid w:val="735A4E56"/>
    <w:rsid w:val="73716361"/>
    <w:rsid w:val="737722E2"/>
    <w:rsid w:val="738325A2"/>
    <w:rsid w:val="738F8D1E"/>
    <w:rsid w:val="73B00CBD"/>
    <w:rsid w:val="73BD6EDD"/>
    <w:rsid w:val="73D527A2"/>
    <w:rsid w:val="73E20821"/>
    <w:rsid w:val="73E35D33"/>
    <w:rsid w:val="73FB37C8"/>
    <w:rsid w:val="73FF10B6"/>
    <w:rsid w:val="73FFCB78"/>
    <w:rsid w:val="740A347C"/>
    <w:rsid w:val="74156357"/>
    <w:rsid w:val="74333E34"/>
    <w:rsid w:val="743902FD"/>
    <w:rsid w:val="74636B77"/>
    <w:rsid w:val="7471C345"/>
    <w:rsid w:val="74813600"/>
    <w:rsid w:val="74902DD7"/>
    <w:rsid w:val="74A3112A"/>
    <w:rsid w:val="74AE1157"/>
    <w:rsid w:val="74C5550D"/>
    <w:rsid w:val="74EB6393"/>
    <w:rsid w:val="74EC089A"/>
    <w:rsid w:val="74EE581F"/>
    <w:rsid w:val="750A2B32"/>
    <w:rsid w:val="75514613"/>
    <w:rsid w:val="75736456"/>
    <w:rsid w:val="7576046D"/>
    <w:rsid w:val="7577B224"/>
    <w:rsid w:val="757A6545"/>
    <w:rsid w:val="759C1768"/>
    <w:rsid w:val="75AC0F52"/>
    <w:rsid w:val="75AE2627"/>
    <w:rsid w:val="75EFC6F6"/>
    <w:rsid w:val="75F145AF"/>
    <w:rsid w:val="75F36405"/>
    <w:rsid w:val="75FC2F67"/>
    <w:rsid w:val="75FF0BE1"/>
    <w:rsid w:val="760B3BAB"/>
    <w:rsid w:val="76153E44"/>
    <w:rsid w:val="76176CA0"/>
    <w:rsid w:val="766D27F9"/>
    <w:rsid w:val="76730782"/>
    <w:rsid w:val="76795D91"/>
    <w:rsid w:val="767D789F"/>
    <w:rsid w:val="7682138A"/>
    <w:rsid w:val="768545B1"/>
    <w:rsid w:val="76876CC6"/>
    <w:rsid w:val="76A573F2"/>
    <w:rsid w:val="76DE5FA2"/>
    <w:rsid w:val="76E2215D"/>
    <w:rsid w:val="76E62354"/>
    <w:rsid w:val="76EA252C"/>
    <w:rsid w:val="76EE1333"/>
    <w:rsid w:val="76EF3BE8"/>
    <w:rsid w:val="7701049E"/>
    <w:rsid w:val="77106E24"/>
    <w:rsid w:val="77111B9B"/>
    <w:rsid w:val="77267237"/>
    <w:rsid w:val="77310584"/>
    <w:rsid w:val="77378725"/>
    <w:rsid w:val="773B8B4B"/>
    <w:rsid w:val="774167B1"/>
    <w:rsid w:val="7753B2B4"/>
    <w:rsid w:val="775B638E"/>
    <w:rsid w:val="7778BE31"/>
    <w:rsid w:val="777D492C"/>
    <w:rsid w:val="777FC044"/>
    <w:rsid w:val="778824A9"/>
    <w:rsid w:val="77920D9B"/>
    <w:rsid w:val="77AD5236"/>
    <w:rsid w:val="77AF8E22"/>
    <w:rsid w:val="77BF3B04"/>
    <w:rsid w:val="77BF6C42"/>
    <w:rsid w:val="77C2610E"/>
    <w:rsid w:val="77DB55A4"/>
    <w:rsid w:val="77DC6F18"/>
    <w:rsid w:val="77DE26D7"/>
    <w:rsid w:val="77DFEDB2"/>
    <w:rsid w:val="77E7539A"/>
    <w:rsid w:val="77FD1C84"/>
    <w:rsid w:val="77FF4646"/>
    <w:rsid w:val="77FFB8DA"/>
    <w:rsid w:val="780C67AD"/>
    <w:rsid w:val="78141E2A"/>
    <w:rsid w:val="781D109D"/>
    <w:rsid w:val="78227EDC"/>
    <w:rsid w:val="785018B4"/>
    <w:rsid w:val="785E2550"/>
    <w:rsid w:val="786656E5"/>
    <w:rsid w:val="78736EE5"/>
    <w:rsid w:val="788E5DEF"/>
    <w:rsid w:val="7890433F"/>
    <w:rsid w:val="789142C5"/>
    <w:rsid w:val="78B16803"/>
    <w:rsid w:val="78CF7CA0"/>
    <w:rsid w:val="78E541AB"/>
    <w:rsid w:val="78EE488D"/>
    <w:rsid w:val="79015B28"/>
    <w:rsid w:val="790E3FA1"/>
    <w:rsid w:val="791527B8"/>
    <w:rsid w:val="792C5DBD"/>
    <w:rsid w:val="792F1975"/>
    <w:rsid w:val="793902EF"/>
    <w:rsid w:val="79443DA6"/>
    <w:rsid w:val="795965E5"/>
    <w:rsid w:val="79666580"/>
    <w:rsid w:val="7975DC6C"/>
    <w:rsid w:val="79906AE4"/>
    <w:rsid w:val="79A81181"/>
    <w:rsid w:val="79AD7FBE"/>
    <w:rsid w:val="79B7A2A8"/>
    <w:rsid w:val="79DF4E61"/>
    <w:rsid w:val="79F54D00"/>
    <w:rsid w:val="79FF1312"/>
    <w:rsid w:val="79FF9B5B"/>
    <w:rsid w:val="7A0F2DCA"/>
    <w:rsid w:val="7A1144ED"/>
    <w:rsid w:val="7A2D83DA"/>
    <w:rsid w:val="7A3E20A4"/>
    <w:rsid w:val="7A48405D"/>
    <w:rsid w:val="7A614D35"/>
    <w:rsid w:val="7A7E3431"/>
    <w:rsid w:val="7A81647E"/>
    <w:rsid w:val="7A8D5F2E"/>
    <w:rsid w:val="7A921236"/>
    <w:rsid w:val="7A965973"/>
    <w:rsid w:val="7AB1179C"/>
    <w:rsid w:val="7ABA44AF"/>
    <w:rsid w:val="7ABC0FFF"/>
    <w:rsid w:val="7ABF48F8"/>
    <w:rsid w:val="7ACC3365"/>
    <w:rsid w:val="7AD50FD6"/>
    <w:rsid w:val="7AE94B18"/>
    <w:rsid w:val="7AF544CF"/>
    <w:rsid w:val="7AFB3BE9"/>
    <w:rsid w:val="7B011C56"/>
    <w:rsid w:val="7B1D77D6"/>
    <w:rsid w:val="7B3F7BF3"/>
    <w:rsid w:val="7B5A6ED8"/>
    <w:rsid w:val="7B5F4EC5"/>
    <w:rsid w:val="7B6D7617"/>
    <w:rsid w:val="7B77E01B"/>
    <w:rsid w:val="7B7D4202"/>
    <w:rsid w:val="7B9B03E5"/>
    <w:rsid w:val="7BB76B9C"/>
    <w:rsid w:val="7BB94F8A"/>
    <w:rsid w:val="7BC32459"/>
    <w:rsid w:val="7BDF5935"/>
    <w:rsid w:val="7BFDDD32"/>
    <w:rsid w:val="7BFDE0A1"/>
    <w:rsid w:val="7BFF00CC"/>
    <w:rsid w:val="7BFF71DC"/>
    <w:rsid w:val="7BFF7BD3"/>
    <w:rsid w:val="7BFF7D54"/>
    <w:rsid w:val="7C276BC5"/>
    <w:rsid w:val="7C2C62F2"/>
    <w:rsid w:val="7C4429CB"/>
    <w:rsid w:val="7C4A5849"/>
    <w:rsid w:val="7C634997"/>
    <w:rsid w:val="7C670DC7"/>
    <w:rsid w:val="7C6B4DB7"/>
    <w:rsid w:val="7C7407C0"/>
    <w:rsid w:val="7C7E12B9"/>
    <w:rsid w:val="7C806E1F"/>
    <w:rsid w:val="7C807567"/>
    <w:rsid w:val="7C9746A5"/>
    <w:rsid w:val="7C975535"/>
    <w:rsid w:val="7CA2790C"/>
    <w:rsid w:val="7CC423FF"/>
    <w:rsid w:val="7CCB7DBF"/>
    <w:rsid w:val="7CCC1A8A"/>
    <w:rsid w:val="7CE53574"/>
    <w:rsid w:val="7CF73B49"/>
    <w:rsid w:val="7CFF0E31"/>
    <w:rsid w:val="7D151553"/>
    <w:rsid w:val="7D1D5B53"/>
    <w:rsid w:val="7D1F03AB"/>
    <w:rsid w:val="7D230EAE"/>
    <w:rsid w:val="7D3563FA"/>
    <w:rsid w:val="7D3B1BD0"/>
    <w:rsid w:val="7D5F6582"/>
    <w:rsid w:val="7D5F6826"/>
    <w:rsid w:val="7D7B4A5E"/>
    <w:rsid w:val="7D7B69B9"/>
    <w:rsid w:val="7D7BD8D6"/>
    <w:rsid w:val="7D7D67F1"/>
    <w:rsid w:val="7D9B4692"/>
    <w:rsid w:val="7DA1494C"/>
    <w:rsid w:val="7DA1515D"/>
    <w:rsid w:val="7DA30836"/>
    <w:rsid w:val="7DB163E5"/>
    <w:rsid w:val="7DBD7685"/>
    <w:rsid w:val="7DBFEE0D"/>
    <w:rsid w:val="7DCFE888"/>
    <w:rsid w:val="7DD2505C"/>
    <w:rsid w:val="7DD5566C"/>
    <w:rsid w:val="7DDC2E22"/>
    <w:rsid w:val="7DEDF939"/>
    <w:rsid w:val="7DF1241E"/>
    <w:rsid w:val="7DF92533"/>
    <w:rsid w:val="7DFC34FA"/>
    <w:rsid w:val="7DFEC768"/>
    <w:rsid w:val="7DFF5677"/>
    <w:rsid w:val="7E086AF1"/>
    <w:rsid w:val="7E0FA087"/>
    <w:rsid w:val="7E100A7E"/>
    <w:rsid w:val="7E1D60EB"/>
    <w:rsid w:val="7E244238"/>
    <w:rsid w:val="7E279CE2"/>
    <w:rsid w:val="7E466A2E"/>
    <w:rsid w:val="7E4765AC"/>
    <w:rsid w:val="7E5C0316"/>
    <w:rsid w:val="7E5C194A"/>
    <w:rsid w:val="7E632A61"/>
    <w:rsid w:val="7E7BBD6F"/>
    <w:rsid w:val="7E7FCF8A"/>
    <w:rsid w:val="7E7FED4A"/>
    <w:rsid w:val="7EA96114"/>
    <w:rsid w:val="7EAB58B4"/>
    <w:rsid w:val="7EB22306"/>
    <w:rsid w:val="7EB576D1"/>
    <w:rsid w:val="7EB86E51"/>
    <w:rsid w:val="7EBA055D"/>
    <w:rsid w:val="7EBECC14"/>
    <w:rsid w:val="7ECF5E5E"/>
    <w:rsid w:val="7ED4737D"/>
    <w:rsid w:val="7EE7198E"/>
    <w:rsid w:val="7EF6E4EE"/>
    <w:rsid w:val="7EFE7062"/>
    <w:rsid w:val="7F0030D6"/>
    <w:rsid w:val="7F282B4E"/>
    <w:rsid w:val="7F2F1628"/>
    <w:rsid w:val="7F37EE9A"/>
    <w:rsid w:val="7F38A4EF"/>
    <w:rsid w:val="7F3F3F6F"/>
    <w:rsid w:val="7F3FD16E"/>
    <w:rsid w:val="7F4DBDE0"/>
    <w:rsid w:val="7F51534F"/>
    <w:rsid w:val="7F5FD2EB"/>
    <w:rsid w:val="7F692FFA"/>
    <w:rsid w:val="7F6D67E5"/>
    <w:rsid w:val="7F753820"/>
    <w:rsid w:val="7F7776E3"/>
    <w:rsid w:val="7F7ACD60"/>
    <w:rsid w:val="7F7F4CF7"/>
    <w:rsid w:val="7F7F95E6"/>
    <w:rsid w:val="7F8211C4"/>
    <w:rsid w:val="7FA138FF"/>
    <w:rsid w:val="7FB769D8"/>
    <w:rsid w:val="7FBA62B7"/>
    <w:rsid w:val="7FC763C8"/>
    <w:rsid w:val="7FD53546"/>
    <w:rsid w:val="7FD61B9F"/>
    <w:rsid w:val="7FDB6D95"/>
    <w:rsid w:val="7FDE59C5"/>
    <w:rsid w:val="7FDE8255"/>
    <w:rsid w:val="7FE86A6F"/>
    <w:rsid w:val="7FEAF26E"/>
    <w:rsid w:val="7FEDFEB8"/>
    <w:rsid w:val="7FEFAACB"/>
    <w:rsid w:val="7FF10F87"/>
    <w:rsid w:val="7FF367A6"/>
    <w:rsid w:val="7FF39D95"/>
    <w:rsid w:val="7FF3D836"/>
    <w:rsid w:val="7FF700FE"/>
    <w:rsid w:val="7FF71B54"/>
    <w:rsid w:val="7FF72F3E"/>
    <w:rsid w:val="7FF7A85F"/>
    <w:rsid w:val="7FF8D1F5"/>
    <w:rsid w:val="7FF8E214"/>
    <w:rsid w:val="7FFA0E3C"/>
    <w:rsid w:val="7FFB3F93"/>
    <w:rsid w:val="7FFD0843"/>
    <w:rsid w:val="7FFD6A4A"/>
    <w:rsid w:val="7FFEEC3A"/>
    <w:rsid w:val="7FFF8CC0"/>
    <w:rsid w:val="7FFFE0E4"/>
    <w:rsid w:val="80FFB4C8"/>
    <w:rsid w:val="8BF142EC"/>
    <w:rsid w:val="8F7E43D4"/>
    <w:rsid w:val="93BF7FA6"/>
    <w:rsid w:val="97E25A6C"/>
    <w:rsid w:val="9BBE8CA8"/>
    <w:rsid w:val="9BBFE369"/>
    <w:rsid w:val="9D0B8660"/>
    <w:rsid w:val="9DAB1EF0"/>
    <w:rsid w:val="9EF3CA6C"/>
    <w:rsid w:val="9F3F648E"/>
    <w:rsid w:val="9F7FF8E7"/>
    <w:rsid w:val="9FDEFEDA"/>
    <w:rsid w:val="9FF665BE"/>
    <w:rsid w:val="9FF74941"/>
    <w:rsid w:val="9FFE8B2F"/>
    <w:rsid w:val="9FFE9468"/>
    <w:rsid w:val="9FFF4E6D"/>
    <w:rsid w:val="9FFF9C14"/>
    <w:rsid w:val="A3EA8978"/>
    <w:rsid w:val="A6FE08ED"/>
    <w:rsid w:val="A7EF05F1"/>
    <w:rsid w:val="A7FD7E7C"/>
    <w:rsid w:val="AF0F09A5"/>
    <w:rsid w:val="AF56556D"/>
    <w:rsid w:val="AF7EAD59"/>
    <w:rsid w:val="AFFF7C7C"/>
    <w:rsid w:val="B357D540"/>
    <w:rsid w:val="B3F6ADB2"/>
    <w:rsid w:val="B47B4AED"/>
    <w:rsid w:val="B4AE9BD6"/>
    <w:rsid w:val="B5B7CF85"/>
    <w:rsid w:val="B5FF588E"/>
    <w:rsid w:val="B6D7D1C8"/>
    <w:rsid w:val="B7EBB083"/>
    <w:rsid w:val="B7F76DC3"/>
    <w:rsid w:val="B9778415"/>
    <w:rsid w:val="B99FBD87"/>
    <w:rsid w:val="B9A7ACAB"/>
    <w:rsid w:val="BACB125C"/>
    <w:rsid w:val="BAD320E8"/>
    <w:rsid w:val="BAEFF50B"/>
    <w:rsid w:val="BBAB27EF"/>
    <w:rsid w:val="BBB09DF4"/>
    <w:rsid w:val="BBFE7020"/>
    <w:rsid w:val="BCBE05F8"/>
    <w:rsid w:val="BCCD2115"/>
    <w:rsid w:val="BCDFB763"/>
    <w:rsid w:val="BCEE5BEB"/>
    <w:rsid w:val="BCFF94B6"/>
    <w:rsid w:val="BD11BBDC"/>
    <w:rsid w:val="BDBF2AD6"/>
    <w:rsid w:val="BDED2AB1"/>
    <w:rsid w:val="BE9BF6C6"/>
    <w:rsid w:val="BEF5C55C"/>
    <w:rsid w:val="BEFCB535"/>
    <w:rsid w:val="BEFF7C3A"/>
    <w:rsid w:val="BEFFC469"/>
    <w:rsid w:val="BEFFE584"/>
    <w:rsid w:val="BF431F18"/>
    <w:rsid w:val="BF772C6D"/>
    <w:rsid w:val="BF7D73F8"/>
    <w:rsid w:val="BF9726E3"/>
    <w:rsid w:val="BF9FA384"/>
    <w:rsid w:val="BF9FD826"/>
    <w:rsid w:val="BFBD983D"/>
    <w:rsid w:val="BFD75776"/>
    <w:rsid w:val="BFDD816A"/>
    <w:rsid w:val="BFE5E50B"/>
    <w:rsid w:val="BFE847FF"/>
    <w:rsid w:val="BFF22AC9"/>
    <w:rsid w:val="BFFD1BCE"/>
    <w:rsid w:val="BFFD9504"/>
    <w:rsid w:val="BFFEEE89"/>
    <w:rsid w:val="BFFEF432"/>
    <w:rsid w:val="BFFFCFD4"/>
    <w:rsid w:val="C45DB49F"/>
    <w:rsid w:val="C5BD3484"/>
    <w:rsid w:val="C76DA562"/>
    <w:rsid w:val="C7B989BC"/>
    <w:rsid w:val="C7BFEEA7"/>
    <w:rsid w:val="C7E6C2B7"/>
    <w:rsid w:val="C9BF5081"/>
    <w:rsid w:val="CBBD68C3"/>
    <w:rsid w:val="CBEDA1FF"/>
    <w:rsid w:val="CBF7B63A"/>
    <w:rsid w:val="CBFF0C5C"/>
    <w:rsid w:val="CBFF41DF"/>
    <w:rsid w:val="CCFE5F5C"/>
    <w:rsid w:val="CE5B4FBE"/>
    <w:rsid w:val="CFAD77B2"/>
    <w:rsid w:val="CFEFBB7E"/>
    <w:rsid w:val="CFFA5A80"/>
    <w:rsid w:val="CFFC34AA"/>
    <w:rsid w:val="D24FE468"/>
    <w:rsid w:val="D2DF642E"/>
    <w:rsid w:val="D3BF072D"/>
    <w:rsid w:val="D4BA0C17"/>
    <w:rsid w:val="D5EA9359"/>
    <w:rsid w:val="D5FF46BE"/>
    <w:rsid w:val="D67EE5A4"/>
    <w:rsid w:val="D6BE395B"/>
    <w:rsid w:val="D6E5B09B"/>
    <w:rsid w:val="D76EE0DE"/>
    <w:rsid w:val="D79357D8"/>
    <w:rsid w:val="D7B3059E"/>
    <w:rsid w:val="D7B72626"/>
    <w:rsid w:val="D7E7E3CE"/>
    <w:rsid w:val="D9F88A08"/>
    <w:rsid w:val="DA7F7611"/>
    <w:rsid w:val="DAFFCDC8"/>
    <w:rsid w:val="DBFBBC42"/>
    <w:rsid w:val="DCD78FDA"/>
    <w:rsid w:val="DD378159"/>
    <w:rsid w:val="DE9D8A69"/>
    <w:rsid w:val="DEDF1B82"/>
    <w:rsid w:val="DEEE71D8"/>
    <w:rsid w:val="DF394DF7"/>
    <w:rsid w:val="DF7719EF"/>
    <w:rsid w:val="DF7FEDBD"/>
    <w:rsid w:val="DFBCF7A6"/>
    <w:rsid w:val="DFBF40AC"/>
    <w:rsid w:val="DFBFB0D2"/>
    <w:rsid w:val="DFD2DD98"/>
    <w:rsid w:val="DFD7FABC"/>
    <w:rsid w:val="DFECFE8B"/>
    <w:rsid w:val="DFF2C634"/>
    <w:rsid w:val="DFFDB8C8"/>
    <w:rsid w:val="DFFE6EC0"/>
    <w:rsid w:val="E1BF8652"/>
    <w:rsid w:val="E2D74D8D"/>
    <w:rsid w:val="E2FFCB7B"/>
    <w:rsid w:val="E5CDB3A9"/>
    <w:rsid w:val="E6AF1D43"/>
    <w:rsid w:val="E6EDD936"/>
    <w:rsid w:val="E779B0BC"/>
    <w:rsid w:val="E7ACA886"/>
    <w:rsid w:val="E7DEEC7A"/>
    <w:rsid w:val="E8FE4282"/>
    <w:rsid w:val="EAA8ED2C"/>
    <w:rsid w:val="EAFB5373"/>
    <w:rsid w:val="EB3D226D"/>
    <w:rsid w:val="EBCD6D63"/>
    <w:rsid w:val="EBD348FF"/>
    <w:rsid w:val="EBF11D41"/>
    <w:rsid w:val="EBFFBAC2"/>
    <w:rsid w:val="ECE9C2D6"/>
    <w:rsid w:val="ECF27454"/>
    <w:rsid w:val="ED670BEF"/>
    <w:rsid w:val="EDFB541D"/>
    <w:rsid w:val="EE7F2895"/>
    <w:rsid w:val="EE8B0B72"/>
    <w:rsid w:val="EEEB9440"/>
    <w:rsid w:val="EEFF9C5C"/>
    <w:rsid w:val="EF2F8AB6"/>
    <w:rsid w:val="EF3F17FB"/>
    <w:rsid w:val="EF775E9C"/>
    <w:rsid w:val="EF7FA978"/>
    <w:rsid w:val="EF9B3B3C"/>
    <w:rsid w:val="EFBF0859"/>
    <w:rsid w:val="EFD64256"/>
    <w:rsid w:val="EFDF5FA6"/>
    <w:rsid w:val="EFE55216"/>
    <w:rsid w:val="EFE7CC27"/>
    <w:rsid w:val="EFEF0441"/>
    <w:rsid w:val="EFEF4ABB"/>
    <w:rsid w:val="EFF3A7A2"/>
    <w:rsid w:val="EFFC34E1"/>
    <w:rsid w:val="EFFC6949"/>
    <w:rsid w:val="EFFDE87D"/>
    <w:rsid w:val="EFFE0611"/>
    <w:rsid w:val="EFFF1931"/>
    <w:rsid w:val="EFFFE22B"/>
    <w:rsid w:val="F1E4C2F4"/>
    <w:rsid w:val="F1FFC451"/>
    <w:rsid w:val="F2F60A15"/>
    <w:rsid w:val="F2FC8F34"/>
    <w:rsid w:val="F33DE14F"/>
    <w:rsid w:val="F34D341B"/>
    <w:rsid w:val="F38CB106"/>
    <w:rsid w:val="F3D7F779"/>
    <w:rsid w:val="F3F720A7"/>
    <w:rsid w:val="F3F7316F"/>
    <w:rsid w:val="F3FBD070"/>
    <w:rsid w:val="F3FD494D"/>
    <w:rsid w:val="F3FF556E"/>
    <w:rsid w:val="F473F051"/>
    <w:rsid w:val="F52EA20C"/>
    <w:rsid w:val="F57C45DD"/>
    <w:rsid w:val="F73FC7A8"/>
    <w:rsid w:val="F773B9B3"/>
    <w:rsid w:val="F7781E39"/>
    <w:rsid w:val="F7D6680F"/>
    <w:rsid w:val="F7D786AD"/>
    <w:rsid w:val="F7EF1F4A"/>
    <w:rsid w:val="F7F41BCB"/>
    <w:rsid w:val="F7FB1B15"/>
    <w:rsid w:val="F7FBA654"/>
    <w:rsid w:val="F7FE0824"/>
    <w:rsid w:val="F7FF5118"/>
    <w:rsid w:val="F97F607E"/>
    <w:rsid w:val="F9DD9D22"/>
    <w:rsid w:val="F9F7E976"/>
    <w:rsid w:val="FA33F896"/>
    <w:rsid w:val="FA9E28E4"/>
    <w:rsid w:val="FABFD96A"/>
    <w:rsid w:val="FADEC29E"/>
    <w:rsid w:val="FAFBFEFC"/>
    <w:rsid w:val="FAFF22BB"/>
    <w:rsid w:val="FB1B7EE3"/>
    <w:rsid w:val="FB2C7BE4"/>
    <w:rsid w:val="FB45C75A"/>
    <w:rsid w:val="FB5F1A95"/>
    <w:rsid w:val="FB69FE4E"/>
    <w:rsid w:val="FB77B937"/>
    <w:rsid w:val="FB7F0992"/>
    <w:rsid w:val="FBBA362C"/>
    <w:rsid w:val="FBBDCB2B"/>
    <w:rsid w:val="FBCA9F23"/>
    <w:rsid w:val="FBEFF9EA"/>
    <w:rsid w:val="FCBFC23C"/>
    <w:rsid w:val="FCEE010A"/>
    <w:rsid w:val="FCFC65EB"/>
    <w:rsid w:val="FD0F384D"/>
    <w:rsid w:val="FD3E7994"/>
    <w:rsid w:val="FD5DDA0E"/>
    <w:rsid w:val="FD6F2047"/>
    <w:rsid w:val="FD795CD5"/>
    <w:rsid w:val="FD7FF313"/>
    <w:rsid w:val="FDBEBC0A"/>
    <w:rsid w:val="FDC4A713"/>
    <w:rsid w:val="FDEF5DBA"/>
    <w:rsid w:val="FDFBD6CC"/>
    <w:rsid w:val="FDFD5350"/>
    <w:rsid w:val="FDFF1F39"/>
    <w:rsid w:val="FDFFF818"/>
    <w:rsid w:val="FE2E4EF2"/>
    <w:rsid w:val="FE766597"/>
    <w:rsid w:val="FE7EDB3E"/>
    <w:rsid w:val="FE7FDFDB"/>
    <w:rsid w:val="FEAFCBFD"/>
    <w:rsid w:val="FED78BDA"/>
    <w:rsid w:val="FEEE992C"/>
    <w:rsid w:val="FEF29DF9"/>
    <w:rsid w:val="FEF4FCC1"/>
    <w:rsid w:val="FEF7AEA0"/>
    <w:rsid w:val="FEFDF0F3"/>
    <w:rsid w:val="FF174846"/>
    <w:rsid w:val="FF17EF44"/>
    <w:rsid w:val="FF3F8167"/>
    <w:rsid w:val="FF57CDCF"/>
    <w:rsid w:val="FF5E8B9B"/>
    <w:rsid w:val="FF6EDCA1"/>
    <w:rsid w:val="FF6F1282"/>
    <w:rsid w:val="FF7792C7"/>
    <w:rsid w:val="FF7B6E82"/>
    <w:rsid w:val="FF7E1612"/>
    <w:rsid w:val="FF7F5A59"/>
    <w:rsid w:val="FFABFFDF"/>
    <w:rsid w:val="FFAF35C4"/>
    <w:rsid w:val="FFAFB449"/>
    <w:rsid w:val="FFB7D12C"/>
    <w:rsid w:val="FFBDC6F8"/>
    <w:rsid w:val="FFBDF9E7"/>
    <w:rsid w:val="FFBF3536"/>
    <w:rsid w:val="FFBF9932"/>
    <w:rsid w:val="FFCF89B3"/>
    <w:rsid w:val="FFDB265D"/>
    <w:rsid w:val="FFDCC060"/>
    <w:rsid w:val="FFEF0C42"/>
    <w:rsid w:val="FFEF4FAB"/>
    <w:rsid w:val="FFEFBAD4"/>
    <w:rsid w:val="FFF1C7FF"/>
    <w:rsid w:val="FFF21A12"/>
    <w:rsid w:val="FFF7381A"/>
    <w:rsid w:val="FFF74BB2"/>
    <w:rsid w:val="FFF7585C"/>
    <w:rsid w:val="FFF794E8"/>
    <w:rsid w:val="FFFBA9D7"/>
    <w:rsid w:val="FFFD0230"/>
    <w:rsid w:val="FFFEAB63"/>
    <w:rsid w:val="FFFF629D"/>
    <w:rsid w:val="FFFF7B0C"/>
    <w:rsid w:val="FFFF85AF"/>
    <w:rsid w:val="FFFFABC2"/>
    <w:rsid w:val="FFFFCF4C"/>
    <w:rsid w:val="FFFFE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widowControl/>
      <w:spacing w:beforeLines="50" w:line="480" w:lineRule="exact"/>
      <w:outlineLvl w:val="1"/>
    </w:pPr>
    <w:rPr>
      <w:rFonts w:eastAsia="黑体"/>
      <w:bCs/>
      <w:color w:val="000000"/>
      <w:sz w:val="30"/>
      <w:szCs w:val="32"/>
    </w:rPr>
  </w:style>
  <w:style w:type="paragraph" w:styleId="6">
    <w:name w:val="heading 3"/>
    <w:basedOn w:val="1"/>
    <w:next w:val="1"/>
    <w:link w:val="70"/>
    <w:unhideWhenUsed/>
    <w:qFormat/>
    <w:uiPriority w:val="0"/>
    <w:pPr>
      <w:keepNext/>
      <w:keepLines/>
      <w:adjustRightInd w:val="0"/>
      <w:snapToGrid w:val="0"/>
      <w:spacing w:line="520" w:lineRule="exact"/>
      <w:outlineLvl w:val="2"/>
    </w:pPr>
    <w:rPr>
      <w:rFonts w:ascii="宋体" w:hAnsi="宋体"/>
      <w:b/>
      <w:sz w:val="28"/>
      <w:szCs w:val="20"/>
    </w:rPr>
  </w:style>
  <w:style w:type="paragraph" w:styleId="7">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34"/>
    <w:unhideWhenUsed/>
    <w:qFormat/>
    <w:uiPriority w:val="0"/>
    <w:pPr>
      <w:keepNext/>
      <w:keepLines/>
      <w:widowControl/>
      <w:spacing w:before="200" w:line="276" w:lineRule="auto"/>
      <w:jc w:val="left"/>
      <w:outlineLvl w:val="4"/>
    </w:pPr>
    <w:rPr>
      <w:rFonts w:ascii="Cambria" w:hAnsi="Cambria"/>
      <w:color w:val="243F60"/>
      <w:kern w:val="0"/>
      <w:sz w:val="22"/>
      <w:szCs w:val="22"/>
      <w:lang w:eastAsia="en-US" w:bidi="en-US"/>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表格文字"/>
    <w:basedOn w:val="1"/>
    <w:next w:val="1"/>
    <w:qFormat/>
    <w:uiPriority w:val="0"/>
    <w:pPr>
      <w:tabs>
        <w:tab w:val="left" w:pos="540"/>
        <w:tab w:val="left" w:pos="1080"/>
        <w:tab w:val="left" w:pos="1260"/>
        <w:tab w:val="left" w:pos="1440"/>
      </w:tabs>
      <w:snapToGrid w:val="0"/>
      <w:spacing w:line="0" w:lineRule="atLeast"/>
      <w:jc w:val="center"/>
    </w:pPr>
    <w:rPr>
      <w:bCs/>
      <w:color w:val="000000"/>
      <w:kern w:val="0"/>
      <w:szCs w:val="28"/>
    </w:rPr>
  </w:style>
  <w:style w:type="paragraph" w:styleId="9">
    <w:name w:val="Note Heading"/>
    <w:basedOn w:val="1"/>
    <w:next w:val="1"/>
    <w:qFormat/>
    <w:uiPriority w:val="0"/>
    <w:pPr>
      <w:jc w:val="center"/>
    </w:pPr>
  </w:style>
  <w:style w:type="paragraph" w:styleId="10">
    <w:name w:val="Normal Indent"/>
    <w:basedOn w:val="1"/>
    <w:next w:val="11"/>
    <w:qFormat/>
    <w:uiPriority w:val="0"/>
    <w:pPr>
      <w:ind w:firstLine="420" w:firstLineChars="200"/>
    </w:pPr>
    <w:rPr>
      <w:szCs w:val="20"/>
    </w:rPr>
  </w:style>
  <w:style w:type="paragraph" w:customStyle="1" w:styleId="11">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12">
    <w:name w:val="annotation text"/>
    <w:basedOn w:val="1"/>
    <w:qFormat/>
    <w:uiPriority w:val="0"/>
    <w:pPr>
      <w:jc w:val="left"/>
    </w:pPr>
  </w:style>
  <w:style w:type="paragraph" w:styleId="13">
    <w:name w:val="Body Text"/>
    <w:basedOn w:val="1"/>
    <w:qFormat/>
    <w:uiPriority w:val="0"/>
    <w:pPr>
      <w:spacing w:after="120"/>
    </w:pPr>
  </w:style>
  <w:style w:type="paragraph" w:styleId="14">
    <w:name w:val="Body Text Indent"/>
    <w:basedOn w:val="1"/>
    <w:qFormat/>
    <w:uiPriority w:val="0"/>
    <w:pPr>
      <w:spacing w:after="120"/>
      <w:ind w:left="420" w:leftChars="200"/>
    </w:pPr>
    <w:rPr>
      <w:szCs w:val="21"/>
    </w:rPr>
  </w:style>
  <w:style w:type="paragraph" w:styleId="15">
    <w:name w:val="Plain Text"/>
    <w:basedOn w:val="1"/>
    <w:next w:val="1"/>
    <w:qFormat/>
    <w:uiPriority w:val="0"/>
    <w:pPr>
      <w:autoSpaceDE w:val="0"/>
      <w:autoSpaceDN w:val="0"/>
      <w:adjustRightInd w:val="0"/>
      <w:textAlignment w:val="baseline"/>
    </w:pPr>
    <w:rPr>
      <w:rFonts w:ascii="宋体"/>
      <w:sz w:val="28"/>
      <w:szCs w:val="20"/>
    </w:rPr>
  </w:style>
  <w:style w:type="paragraph" w:styleId="16">
    <w:name w:val="Date"/>
    <w:basedOn w:val="1"/>
    <w:next w:val="1"/>
    <w:link w:val="81"/>
    <w:qFormat/>
    <w:uiPriority w:val="0"/>
    <w:pPr>
      <w:ind w:left="100" w:leftChars="2500"/>
    </w:pPr>
  </w:style>
  <w:style w:type="paragraph" w:styleId="17">
    <w:name w:val="Body Text Indent 2"/>
    <w:basedOn w:val="1"/>
    <w:qFormat/>
    <w:uiPriority w:val="0"/>
    <w:pPr>
      <w:spacing w:after="120" w:line="480" w:lineRule="auto"/>
      <w:ind w:left="420" w:leftChars="200"/>
    </w:pPr>
  </w:style>
  <w:style w:type="paragraph" w:styleId="18">
    <w:name w:val="Balloon Text"/>
    <w:basedOn w:val="1"/>
    <w:link w:val="78"/>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pPr>
      <w:spacing w:line="500" w:lineRule="exact"/>
    </w:pPr>
    <w:rPr>
      <w:rFonts w:ascii="宋体" w:hAnsi="宋体"/>
      <w:b/>
      <w:sz w:val="24"/>
    </w:rPr>
  </w:style>
  <w:style w:type="paragraph" w:styleId="22">
    <w:name w:val="Body Text Indent 3"/>
    <w:basedOn w:val="1"/>
    <w:qFormat/>
    <w:uiPriority w:val="0"/>
    <w:pPr>
      <w:adjustRightInd w:val="0"/>
      <w:snapToGrid w:val="0"/>
      <w:spacing w:line="360" w:lineRule="auto"/>
      <w:ind w:firstLine="480"/>
    </w:pPr>
    <w:rPr>
      <w:rFonts w:ascii="宋体" w:hAnsi="宋体"/>
      <w:color w:val="000000"/>
      <w:sz w:val="24"/>
    </w:rPr>
  </w:style>
  <w:style w:type="paragraph" w:styleId="23">
    <w:name w:val="toc 2"/>
    <w:basedOn w:val="1"/>
    <w:next w:val="1"/>
    <w:qFormat/>
    <w:uiPriority w:val="0"/>
    <w:pPr>
      <w:tabs>
        <w:tab w:val="right" w:leader="dot" w:pos="8296"/>
      </w:tabs>
      <w:spacing w:line="400" w:lineRule="exact"/>
      <w:ind w:left="420" w:leftChars="200"/>
    </w:pPr>
    <w:rPr>
      <w:rFonts w:ascii="黑体" w:eastAsia="黑体"/>
    </w:rPr>
  </w:style>
  <w:style w:type="paragraph" w:styleId="24">
    <w:name w:val="Body Text 2"/>
    <w:basedOn w:val="1"/>
    <w:qFormat/>
    <w:uiPriority w:val="0"/>
    <w:pPr>
      <w:widowControl/>
      <w:spacing w:after="120" w:line="480" w:lineRule="auto"/>
      <w:jc w:val="left"/>
    </w:pPr>
    <w:rPr>
      <w:rFonts w:ascii="Calibri" w:hAnsi="Calibri"/>
      <w:kern w:val="0"/>
      <w:sz w:val="22"/>
      <w:szCs w:val="22"/>
      <w:lang w:eastAsia="en-US" w:bidi="en-US"/>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Normal (Web)"/>
    <w:basedOn w:val="1"/>
    <w:qFormat/>
    <w:uiPriority w:val="0"/>
    <w:rPr>
      <w:sz w:val="24"/>
    </w:rPr>
  </w:style>
  <w:style w:type="paragraph" w:styleId="27">
    <w:name w:val="Title"/>
    <w:basedOn w:val="1"/>
    <w:next w:val="1"/>
    <w:qFormat/>
    <w:uiPriority w:val="0"/>
    <w:pPr>
      <w:spacing w:before="240" w:after="60"/>
      <w:jc w:val="center"/>
      <w:outlineLvl w:val="0"/>
    </w:pPr>
    <w:rPr>
      <w:rFonts w:ascii="Cambria" w:hAnsi="Cambria"/>
      <w:b/>
      <w:bCs/>
      <w:sz w:val="32"/>
      <w:szCs w:val="32"/>
    </w:rPr>
  </w:style>
  <w:style w:type="paragraph" w:styleId="28">
    <w:name w:val="Body Text First Indent 2"/>
    <w:basedOn w:val="1"/>
    <w:next w:val="1"/>
    <w:qFormat/>
    <w:uiPriority w:val="0"/>
    <w:pPr>
      <w:spacing w:after="120"/>
      <w:ind w:left="420" w:leftChars="200"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Hyperlink"/>
    <w:basedOn w:val="31"/>
    <w:unhideWhenUsed/>
    <w:qFormat/>
    <w:uiPriority w:val="99"/>
    <w:rPr>
      <w:color w:val="0563C1" w:themeColor="hyperlink"/>
      <w:u w:val="single"/>
      <w14:textFill>
        <w14:solidFill>
          <w14:schemeClr w14:val="hlink"/>
        </w14:solidFill>
      </w14:textFill>
    </w:rPr>
  </w:style>
  <w:style w:type="character" w:customStyle="1" w:styleId="33">
    <w:name w:val="标题 1 Char"/>
    <w:link w:val="4"/>
    <w:qFormat/>
    <w:uiPriority w:val="0"/>
    <w:rPr>
      <w:b/>
      <w:bCs/>
      <w:kern w:val="44"/>
      <w:sz w:val="44"/>
      <w:szCs w:val="44"/>
    </w:rPr>
  </w:style>
  <w:style w:type="character" w:customStyle="1" w:styleId="34">
    <w:name w:val="标题 5 Char"/>
    <w:link w:val="8"/>
    <w:qFormat/>
    <w:uiPriority w:val="0"/>
    <w:rPr>
      <w:rFonts w:ascii="Cambria" w:hAnsi="Cambria"/>
      <w:color w:val="243F60"/>
      <w:kern w:val="0"/>
      <w:sz w:val="22"/>
      <w:szCs w:val="22"/>
      <w:lang w:eastAsia="en-US" w:bidi="en-US"/>
    </w:rPr>
  </w:style>
  <w:style w:type="paragraph" w:customStyle="1" w:styleId="35">
    <w:name w:val="aa"/>
    <w:basedOn w:val="1"/>
    <w:qFormat/>
    <w:uiPriority w:val="0"/>
    <w:pPr>
      <w:widowControl/>
      <w:spacing w:line="360" w:lineRule="auto"/>
      <w:ind w:firstLine="480" w:firstLineChars="200"/>
      <w:jc w:val="left"/>
    </w:pPr>
    <w:rPr>
      <w:rFonts w:ascii="宋体" w:hAnsi="宋体"/>
      <w:sz w:val="24"/>
    </w:rPr>
  </w:style>
  <w:style w:type="table" w:customStyle="1" w:styleId="36">
    <w:name w:val="样式8"/>
    <w:basedOn w:val="29"/>
    <w:qFormat/>
    <w:uiPriority w:val="0"/>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paragraph" w:customStyle="1" w:styleId="37">
    <w:name w:val="表文字"/>
    <w:basedOn w:val="1"/>
    <w:qFormat/>
    <w:uiPriority w:val="0"/>
    <w:pPr>
      <w:topLinePunct/>
      <w:adjustRightInd w:val="0"/>
      <w:spacing w:line="240" w:lineRule="exact"/>
      <w:jc w:val="center"/>
      <w:textAlignment w:val="baseline"/>
    </w:pPr>
    <w:rPr>
      <w:szCs w:val="21"/>
    </w:rPr>
  </w:style>
  <w:style w:type="paragraph" w:customStyle="1" w:styleId="38">
    <w:name w:val="标题3"/>
    <w:basedOn w:val="1"/>
    <w:qFormat/>
    <w:uiPriority w:val="0"/>
    <w:pPr>
      <w:spacing w:line="500" w:lineRule="exact"/>
      <w:ind w:firstLine="527" w:firstLineChars="250"/>
    </w:pPr>
    <w:rPr>
      <w:rFonts w:ascii="楷体_GB2312" w:hAnsi="宋体" w:eastAsia="楷体_GB2312" w:cs="宋体"/>
      <w:b/>
      <w:bCs/>
      <w:color w:val="000000"/>
      <w:kern w:val="28"/>
    </w:rPr>
  </w:style>
  <w:style w:type="paragraph" w:customStyle="1" w:styleId="39">
    <w:name w:val="正文（行首缩进2字）"/>
    <w:basedOn w:val="1"/>
    <w:qFormat/>
    <w:uiPriority w:val="0"/>
    <w:pPr>
      <w:spacing w:line="500" w:lineRule="exact"/>
      <w:ind w:firstLine="200" w:firstLineChars="200"/>
    </w:pPr>
    <w:rPr>
      <w:sz w:val="24"/>
    </w:rPr>
  </w:style>
  <w:style w:type="paragraph" w:customStyle="1" w:styleId="40">
    <w:name w:val="正文内容"/>
    <w:qFormat/>
    <w:uiPriority w:val="0"/>
    <w:pPr>
      <w:widowControl w:val="0"/>
      <w:snapToGrid w:val="0"/>
      <w:spacing w:before="60" w:after="60" w:line="440" w:lineRule="exact"/>
      <w:ind w:firstLine="200" w:firstLineChars="200"/>
      <w:jc w:val="both"/>
    </w:pPr>
    <w:rPr>
      <w:rFonts w:asciiTheme="minorHAnsi" w:hAnsiTheme="minorHAnsi" w:eastAsiaTheme="minorEastAsia" w:cstheme="minorBidi"/>
      <w:kern w:val="2"/>
      <w:sz w:val="24"/>
      <w:szCs w:val="24"/>
      <w:lang w:val="en-US" w:eastAsia="zh-CN" w:bidi="ar-SA"/>
    </w:rPr>
  </w:style>
  <w:style w:type="paragraph" w:customStyle="1" w:styleId="41">
    <w:name w:val="书 正文"/>
    <w:basedOn w:val="1"/>
    <w:qFormat/>
    <w:uiPriority w:val="0"/>
    <w:pPr>
      <w:spacing w:line="440" w:lineRule="exact"/>
      <w:ind w:firstLine="514" w:firstLineChars="200"/>
    </w:pPr>
    <w:rPr>
      <w:kern w:val="24"/>
      <w:sz w:val="24"/>
    </w:rPr>
  </w:style>
  <w:style w:type="paragraph" w:customStyle="1" w:styleId="42">
    <w:name w:val="表格内容"/>
    <w:basedOn w:val="1"/>
    <w:qFormat/>
    <w:uiPriority w:val="0"/>
    <w:pPr>
      <w:jc w:val="left"/>
    </w:pPr>
    <w:rPr>
      <w:rFonts w:ascii="仿宋_GB2312" w:hAnsi="宋体" w:eastAsia="仿宋_GB2312"/>
      <w:color w:val="000000"/>
      <w:szCs w:val="28"/>
    </w:rPr>
  </w:style>
  <w:style w:type="paragraph" w:customStyle="1" w:styleId="43">
    <w:name w:val="报告书正文"/>
    <w:basedOn w:val="1"/>
    <w:qFormat/>
    <w:uiPriority w:val="0"/>
    <w:pPr>
      <w:spacing w:line="300" w:lineRule="auto"/>
      <w:ind w:firstLine="200" w:firstLineChars="200"/>
    </w:pPr>
    <w:rPr>
      <w:sz w:val="24"/>
      <w:szCs w:val="20"/>
    </w:rPr>
  </w:style>
  <w:style w:type="paragraph" w:customStyle="1" w:styleId="44">
    <w:name w:val="reader-word-layer"/>
    <w:basedOn w:val="1"/>
    <w:qFormat/>
    <w:uiPriority w:val="0"/>
    <w:pPr>
      <w:spacing w:before="100" w:beforeAutospacing="1" w:after="100" w:afterAutospacing="1"/>
    </w:pPr>
    <w:rPr>
      <w:rFonts w:ascii="宋体" w:hAnsi="宋体" w:cs="宋体"/>
    </w:rPr>
  </w:style>
  <w:style w:type="paragraph" w:customStyle="1" w:styleId="45">
    <w:name w:val="新样式1"/>
    <w:basedOn w:val="1"/>
    <w:next w:val="1"/>
    <w:qFormat/>
    <w:uiPriority w:val="0"/>
    <w:pPr>
      <w:ind w:firstLine="200" w:firstLineChars="200"/>
    </w:pPr>
    <w:rPr>
      <w:rFonts w:ascii="宋体" w:hAnsi="宋体" w:cs="宋体"/>
      <w:sz w:val="24"/>
    </w:rPr>
  </w:style>
  <w:style w:type="character" w:customStyle="1" w:styleId="46">
    <w:name w:val="font01"/>
    <w:basedOn w:val="31"/>
    <w:qFormat/>
    <w:uiPriority w:val="0"/>
    <w:rPr>
      <w:rFonts w:ascii="font-weight : 400" w:hAnsi="font-weight : 400" w:eastAsia="font-weight : 400" w:cs="font-weight : 400"/>
      <w:color w:val="000000"/>
      <w:sz w:val="22"/>
      <w:szCs w:val="22"/>
      <w:u w:val="none"/>
      <w:vertAlign w:val="subscript"/>
    </w:rPr>
  </w:style>
  <w:style w:type="character" w:customStyle="1" w:styleId="47">
    <w:name w:val="font11"/>
    <w:basedOn w:val="31"/>
    <w:qFormat/>
    <w:uiPriority w:val="0"/>
    <w:rPr>
      <w:rFonts w:hint="default" w:ascii="font-weight : 400" w:hAnsi="font-weight : 400" w:eastAsia="font-weight : 400" w:cs="font-weight : 400"/>
      <w:color w:val="000000"/>
      <w:sz w:val="22"/>
      <w:szCs w:val="22"/>
      <w:u w:val="none"/>
    </w:rPr>
  </w:style>
  <w:style w:type="character" w:customStyle="1" w:styleId="48">
    <w:name w:val="font21"/>
    <w:basedOn w:val="31"/>
    <w:qFormat/>
    <w:uiPriority w:val="0"/>
    <w:rPr>
      <w:rFonts w:ascii="font-weight : 400" w:hAnsi="font-weight : 400" w:eastAsia="font-weight : 400" w:cs="font-weight : 400"/>
      <w:color w:val="000000"/>
      <w:sz w:val="22"/>
      <w:szCs w:val="22"/>
      <w:u w:val="none"/>
      <w:vertAlign w:val="subscript"/>
    </w:rPr>
  </w:style>
  <w:style w:type="paragraph" w:customStyle="1" w:styleId="49">
    <w:name w:val="c正文"/>
    <w:qFormat/>
    <w:uiPriority w:val="0"/>
    <w:pPr>
      <w:adjustRightInd w:val="0"/>
      <w:snapToGrid w:val="0"/>
      <w:spacing w:line="500" w:lineRule="exact"/>
      <w:ind w:firstLine="200" w:firstLineChars="200"/>
    </w:pPr>
    <w:rPr>
      <w:rFonts w:eastAsia="仿宋_GB2312" w:asciiTheme="minorHAnsi" w:hAnsiTheme="minorHAnsi" w:cstheme="minorBidi"/>
      <w:color w:val="000000"/>
      <w:kern w:val="44"/>
      <w:sz w:val="24"/>
      <w:szCs w:val="22"/>
      <w:lang w:val="en-US" w:eastAsia="zh-CN" w:bidi="ar-SA"/>
    </w:rPr>
  </w:style>
  <w:style w:type="paragraph" w:customStyle="1" w:styleId="50">
    <w:name w:val="正文1"/>
    <w:basedOn w:val="1"/>
    <w:qFormat/>
    <w:uiPriority w:val="0"/>
    <w:pPr>
      <w:spacing w:line="520" w:lineRule="exact"/>
      <w:ind w:firstLine="200" w:firstLineChars="200"/>
    </w:pPr>
    <w:rPr>
      <w:color w:val="000000"/>
      <w:kern w:val="0"/>
      <w:sz w:val="28"/>
      <w:szCs w:val="20"/>
    </w:rPr>
  </w:style>
  <w:style w:type="paragraph" w:customStyle="1" w:styleId="51">
    <w:name w:val="环表头"/>
    <w:basedOn w:val="52"/>
    <w:next w:val="1"/>
    <w:qFormat/>
    <w:uiPriority w:val="0"/>
    <w:pPr>
      <w:tabs>
        <w:tab w:val="left" w:pos="283"/>
        <w:tab w:val="left" w:pos="5094"/>
      </w:tabs>
      <w:spacing w:beforeLines="20" w:afterLines="10" w:line="480" w:lineRule="exact"/>
      <w:ind w:right="28" w:firstLine="0" w:firstLineChars="0"/>
      <w:jc w:val="center"/>
    </w:pPr>
    <w:rPr>
      <w:b/>
      <w:szCs w:val="24"/>
    </w:rPr>
  </w:style>
  <w:style w:type="paragraph" w:customStyle="1" w:styleId="52">
    <w:name w:val="环正文"/>
    <w:basedOn w:val="1"/>
    <w:qFormat/>
    <w:uiPriority w:val="0"/>
    <w:pPr>
      <w:widowControl/>
      <w:tabs>
        <w:tab w:val="left" w:pos="5094"/>
      </w:tabs>
      <w:adjustRightInd w:val="0"/>
      <w:spacing w:line="312" w:lineRule="atLeast"/>
      <w:ind w:firstLine="637" w:firstLineChars="232"/>
      <w:textAlignment w:val="baseline"/>
    </w:pPr>
    <w:rPr>
      <w:rFonts w:ascii="宋体" w:hAnsi="宋体"/>
      <w:kern w:val="0"/>
      <w:sz w:val="24"/>
      <w:szCs w:val="20"/>
    </w:rPr>
  </w:style>
  <w:style w:type="paragraph" w:customStyle="1" w:styleId="53">
    <w:name w:val="表格"/>
    <w:qFormat/>
    <w:uiPriority w:val="0"/>
    <w:pPr>
      <w:ind w:left="315" w:leftChars="-50" w:right="-105" w:rightChars="-50" w:hanging="420"/>
      <w:jc w:val="center"/>
    </w:pPr>
    <w:rPr>
      <w:rFonts w:ascii="宋体" w:hAnsi="宋体" w:eastAsia="宋体" w:cs="Times New Roman"/>
      <w:bCs/>
      <w:color w:val="000000"/>
      <w:sz w:val="21"/>
      <w:szCs w:val="22"/>
      <w:lang w:val="en-US" w:eastAsia="zh-CN" w:bidi="ar-SA"/>
    </w:rPr>
  </w:style>
  <w:style w:type="paragraph" w:customStyle="1" w:styleId="54">
    <w:name w:val="表格(新)"/>
    <w:basedOn w:val="1"/>
    <w:qFormat/>
    <w:uiPriority w:val="0"/>
    <w:pPr>
      <w:snapToGrid w:val="0"/>
      <w:jc w:val="center"/>
    </w:pPr>
    <w:rPr>
      <w:kern w:val="24"/>
      <w:szCs w:val="21"/>
    </w:rPr>
  </w:style>
  <w:style w:type="paragraph" w:customStyle="1" w:styleId="55">
    <w:name w:val="样式1"/>
    <w:basedOn w:val="7"/>
    <w:qFormat/>
    <w:uiPriority w:val="0"/>
    <w:pPr>
      <w:spacing w:before="0" w:after="0" w:line="460" w:lineRule="exact"/>
    </w:pPr>
    <w:rPr>
      <w:rFonts w:hAnsi="宋体" w:eastAsia="黑体"/>
      <w:b w:val="0"/>
      <w:bCs w:val="0"/>
      <w:sz w:val="24"/>
    </w:rPr>
  </w:style>
  <w:style w:type="paragraph" w:customStyle="1" w:styleId="56">
    <w:name w:val="正文文本 (2)"/>
    <w:basedOn w:val="1"/>
    <w:qFormat/>
    <w:uiPriority w:val="0"/>
    <w:pPr>
      <w:shd w:val="clear" w:color="auto" w:fill="FFFFFF"/>
      <w:spacing w:line="479" w:lineRule="exact"/>
    </w:pPr>
    <w:rPr>
      <w:rFonts w:ascii="微软雅黑" w:hAnsi="微软雅黑" w:eastAsia="微软雅黑" w:cs="微软雅黑"/>
      <w:spacing w:val="30"/>
      <w:szCs w:val="21"/>
    </w:rPr>
  </w:style>
  <w:style w:type="paragraph" w:customStyle="1" w:styleId="57">
    <w:name w:val="本次正文"/>
    <w:basedOn w:val="1"/>
    <w:link w:val="79"/>
    <w:qFormat/>
    <w:uiPriority w:val="0"/>
    <w:pPr>
      <w:spacing w:beforeLines="50" w:afterLines="50" w:line="360" w:lineRule="auto"/>
      <w:ind w:firstLine="200" w:firstLineChars="200"/>
    </w:pPr>
    <w:rPr>
      <w:sz w:val="24"/>
    </w:rPr>
  </w:style>
  <w:style w:type="paragraph" w:customStyle="1" w:styleId="58">
    <w:name w:val="标准正文"/>
    <w:basedOn w:val="1"/>
    <w:qFormat/>
    <w:uiPriority w:val="0"/>
    <w:pPr>
      <w:spacing w:line="360" w:lineRule="auto"/>
      <w:ind w:firstLine="480" w:firstLineChars="200"/>
      <w:jc w:val="left"/>
    </w:pPr>
    <w:rPr>
      <w:sz w:val="24"/>
      <w:szCs w:val="22"/>
    </w:rPr>
  </w:style>
  <w:style w:type="paragraph" w:customStyle="1" w:styleId="59">
    <w:name w:val="c标题3"/>
    <w:basedOn w:val="1"/>
    <w:qFormat/>
    <w:uiPriority w:val="0"/>
    <w:pPr>
      <w:widowControl/>
      <w:adjustRightInd w:val="0"/>
      <w:snapToGrid w:val="0"/>
      <w:spacing w:line="500" w:lineRule="exact"/>
      <w:jc w:val="left"/>
    </w:pPr>
    <w:rPr>
      <w:rFonts w:eastAsia="黑体" w:cs="Arial"/>
      <w:color w:val="000000"/>
      <w:kern w:val="44"/>
      <w:sz w:val="24"/>
    </w:rPr>
  </w:style>
  <w:style w:type="paragraph" w:customStyle="1" w:styleId="60">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61">
    <w:name w:val="其他 (2)"/>
    <w:basedOn w:val="1"/>
    <w:qFormat/>
    <w:uiPriority w:val="0"/>
    <w:pPr>
      <w:shd w:val="clear" w:color="auto" w:fill="FFFFFF"/>
      <w:spacing w:before="100"/>
      <w:jc w:val="center"/>
    </w:pPr>
    <w:rPr>
      <w:rFonts w:ascii="MingLiU" w:hAnsi="MingLiU" w:eastAsia="MingLiU"/>
      <w:sz w:val="18"/>
      <w:szCs w:val="18"/>
    </w:rPr>
  </w:style>
  <w:style w:type="paragraph" w:customStyle="1" w:styleId="62">
    <w:name w:val="其他"/>
    <w:basedOn w:val="1"/>
    <w:qFormat/>
    <w:uiPriority w:val="0"/>
    <w:pPr>
      <w:shd w:val="clear" w:color="auto" w:fill="FFFFFF"/>
      <w:spacing w:line="316" w:lineRule="auto"/>
      <w:ind w:firstLine="400"/>
    </w:pPr>
    <w:rPr>
      <w:rFonts w:hint="eastAsia" w:ascii="宋体" w:hAnsi="宋体"/>
      <w:sz w:val="20"/>
      <w:szCs w:val="20"/>
    </w:rPr>
  </w:style>
  <w:style w:type="paragraph" w:customStyle="1" w:styleId="63">
    <w:name w:val="Table Paragraph"/>
    <w:basedOn w:val="1"/>
    <w:qFormat/>
    <w:uiPriority w:val="1"/>
    <w:pPr>
      <w:autoSpaceDE w:val="0"/>
      <w:autoSpaceDN w:val="0"/>
      <w:adjustRightInd w:val="0"/>
      <w:jc w:val="left"/>
    </w:pPr>
    <w:rPr>
      <w:kern w:val="0"/>
    </w:rPr>
  </w:style>
  <w:style w:type="character" w:customStyle="1" w:styleId="64">
    <w:name w:val="Char Char2"/>
    <w:qFormat/>
    <w:uiPriority w:val="0"/>
    <w:rPr>
      <w:rFonts w:ascii="宋体" w:hAnsi="宋体" w:eastAsia="宋体"/>
      <w:b/>
      <w:kern w:val="2"/>
      <w:sz w:val="32"/>
      <w:lang w:val="en-US" w:eastAsia="zh-CN"/>
    </w:rPr>
  </w:style>
  <w:style w:type="table" w:customStyle="1" w:styleId="65">
    <w:name w:val="专业网格2"/>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6">
    <w:name w:val="表头"/>
    <w:basedOn w:val="1"/>
    <w:next w:val="1"/>
    <w:qFormat/>
    <w:uiPriority w:val="0"/>
    <w:pPr>
      <w:tabs>
        <w:tab w:val="left" w:pos="6840"/>
      </w:tabs>
      <w:topLinePunct/>
      <w:snapToGrid w:val="0"/>
      <w:spacing w:line="529" w:lineRule="exact"/>
      <w:jc w:val="center"/>
    </w:pPr>
    <w:rPr>
      <w:rFonts w:ascii="宋体" w:hAnsi="宋体"/>
      <w:b/>
      <w:kern w:val="24"/>
      <w:sz w:val="24"/>
      <w:szCs w:val="28"/>
    </w:rPr>
  </w:style>
  <w:style w:type="table" w:customStyle="1" w:styleId="67">
    <w:name w:val="网格型8"/>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8">
    <w:name w:val="样式 垃圾13-24 + 首行缩进:  2 字符"/>
    <w:basedOn w:val="69"/>
    <w:qFormat/>
    <w:uiPriority w:val="0"/>
    <w:pPr>
      <w:spacing w:line="480" w:lineRule="exact"/>
      <w:ind w:firstLine="520"/>
      <w:jc w:val="both"/>
    </w:pPr>
    <w:rPr>
      <w:kern w:val="2"/>
      <w:sz w:val="26"/>
      <w:szCs w:val="26"/>
    </w:rPr>
  </w:style>
  <w:style w:type="paragraph" w:customStyle="1" w:styleId="69">
    <w:name w:val="垃圾13-24"/>
    <w:basedOn w:val="1"/>
    <w:qFormat/>
    <w:uiPriority w:val="0"/>
    <w:pPr>
      <w:spacing w:line="540" w:lineRule="exact"/>
      <w:ind w:firstLine="480" w:firstLineChars="200"/>
      <w:jc w:val="left"/>
    </w:pPr>
    <w:rPr>
      <w:rFonts w:ascii="宋体" w:hAnsi="宋体" w:cs="宋体"/>
      <w:kern w:val="0"/>
      <w:sz w:val="24"/>
    </w:rPr>
  </w:style>
  <w:style w:type="character" w:customStyle="1" w:styleId="70">
    <w:name w:val="标题 3 Char"/>
    <w:link w:val="6"/>
    <w:qFormat/>
    <w:uiPriority w:val="0"/>
    <w:rPr>
      <w:rFonts w:ascii="宋体" w:hAnsi="宋体" w:eastAsia="宋体"/>
      <w:b/>
      <w:sz w:val="28"/>
      <w:szCs w:val="20"/>
    </w:rPr>
  </w:style>
  <w:style w:type="paragraph" w:customStyle="1" w:styleId="71">
    <w:name w:val="我的表格"/>
    <w:basedOn w:val="1"/>
    <w:qFormat/>
    <w:uiPriority w:val="0"/>
    <w:pPr>
      <w:autoSpaceDE w:val="0"/>
      <w:autoSpaceDN w:val="0"/>
      <w:adjustRightInd w:val="0"/>
      <w:jc w:val="center"/>
    </w:pPr>
    <w:rPr>
      <w:kern w:val="0"/>
      <w:sz w:val="20"/>
      <w:szCs w:val="20"/>
    </w:rPr>
  </w:style>
  <w:style w:type="character" w:customStyle="1" w:styleId="72">
    <w:name w:val="样式 宋体 小四"/>
    <w:basedOn w:val="31"/>
    <w:qFormat/>
    <w:uiPriority w:val="0"/>
    <w:rPr>
      <w:rFonts w:ascii="Times New Roman" w:hAnsi="Times New Roman" w:eastAsia="宋体"/>
      <w:spacing w:val="0"/>
      <w:sz w:val="24"/>
      <w:szCs w:val="21"/>
    </w:rPr>
  </w:style>
  <w:style w:type="paragraph" w:customStyle="1" w:styleId="73">
    <w:name w:val="表头文字13"/>
    <w:basedOn w:val="1"/>
    <w:qFormat/>
    <w:uiPriority w:val="0"/>
    <w:pPr>
      <w:adjustRightInd w:val="0"/>
      <w:snapToGrid w:val="0"/>
      <w:jc w:val="center"/>
    </w:pPr>
    <w:rPr>
      <w:rFonts w:ascii="黑体" w:eastAsia="黑体"/>
      <w:sz w:val="22"/>
      <w:szCs w:val="22"/>
    </w:rPr>
  </w:style>
  <w:style w:type="character" w:customStyle="1" w:styleId="74">
    <w:name w:val="环评正文 Char"/>
    <w:link w:val="75"/>
    <w:qFormat/>
    <w:uiPriority w:val="0"/>
    <w:rPr>
      <w:rFonts w:ascii="宋体" w:hAnsi="宋体"/>
      <w:snapToGrid w:val="0"/>
      <w:kern w:val="0"/>
      <w:sz w:val="26"/>
      <w:szCs w:val="26"/>
    </w:rPr>
  </w:style>
  <w:style w:type="paragraph" w:customStyle="1" w:styleId="75">
    <w:name w:val="环评正文"/>
    <w:basedOn w:val="1"/>
    <w:link w:val="74"/>
    <w:qFormat/>
    <w:uiPriority w:val="0"/>
    <w:pPr>
      <w:spacing w:line="480" w:lineRule="exact"/>
      <w:ind w:firstLine="520"/>
    </w:pPr>
    <w:rPr>
      <w:rFonts w:ascii="宋体" w:hAnsi="宋体"/>
      <w:snapToGrid w:val="0"/>
      <w:kern w:val="0"/>
      <w:sz w:val="26"/>
      <w:szCs w:val="26"/>
    </w:rPr>
  </w:style>
  <w:style w:type="paragraph" w:customStyle="1" w:styleId="76">
    <w:name w:val="威顿报告正文"/>
    <w:basedOn w:val="1"/>
    <w:qFormat/>
    <w:uiPriority w:val="0"/>
    <w:pPr>
      <w:adjustRightInd w:val="0"/>
      <w:snapToGrid w:val="0"/>
      <w:spacing w:beforeLines="25" w:line="440" w:lineRule="exact"/>
      <w:ind w:firstLine="480" w:firstLineChars="200"/>
    </w:pPr>
    <w:rPr>
      <w:color w:val="000000"/>
      <w:kern w:val="32"/>
      <w:sz w:val="24"/>
    </w:rPr>
  </w:style>
  <w:style w:type="paragraph" w:customStyle="1" w:styleId="77">
    <w:name w:val="报告正文"/>
    <w:basedOn w:val="1"/>
    <w:qFormat/>
    <w:uiPriority w:val="0"/>
    <w:pPr>
      <w:spacing w:line="360" w:lineRule="auto"/>
      <w:ind w:firstLine="480" w:firstLineChars="200"/>
      <w:jc w:val="left"/>
    </w:pPr>
    <w:rPr>
      <w:sz w:val="24"/>
      <w:szCs w:val="18"/>
    </w:rPr>
  </w:style>
  <w:style w:type="character" w:customStyle="1" w:styleId="78">
    <w:name w:val="批注框文本 Char"/>
    <w:basedOn w:val="31"/>
    <w:link w:val="18"/>
    <w:qFormat/>
    <w:uiPriority w:val="0"/>
    <w:rPr>
      <w:kern w:val="2"/>
      <w:sz w:val="18"/>
      <w:szCs w:val="18"/>
    </w:rPr>
  </w:style>
  <w:style w:type="character" w:customStyle="1" w:styleId="79">
    <w:name w:val="本次正文 Char"/>
    <w:link w:val="57"/>
    <w:qFormat/>
    <w:uiPriority w:val="0"/>
    <w:rPr>
      <w:kern w:val="2"/>
      <w:sz w:val="24"/>
      <w:szCs w:val="24"/>
    </w:rPr>
  </w:style>
  <w:style w:type="paragraph" w:styleId="80">
    <w:name w:val="List Paragraph"/>
    <w:basedOn w:val="1"/>
    <w:unhideWhenUsed/>
    <w:qFormat/>
    <w:uiPriority w:val="99"/>
    <w:pPr>
      <w:ind w:firstLine="420" w:firstLineChars="200"/>
    </w:pPr>
  </w:style>
  <w:style w:type="character" w:customStyle="1" w:styleId="81">
    <w:name w:val="日期 Char"/>
    <w:basedOn w:val="31"/>
    <w:link w:val="16"/>
    <w:qFormat/>
    <w:uiPriority w:val="0"/>
    <w:rPr>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54.png"/><Relationship Id="rId98" Type="http://schemas.openxmlformats.org/officeDocument/2006/relationships/image" Target="media/image53.wmf"/><Relationship Id="rId97" Type="http://schemas.openxmlformats.org/officeDocument/2006/relationships/oleObject" Target="embeddings/oleObject16.bin"/><Relationship Id="rId96" Type="http://schemas.openxmlformats.org/officeDocument/2006/relationships/image" Target="media/image52.wmf"/><Relationship Id="rId95" Type="http://schemas.openxmlformats.org/officeDocument/2006/relationships/oleObject" Target="embeddings/oleObject15.bin"/><Relationship Id="rId94" Type="http://schemas.openxmlformats.org/officeDocument/2006/relationships/image" Target="media/image51.png"/><Relationship Id="rId93" Type="http://schemas.openxmlformats.org/officeDocument/2006/relationships/image" Target="media/image50.png"/><Relationship Id="rId92" Type="http://schemas.openxmlformats.org/officeDocument/2006/relationships/image" Target="media/image49.jpeg"/><Relationship Id="rId91" Type="http://schemas.openxmlformats.org/officeDocument/2006/relationships/image" Target="media/image48.png"/><Relationship Id="rId90" Type="http://schemas.openxmlformats.org/officeDocument/2006/relationships/image" Target="media/image47.jpeg"/><Relationship Id="rId9" Type="http://schemas.openxmlformats.org/officeDocument/2006/relationships/footer" Target="footer4.xml"/><Relationship Id="rId89" Type="http://schemas.openxmlformats.org/officeDocument/2006/relationships/image" Target="media/image46.jpeg"/><Relationship Id="rId88" Type="http://schemas.openxmlformats.org/officeDocument/2006/relationships/image" Target="media/image45.jpeg"/><Relationship Id="rId87" Type="http://schemas.openxmlformats.org/officeDocument/2006/relationships/image" Target="media/image44.jpeg"/><Relationship Id="rId86" Type="http://schemas.openxmlformats.org/officeDocument/2006/relationships/image" Target="media/image43.png"/><Relationship Id="rId85" Type="http://schemas.openxmlformats.org/officeDocument/2006/relationships/image" Target="media/image42.png"/><Relationship Id="rId84" Type="http://schemas.openxmlformats.org/officeDocument/2006/relationships/image" Target="media/image41.png"/><Relationship Id="rId83" Type="http://schemas.openxmlformats.org/officeDocument/2006/relationships/image" Target="media/image40.png"/><Relationship Id="rId82" Type="http://schemas.openxmlformats.org/officeDocument/2006/relationships/image" Target="media/image39.png"/><Relationship Id="rId81" Type="http://schemas.openxmlformats.org/officeDocument/2006/relationships/image" Target="media/image38.wmf"/><Relationship Id="rId80" Type="http://schemas.openxmlformats.org/officeDocument/2006/relationships/oleObject" Target="embeddings/oleObject14.bin"/><Relationship Id="rId8" Type="http://schemas.openxmlformats.org/officeDocument/2006/relationships/header" Target="header3.xml"/><Relationship Id="rId79" Type="http://schemas.openxmlformats.org/officeDocument/2006/relationships/image" Target="media/image37.wmf"/><Relationship Id="rId78" Type="http://schemas.openxmlformats.org/officeDocument/2006/relationships/oleObject" Target="embeddings/oleObject13.bin"/><Relationship Id="rId77" Type="http://schemas.openxmlformats.org/officeDocument/2006/relationships/image" Target="media/image36.wmf"/><Relationship Id="rId76" Type="http://schemas.openxmlformats.org/officeDocument/2006/relationships/oleObject" Target="embeddings/oleObject12.bin"/><Relationship Id="rId75" Type="http://schemas.openxmlformats.org/officeDocument/2006/relationships/image" Target="media/image35.wmf"/><Relationship Id="rId74" Type="http://schemas.openxmlformats.org/officeDocument/2006/relationships/oleObject" Target="embeddings/oleObject11.bin"/><Relationship Id="rId73" Type="http://schemas.openxmlformats.org/officeDocument/2006/relationships/image" Target="media/image34.wmf"/><Relationship Id="rId72" Type="http://schemas.openxmlformats.org/officeDocument/2006/relationships/oleObject" Target="embeddings/oleObject10.bin"/><Relationship Id="rId71" Type="http://schemas.openxmlformats.org/officeDocument/2006/relationships/image" Target="media/image33.wmf"/><Relationship Id="rId70" Type="http://schemas.openxmlformats.org/officeDocument/2006/relationships/oleObject" Target="embeddings/oleObject9.bin"/><Relationship Id="rId7" Type="http://schemas.openxmlformats.org/officeDocument/2006/relationships/footer" Target="footer3.xml"/><Relationship Id="rId69" Type="http://schemas.openxmlformats.org/officeDocument/2006/relationships/image" Target="media/image32.wmf"/><Relationship Id="rId68" Type="http://schemas.openxmlformats.org/officeDocument/2006/relationships/oleObject" Target="embeddings/oleObject8.bin"/><Relationship Id="rId67" Type="http://schemas.openxmlformats.org/officeDocument/2006/relationships/image" Target="media/image31.wmf"/><Relationship Id="rId66" Type="http://schemas.openxmlformats.org/officeDocument/2006/relationships/oleObject" Target="embeddings/oleObject7.bin"/><Relationship Id="rId65" Type="http://schemas.openxmlformats.org/officeDocument/2006/relationships/image" Target="media/image30.wmf"/><Relationship Id="rId64" Type="http://schemas.openxmlformats.org/officeDocument/2006/relationships/oleObject" Target="embeddings/oleObject6.bin"/><Relationship Id="rId63" Type="http://schemas.openxmlformats.org/officeDocument/2006/relationships/image" Target="media/image29.wmf"/><Relationship Id="rId62" Type="http://schemas.openxmlformats.org/officeDocument/2006/relationships/oleObject" Target="embeddings/oleObject5.bin"/><Relationship Id="rId61" Type="http://schemas.openxmlformats.org/officeDocument/2006/relationships/image" Target="media/image28.wmf"/><Relationship Id="rId60" Type="http://schemas.openxmlformats.org/officeDocument/2006/relationships/oleObject" Target="embeddings/oleObject4.bin"/><Relationship Id="rId6" Type="http://schemas.openxmlformats.org/officeDocument/2006/relationships/footer" Target="footer2.xml"/><Relationship Id="rId59" Type="http://schemas.openxmlformats.org/officeDocument/2006/relationships/image" Target="media/image27.jpeg"/><Relationship Id="rId58" Type="http://schemas.openxmlformats.org/officeDocument/2006/relationships/image" Target="media/image26.jpeg"/><Relationship Id="rId57" Type="http://schemas.openxmlformats.org/officeDocument/2006/relationships/image" Target="media/image25.jpeg"/><Relationship Id="rId56" Type="http://schemas.openxmlformats.org/officeDocument/2006/relationships/image" Target="media/image24.wmf"/><Relationship Id="rId55" Type="http://schemas.openxmlformats.org/officeDocument/2006/relationships/oleObject" Target="embeddings/oleObject3.bin"/><Relationship Id="rId54" Type="http://schemas.openxmlformats.org/officeDocument/2006/relationships/image" Target="media/image23.wmf"/><Relationship Id="rId53" Type="http://schemas.openxmlformats.org/officeDocument/2006/relationships/oleObject" Target="embeddings/oleObject2.bin"/><Relationship Id="rId52" Type="http://schemas.openxmlformats.org/officeDocument/2006/relationships/image" Target="media/image22.jpeg"/><Relationship Id="rId51" Type="http://schemas.openxmlformats.org/officeDocument/2006/relationships/image" Target="media/image21.emf"/><Relationship Id="rId50" Type="http://schemas.openxmlformats.org/officeDocument/2006/relationships/oleObject" Target="embeddings/oleObject1.bin"/><Relationship Id="rId5" Type="http://schemas.openxmlformats.org/officeDocument/2006/relationships/header" Target="header2.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1.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8.xml"/><Relationship Id="rId27" Type="http://schemas.openxmlformats.org/officeDocument/2006/relationships/header" Target="header18.xml"/><Relationship Id="rId26" Type="http://schemas.openxmlformats.org/officeDocument/2006/relationships/header" Target="header17.xml"/><Relationship Id="rId25" Type="http://schemas.openxmlformats.org/officeDocument/2006/relationships/header" Target="header16.xml"/><Relationship Id="rId24" Type="http://schemas.openxmlformats.org/officeDocument/2006/relationships/header" Target="header15.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56.jpeg"/><Relationship Id="rId100" Type="http://schemas.openxmlformats.org/officeDocument/2006/relationships/image" Target="media/image55.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52"/>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163</Pages>
  <Words>100440</Words>
  <Characters>115711</Characters>
  <Lines>1090</Lines>
  <Paragraphs>307</Paragraphs>
  <TotalTime>7</TotalTime>
  <ScaleCrop>false</ScaleCrop>
  <LinksUpToDate>false</LinksUpToDate>
  <CharactersWithSpaces>116434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2023-06-05T17:24:00Z</dcterms:created>
  <dc:creator>Administrator</dc:creator>
  <cp:lastModifiedBy>武</cp:lastModifiedBy>
  <cp:lastPrinted>2018-04-27T09:11:00Z</cp:lastPrinted>
  <dcterms:modified xsi:type="dcterms:W3CDTF">2023-07-18T08:52:11Z</dcterms:modified>
  <cp:revision>236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A788D0A7FD7A79F0D1E0A464A2B0BEE8</vt:lpwstr>
  </property>
</Properties>
</file>